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40"/>
          <w:szCs w:val="40"/>
        </w:rPr>
        <w:t xml:space="preserve">aiPlat 实现一致性复审报告（Round13）</w:t>
      </w:r>
    </w:p>
    <w:p>
      <w:pPr>
        <w:jc w:val="center"/>
      </w:pPr>
      <w:r>
        <w:rPr>
          <w:i/>
          <w:iCs/>
        </w:rPr>
        <w:t xml:space="preserve">完成剩余 To‑Be：闭环推广 / 联查 / resume 加固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</w:trP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日期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2026-04-16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范围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ReActGraph 闭环推广 + execution↔trace 联查 + resume 幂等/权限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审计项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CORE-CLOSELOOP-001</w:t>
            </w:r>
          </w:p>
        </w:tc>
      </w:tr>
    </w:tbl>
    <w:p/>
    <w:p>
      <w:pPr>
        <w:pStyle w:val="Heading1"/>
      </w:pPr>
      <w:r>
        <w:t xml:space="preserve">1. 背景</w:t>
      </w:r>
    </w:p>
    <w:p>
      <w:r>
        <w:t xml:space="preserve">在 Round12 后仍有三项可选 To‑Be：闭环能力推广到 ReActGraph/LangGraphExecutor；execution↔trace 联查；resume 的幂等与权限约束。</w:t>
      </w:r>
    </w:p>
    <w:p>
      <w:pPr>
        <w:pStyle w:val="Heading1"/>
      </w:pPr>
      <w:r>
        <w:t xml:space="preserve">2. 修复方案（As-Is）</w:t>
      </w:r>
    </w:p>
    <w:p>
      <w:pPr>
        <w:pStyle w:val="Heading2"/>
      </w:pPr>
      <w:r>
        <w:t xml:space="preserve">2.1 闭环推广到 ReActGraph</w:t>
      </w:r>
    </w:p>
    <w:p>
      <w:r>
        <w:t xml:space="preserve">• ReActGraph.run 默认切换为内部 CompiledGraph 引擎，统一 callbacks/checkpoints 口径。</w:t>
      </w:r>
    </w:p>
    <w:p>
      <w:pPr>
        <w:pStyle w:val="Heading2"/>
      </w:pPr>
      <w:r>
        <w:t xml:space="preserve">2.2 execution↔trace 联查</w:t>
      </w:r>
    </w:p>
    <w:p>
      <w:r>
        <w:t xml:space="preserve">• 新增 API：GET /api/core/executions/{execution_id}/trace；GET /api/core/traces/{trace_id}/executions。</w:t>
      </w:r>
    </w:p>
    <w:p>
      <w:pPr>
        <w:pStyle w:val="Heading2"/>
      </w:pPr>
      <w:r>
        <w:t xml:space="preserve">2.3 resume 加固</w:t>
      </w:r>
    </w:p>
    <w:p>
      <w:r>
        <w:t xml:space="preserve">• ExecutionStore.resume_graph_run 幂等：相同 parent_run_id+checkpoint_id 返回既有 run。</w:t>
      </w:r>
    </w:p>
    <w:p>
      <w:r>
        <w:t xml:space="preserve">• best-effort 创建唯一索引 idx_graph_runs_resume_unique。</w:t>
      </w:r>
    </w:p>
    <w:p>
      <w:r>
        <w:t xml:space="preserve">• resume/resume_execute API 增加 graph:{graph_name} 权限校验（非 system 用户）。</w:t>
      </w:r>
    </w:p>
    <w:p>
      <w:pPr>
        <w:pStyle w:val="Heading1"/>
      </w:pPr>
      <w:r>
        <w:t xml:space="preserve">3. 验收与验证</w:t>
      </w:r>
    </w:p>
    <w:p>
      <w:r>
        <w:t xml:space="preserve">最小验证命令：</w:t>
      </w:r>
    </w:p>
    <w:p>
      <w:r>
        <w:rPr>
          <w:rFonts w:ascii="Courier New" w:hAnsi="Courier New" w:eastAsia="Noto Sans CJK SC"/>
        </w:rPr>
        <w:t xml:space="preserve">pytest -q core/tests/integration/test_execution_trace_link_api.py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rFonts w:ascii="Arial" w:hAnsi="Arial" w:eastAsia="Noto Sans CJK SC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before="240" w:after="160"/>
      <w:outlineLvl w:val="0"/>
    </w:pPr>
    <w:rPr>
      <w:b/>
      <w:bCs/>
      <w:sz w:val="34"/>
      <w:szCs w:val="34"/>
      <w:rFonts w:ascii="Arial" w:hAnsi="Arial" w:eastAsia="Noto Sans CJK SC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before="200" w:after="120"/>
      <w:outlineLvl w:val="1"/>
    </w:pPr>
    <w:rPr>
      <w:b/>
      <w:bCs/>
      <w:sz w:val="28"/>
      <w:szCs w:val="28"/>
      <w:rFonts w:ascii="Arial" w:hAnsi="Arial" w:eastAsia="Noto Sans CJK SC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2026-04-16T00:00:34.172Z</dcterms:created>
  <dcterms:modified xsi:type="dcterms:W3CDTF">2026-04-16T00:00:34.172Z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