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aiPlat 设计文档与实现一致性审查报告</w:t>
      </w:r>
    </w:p>
    <w:p>
      <w:r>
        <w:rPr>
          <w:b/>
          <w:bCs/>
        </w:rPr>
        <w:t xml:space="preserve">范围：</w:t>
      </w:r>
      <w:r>
        <w:t xml:space="preserve">aiPlat-infra/infra/di / aiPlat-infra/infra/observability</w:t>
      </w:r>
    </w:p>
    <w:p>
      <w:r>
        <w:rPr>
          <w:b/>
          <w:bCs/>
        </w:rPr>
        <w:t xml:space="preserve">重点：</w:t>
      </w:r>
      <w:r/>
    </w:p>
    <w:p>
      <w:r>
        <w:t xml:space="preserve"> </w:t>
      </w:r>
    </w:p>
    <w:p>
      <w:pPr>
        <w:pStyle w:val="Heading1"/>
      </w:pPr>
      <w:r>
        <w:t xml:space="preserve">结论摘要</w:t>
      </w:r>
    </w:p>
    <w:p>
      <w:r>
        <w:rPr>
          <w:b/>
          <w:bCs/>
        </w:rPr>
        <w:t xml:space="preserve">总审查项：</w:t>
      </w:r>
      <w:r>
        <w:t xml:space="preserve">2</w:t>
      </w:r>
      <w:r>
        <w:rPr>
          <w:b/>
          <w:bCs/>
        </w:rPr>
        <w:t xml:space="preserve">；风险分布：</w:t>
      </w:r>
      <w:r>
        <w:t xml:space="preserve">中 2</w:t>
      </w:r>
    </w:p>
    <w:p>
      <w:r>
        <w:rPr>
          <w:b/>
          <w:bCs/>
        </w:rPr>
        <w:t xml:space="preserve">修复状态分布：</w:t>
      </w:r>
      <w:r>
        <w:t xml:space="preserve">fixed 2</w:t>
      </w:r>
    </w:p>
    <w:p>
      <w:r>
        <w:t xml:space="preserve">说明：本报告以“设计文档原文 + 代码证据”为最终判定依据；每次修复必须同步更新 JSON 与本报告。</w:t>
      </w:r>
    </w:p>
    <w:p>
      <w:r>
        <w:t xml:space="preserve"> </w:t>
      </w:r>
    </w:p>
    <w:p>
      <w:pPr>
        <w:pStyle w:val="Heading1"/>
      </w:pPr>
      <w:r>
        <w:t xml:space="preserve">本次迭代变更摘要</w:t>
      </w:r>
    </w:p>
    <w:p>
      <w:r>
        <w:t xml:space="preserve">以下内容来自 reports/audit_changelog.md 的最新条目：</w:t>
      </w:r>
    </w:p>
    <w:p>
      <w:r>
        <w:t xml:space="preserve">2026-04-16</w:t>
      </w:r>
    </w:p>
    <w:p>
      <w:pPr>
        <w:pStyle w:val="ListParagraph"/>
        <w:numPr>
          <w:ilvl w:val="0"/>
          <w:numId w:val="2"/>
        </w:numPr>
      </w:pPr>
      <w:r>
        <w:t xml:space="preserve">实施修复：</w:t>
      </w:r>
    </w:p>
    <w:p>
      <w:pPr>
        <w:pStyle w:val="ListParagraph"/>
        <w:numPr>
          <w:ilvl w:val="0"/>
          <w:numId w:val="2"/>
        </w:numPr>
      </w:pPr>
      <w:r>
        <w:t xml:space="preserve">INFRA-DI-001：DI 容器启动时读取配置并执行 scan_packages 自动注册（@injectable），并按配置装配 interceptors（logging/timing/caching/metrics/error_handling）。</w:t>
      </w:r>
    </w:p>
    <w:p>
      <w:pPr>
        <w:pStyle w:val="ListParagraph"/>
        <w:numPr>
          <w:ilvl w:val="0"/>
          <w:numId w:val="2"/>
        </w:numPr>
      </w:pPr>
      <w:r>
        <w:t xml:space="preserve">INFRA-OBS-001：observability 工厂接入 opentelemetry-sdk（provider=otel），支持 OTLP 导出（默认）与 in_memory 导出（测试），并补齐单测覆盖。</w:t>
      </w:r>
    </w:p>
    <w:p>
      <w:r>
        <w:t xml:space="preserve"> </w:t>
      </w:r>
    </w:p>
    <w:p>
      <w:pPr>
        <w:pStyle w:val="Heading1"/>
      </w:pPr>
      <w:r>
        <w:t xml:space="preserve">修复进度总览</w:t>
      </w:r>
    </w:p>
    <w:tbl>
      <w:tblPr>
        <w:tblW w:type="pct" w:w="100%"/>
        <w:tblBorders>
          <w:top w:val="double" w:color="666666" w:sz="2"/>
          <w:left w:val="double" w:color="666666" w:sz="2"/>
          <w:bottom w:val="double" w:color="666666" w:sz="2"/>
          <w:right w:val="double" w:color="666666" w:sz="2"/>
          <w:insideH w:val="single" w:color="AAAAAA" w:sz="1"/>
          <w:insideV w:val="single" w:color="AAAAAA" w:sz="1"/>
        </w:tblBorders>
      </w:tblPr>
      <w:tblGrid>
        <w:gridCol w:w="992"/>
        <w:gridCol w:w="631"/>
        <w:gridCol w:w="992"/>
        <w:gridCol w:w="1083"/>
        <w:gridCol w:w="1263"/>
        <w:gridCol w:w="4065"/>
      </w:tblGrid>
      <w:tr>
        <w:trPr>
          <w:cantSplit/>
        </w:trPr>
        <w:tc>
          <w:tcPr>
            <w:tcW w:type="dxa" w:w="992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631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风险</w:t>
            </w:r>
          </w:p>
        </w:tc>
        <w:tc>
          <w:tcPr>
            <w:tcW w:type="dxa" w:w="992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判定</w:t>
            </w:r>
          </w:p>
        </w:tc>
        <w:tc>
          <w:tcPr>
            <w:tcW w:type="dxa" w:w="108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状态</w:t>
            </w:r>
          </w:p>
        </w:tc>
        <w:tc>
          <w:tcPr>
            <w:tcW w:type="dxa" w:w="126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更新时间</w:t>
            </w:r>
          </w:p>
        </w:tc>
        <w:tc>
          <w:tcPr>
            <w:tcW w:type="dxa" w:w="4065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来源文档</w:t>
            </w:r>
          </w:p>
        </w:tc>
      </w:tr>
      <w:tr>
        <w:trPr>
          <w:cantSplit/>
        </w:trPr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INFRA-DI-001</w:t>
            </w:r>
          </w:p>
        </w:tc>
        <w:tc>
          <w:tcPr>
            <w:tcW w:type="dxa" w:w="6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</w:t>
            </w:r>
          </w:p>
        </w:tc>
        <w:tc>
          <w:tcPr>
            <w:tcW w:type="dxa" w:w="1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2026-04-16</w:t>
            </w:r>
          </w:p>
        </w:tc>
        <w:tc>
          <w:tcPr>
            <w:tcW w:type="dxa" w:w="40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</w:tr>
      <w:tr>
        <w:trPr>
          <w:cantSplit/>
        </w:trPr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INFRA-OBS-001</w:t>
            </w:r>
          </w:p>
        </w:tc>
        <w:tc>
          <w:tcPr>
            <w:tcW w:type="dxa" w:w="6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</w:t>
            </w:r>
          </w:p>
        </w:tc>
        <w:tc>
          <w:tcPr>
            <w:tcW w:type="dxa" w:w="1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2026-04-16</w:t>
            </w:r>
          </w:p>
        </w:tc>
        <w:tc>
          <w:tcPr>
            <w:tcW w:type="dxa" w:w="40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</w:tr>
    </w:tbl>
    <w:p>
      <w:r>
        <w:t xml:space="preserve"> </w:t>
      </w:r>
    </w:p>
    <w:p>
      <w:pPr>
        <w:pStyle w:val="Heading1"/>
      </w:pPr>
      <w:r>
        <w:t xml:space="preserve">问题清单（总览）</w:t>
      </w:r>
    </w:p>
    <w:tbl>
      <w:tblPr>
        <w:tblW w:type="pct" w:w="100%"/>
        <w:tblBorders>
          <w:top w:val="double" w:color="666666" w:sz="2"/>
          <w:left w:val="double" w:color="666666" w:sz="2"/>
          <w:bottom w:val="double" w:color="666666" w:sz="2"/>
          <w:right w:val="double" w:color="666666" w:sz="2"/>
          <w:insideH w:val="single" w:color="AAAAAA" w:sz="1"/>
          <w:insideV w:val="single" w:color="AAAAAA" w:sz="1"/>
        </w:tblBorders>
      </w:tblPr>
      <w:tblGrid>
        <w:gridCol w:w="1083"/>
        <w:gridCol w:w="722"/>
        <w:gridCol w:w="1083"/>
        <w:gridCol w:w="2527"/>
        <w:gridCol w:w="3611"/>
      </w:tblGrid>
      <w:tr>
        <w:trPr>
          <w:cantSplit/>
        </w:trPr>
        <w:tc>
          <w:tcPr>
            <w:tcW w:type="dxa" w:w="108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22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风险</w:t>
            </w:r>
          </w:p>
        </w:tc>
        <w:tc>
          <w:tcPr>
            <w:tcW w:type="dxa" w:w="108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判定</w:t>
            </w:r>
          </w:p>
        </w:tc>
        <w:tc>
          <w:tcPr>
            <w:tcW w:type="dxa" w:w="2527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问题类型</w:t>
            </w:r>
          </w:p>
        </w:tc>
        <w:tc>
          <w:tcPr>
            <w:tcW w:type="dxa" w:w="3611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来源文档</w:t>
            </w:r>
          </w:p>
        </w:tc>
      </w:tr>
      <w:tr>
        <w:trPr>
          <w:cantSplit/>
        </w:trPr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INFRA-DI-001</w:t>
            </w:r>
          </w:p>
        </w:tc>
        <w:tc>
          <w:tcPr>
            <w:tcW w:type="dxa" w:w="7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25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36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</w:tr>
      <w:tr>
        <w:trPr>
          <w:cantSplit/>
        </w:trPr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INFRA-OBS-001</w:t>
            </w:r>
          </w:p>
        </w:tc>
        <w:tc>
          <w:tcPr>
            <w:tcW w:type="dxa" w:w="7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25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36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</w:tr>
    </w:tbl>
    <w:p>
      <w:r>
        <w:t xml:space="preserve"> </w:t>
      </w:r>
    </w:p>
    <w:p>
      <w:pPr>
        <w:pStyle w:val="Heading1"/>
      </w:pPr>
      <w:r>
        <w:t xml:space="preserve">逐条审查明细</w:t>
      </w:r>
    </w:p>
    <w:p>
      <w:pPr>
        <w:pStyle w:val="Heading2"/>
      </w:pPr>
      <w:r>
        <w:t xml:space="preserve">INFRA-DI-001（中 | fixed）</w:t>
      </w:r>
    </w:p>
    <w:p>
      <w:r>
        <w:rPr>
          <w:b/>
          <w:bCs/>
        </w:rPr>
        <w:t xml:space="preserve">来源文档：</w:t>
      </w:r>
      <w:r/>
    </w:p>
    <w:p>
      <w:r>
        <w:rPr>
          <w:b/>
          <w:bCs/>
        </w:rPr>
        <w:t xml:space="preserve">设计声明：</w:t>
      </w:r>
      <w:r>
        <w:t xml:space="preserve">DI 容器需读取配置并接线 scan_packages 与 interceptors，使“配置/框架存在”的能力实际生效。</w:t>
      </w:r>
    </w:p>
    <w:p>
      <w:r>
        <w:rPr>
          <w:b/>
          <w:bCs/>
        </w:rPr>
        <w:t xml:space="preserve">判定：</w:t>
      </w:r>
      <w:r>
        <w:t xml:space="preserve">✅一致</w:t>
      </w:r>
    </w:p>
    <w:p>
      <w:r>
        <w:rPr>
          <w:b/>
          <w:bCs/>
        </w:rPr>
        <w:t xml:space="preserve">问题类型：</w:t>
      </w:r>
      <w:r/>
    </w:p>
    <w:p>
      <w:r>
        <w:rPr>
          <w:b/>
          <w:bCs/>
        </w:rPr>
        <w:t xml:space="preserve">状态：</w:t>
      </w:r>
      <w:r>
        <w:t xml:space="preserve">fixed</w:t>
      </w:r>
    </w:p>
    <w:p>
      <w:r>
        <w:rPr>
          <w:b/>
          <w:bCs/>
        </w:rPr>
        <w:t xml:space="preserve">更新时间：</w:t>
      </w:r>
      <w:r>
        <w:t xml:space="preserve">2026-04-16</w:t>
      </w:r>
    </w:p>
    <w:p>
      <w:r>
        <w:rPr>
          <w:b/>
          <w:bCs/>
        </w:rPr>
        <w:t xml:space="preserve">代码/文档证据：</w:t>
      </w:r>
    </w:p>
    <w:p>
      <w:pPr>
        <w:pStyle w:val="ListParagraph"/>
        <w:numPr>
          <w:ilvl w:val="0"/>
          <w:numId w:val="2"/>
        </w:numPr>
      </w:pPr>
      <w:r>
        <w:t xml:space="preserve">code | aiPlat-infra/infra/di/container.py | DIContainerImpl.__init__ 会 bootstrap：build interceptors → scan_packages 导入模块 → 注册 @injectable 收集到的服务，并对 resolve 结果进行 Proxy 包装。</w:t>
      </w:r>
    </w:p>
    <w:p>
      <w:pPr>
        <w:pStyle w:val="ListParagraph"/>
        <w:numPr>
          <w:ilvl w:val="0"/>
          <w:numId w:val="2"/>
        </w:numPr>
      </w:pPr>
      <w:r>
        <w:t xml:space="preserve">code | aiPlat-infra/infra/di/auto.py | 提供 @injectable 与 list_injectables，用于扫描导入后自动注册。</w:t>
      </w:r>
    </w:p>
    <w:p>
      <w:pPr>
        <w:pStyle w:val="ListParagraph"/>
        <w:numPr>
          <w:ilvl w:val="0"/>
          <w:numId w:val="2"/>
        </w:numPr>
      </w:pPr>
      <w:r>
        <w:t xml:space="preserve">code | aiPlat-infra/infra/di/interceptors.py | InterceptorChain 修正为标准 around 语义，并提供 Proxy 将拦截器应用于方法调用。</w:t>
      </w:r>
    </w:p>
    <w:p>
      <w:r>
        <w:rPr>
          <w:b/>
          <w:bCs/>
        </w:rPr>
        <w:t xml:space="preserve">验证方法：</w:t>
      </w:r>
      <w:r>
        <w:t xml:space="preserve">pytest -q infra/tests/unit/test_di_scan_and_interceptors.py</w:t>
      </w:r>
    </w:p>
    <w:p>
      <w:r>
        <w:t xml:space="preserve"> </w:t>
      </w:r>
    </w:p>
    <w:p>
      <w:pPr>
        <w:pStyle w:val="Heading2"/>
      </w:pPr>
      <w:r>
        <w:t xml:space="preserve">INFRA-OBS-001（中 | fixed）</w:t>
      </w:r>
    </w:p>
    <w:p>
      <w:r>
        <w:rPr>
          <w:b/>
          <w:bCs/>
        </w:rPr>
        <w:t xml:space="preserve">来源文档：</w:t>
      </w:r>
      <w:r/>
    </w:p>
    <w:p>
      <w:r>
        <w:rPr>
          <w:b/>
          <w:bCs/>
        </w:rPr>
        <w:t xml:space="preserve">设计声明：</w:t>
      </w:r>
      <w:r>
        <w:t xml:space="preserve">observability 工厂需接入 opentelemetry-sdk，并提供可配置的 exporter/endpoint 以对齐文档中的 OTLP 导出能力。</w:t>
      </w:r>
    </w:p>
    <w:p>
      <w:r>
        <w:rPr>
          <w:b/>
          <w:bCs/>
        </w:rPr>
        <w:t xml:space="preserve">判定：</w:t>
      </w:r>
      <w:r>
        <w:t xml:space="preserve">✅一致</w:t>
      </w:r>
    </w:p>
    <w:p>
      <w:r>
        <w:rPr>
          <w:b/>
          <w:bCs/>
        </w:rPr>
        <w:t xml:space="preserve">问题类型：</w:t>
      </w:r>
      <w:r/>
    </w:p>
    <w:p>
      <w:r>
        <w:rPr>
          <w:b/>
          <w:bCs/>
        </w:rPr>
        <w:t xml:space="preserve">状态：</w:t>
      </w:r>
      <w:r>
        <w:t xml:space="preserve">fixed</w:t>
      </w:r>
    </w:p>
    <w:p>
      <w:r>
        <w:rPr>
          <w:b/>
          <w:bCs/>
        </w:rPr>
        <w:t xml:space="preserve">更新时间：</w:t>
      </w:r>
      <w:r>
        <w:t xml:space="preserve">2026-04-16</w:t>
      </w:r>
    </w:p>
    <w:p>
      <w:r>
        <w:rPr>
          <w:b/>
          <w:bCs/>
        </w:rPr>
        <w:t xml:space="preserve">代码/文档证据：</w:t>
      </w:r>
    </w:p>
    <w:p>
      <w:pPr>
        <w:pStyle w:val="ListParagraph"/>
        <w:numPr>
          <w:ilvl w:val="0"/>
          <w:numId w:val="2"/>
        </w:numPr>
      </w:pPr>
      <w:r>
        <w:t xml:space="preserve">code | aiPlat-infra/infra/observability/otel.py | 新增 OTel SDK 实现：trace 使用 TracerProvider + OTLPSpanExporter（默认）/InMemorySpanExporter（测试），metrics 使用 MeterProvider + OTLPMetricExporter（启用时）。</w:t>
      </w:r>
    </w:p>
    <w:p>
      <w:pPr>
        <w:pStyle w:val="ListParagraph"/>
        <w:numPr>
          <w:ilvl w:val="0"/>
          <w:numId w:val="2"/>
        </w:numPr>
      </w:pPr>
      <w:r>
        <w:t xml:space="preserve">code | aiPlat-infra/infra/observability/factory.py | 按 ObservabilityConfig.provider 选择 Simple* 或 OTel* 实现（provider=otel）。</w:t>
      </w:r>
    </w:p>
    <w:p>
      <w:pPr>
        <w:pStyle w:val="ListParagraph"/>
        <w:numPr>
          <w:ilvl w:val="0"/>
          <w:numId w:val="2"/>
        </w:numPr>
      </w:pPr>
      <w:r>
        <w:t xml:space="preserve">code | aiPlat-infra/pyproject.toml | 已加入 opentelemetry-api/opentelemetry-sdk/opentelemetry-exporter-otlp-proto-grpc 依赖。</w:t>
      </w:r>
    </w:p>
    <w:p>
      <w:r>
        <w:rPr>
          <w:b/>
          <w:bCs/>
        </w:rPr>
        <w:t xml:space="preserve">验证方法：</w:t>
      </w:r>
      <w:r>
        <w:t xml:space="preserve">pytest -q infra/tests/unit/test_observability_otel_provider.py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Arial" w:hAnsi="Arial" w:eastAsia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before="240" w:after="240"/>
      <w:outlineLvl w:val="0"/>
    </w:pPr>
    <w:rPr>
      <w:b/>
      <w:bCs/>
      <w:sz w:val="34"/>
      <w:szCs w:val="34"/>
      <w:rFonts w:ascii="Arial" w:hAnsi="Arial" w:eastAsia="Microsoft YaHei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before="180" w:after="180"/>
      <w:outlineLvl w:val="1"/>
    </w:pPr>
    <w:rPr>
      <w:b/>
      <w:bCs/>
      <w:sz w:val="28"/>
      <w:szCs w:val="28"/>
      <w:rFonts w:ascii="Arial" w:hAnsi="Arial" w:eastAsia="Microsoft YaHe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2026-04-15T16:51:31.816Z</dcterms:created>
  <dcterms:modified xsi:type="dcterms:W3CDTF">2026-04-15T16:51:31.816Z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