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D0C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ascii="微软雅黑" w:hAnsi="微软雅黑" w:eastAsia="微软雅黑" w:cs="微软雅黑"/>
          <w:b/>
          <w:bCs/>
          <w:i w:val="0"/>
          <w:iCs w:val="0"/>
          <w:caps w:val="0"/>
          <w:color w:val="1B1B1B"/>
          <w:spacing w:val="0"/>
          <w:sz w:val="22"/>
          <w:szCs w:val="22"/>
        </w:rPr>
      </w:pPr>
      <w:r>
        <w:rPr>
          <w:rFonts w:hint="eastAsia" w:ascii="微软雅黑" w:hAnsi="微软雅黑" w:eastAsia="微软雅黑" w:cs="微软雅黑"/>
          <w:b/>
          <w:bCs/>
          <w:i w:val="0"/>
          <w:iCs w:val="0"/>
          <w:caps w:val="0"/>
          <w:color w:val="1B1B1B"/>
          <w:spacing w:val="0"/>
          <w:sz w:val="22"/>
          <w:szCs w:val="22"/>
          <w:shd w:val="clear" w:fill="FFFFFF"/>
        </w:rPr>
        <w:t>差旅费管理办法</w:t>
      </w:r>
    </w:p>
    <w:p w14:paraId="313766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城市间交通费</w:t>
      </w:r>
    </w:p>
    <w:p w14:paraId="4DB3A5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43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一</w:t>
      </w:r>
      <w:r>
        <w:rPr>
          <w:rFonts w:hint="eastAsia" w:ascii="宋体" w:hAnsi="宋体" w:eastAsia="宋体" w:cs="宋体"/>
          <w:i w:val="0"/>
          <w:iCs w:val="0"/>
          <w:caps w:val="0"/>
          <w:color w:val="333333"/>
          <w:spacing w:val="0"/>
          <w:sz w:val="21"/>
          <w:szCs w:val="21"/>
          <w:shd w:val="clear" w:fill="FFFFFF"/>
        </w:rPr>
        <w:t>条 城市间交通费是指工作人员到常驻地以外地区出差乘坐客车、火车、轮船、飞机等交通工具所发生的费用。</w:t>
      </w:r>
    </w:p>
    <w:p w14:paraId="1D681F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条 乘坐城市间交通工具应不超过以下标准：</w:t>
      </w:r>
    </w:p>
    <w:tbl>
      <w:tblPr>
        <w:tblStyle w:val="5"/>
        <w:tblW w:w="4454"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806"/>
        <w:gridCol w:w="1059"/>
        <w:gridCol w:w="962"/>
      </w:tblGrid>
      <w:tr w14:paraId="096FEAC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auto"/>
          <w:tblCellMar>
            <w:top w:w="0" w:type="dxa"/>
            <w:left w:w="0" w:type="dxa"/>
            <w:bottom w:w="0" w:type="dxa"/>
            <w:right w:w="0" w:type="dxa"/>
          </w:tblCellMar>
        </w:tblPrEx>
        <w:trPr>
          <w:trHeight w:val="500" w:hRule="atLeast"/>
          <w:jc w:val="center"/>
        </w:trPr>
        <w:tc>
          <w:tcPr>
            <w:tcW w:w="1627" w:type="dxa"/>
            <w:tcBorders>
              <w:top w:val="single" w:color="000000" w:sz="4" w:space="0"/>
              <w:left w:val="nil"/>
              <w:bottom w:val="single" w:color="000000" w:sz="4" w:space="0"/>
              <w:right w:val="single" w:color="000000" w:sz="4" w:space="0"/>
            </w:tcBorders>
            <w:shd w:val="clear" w:color="auto" w:fill="auto"/>
            <w:tcMar>
              <w:left w:w="70" w:type="dxa"/>
              <w:right w:w="70" w:type="dxa"/>
            </w:tcMar>
            <w:vAlign w:val="center"/>
          </w:tcPr>
          <w:p w14:paraId="54A4E8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火车</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含高铁</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动车</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全列软席列车</w:t>
            </w:r>
            <w:r>
              <w:rPr>
                <w:rFonts w:hint="eastAsia" w:ascii="宋体" w:hAnsi="宋体" w:eastAsia="宋体" w:cs="宋体"/>
                <w:color w:val="333333"/>
                <w:sz w:val="15"/>
                <w:szCs w:val="15"/>
                <w:lang w:val="en-US"/>
              </w:rPr>
              <w:t>)</w:t>
            </w:r>
          </w:p>
        </w:tc>
        <w:tc>
          <w:tcPr>
            <w:tcW w:w="806" w:type="dxa"/>
            <w:tcBorders>
              <w:top w:val="single" w:color="000000" w:sz="4" w:space="0"/>
              <w:left w:val="nil"/>
              <w:bottom w:val="single" w:color="000000" w:sz="4" w:space="0"/>
              <w:right w:val="single" w:color="000000" w:sz="4" w:space="0"/>
            </w:tcBorders>
            <w:shd w:val="clear" w:color="auto" w:fill="auto"/>
            <w:tcMar>
              <w:left w:w="70" w:type="dxa"/>
              <w:right w:w="70" w:type="dxa"/>
            </w:tcMar>
            <w:vAlign w:val="center"/>
          </w:tcPr>
          <w:p w14:paraId="341EE9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轮船</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不包括旅游船</w:t>
            </w:r>
            <w:r>
              <w:rPr>
                <w:rFonts w:hint="eastAsia" w:ascii="宋体" w:hAnsi="宋体" w:eastAsia="宋体" w:cs="宋体"/>
                <w:color w:val="333333"/>
                <w:sz w:val="15"/>
                <w:szCs w:val="15"/>
                <w:lang w:val="en-US"/>
              </w:rPr>
              <w:t>)</w:t>
            </w:r>
          </w:p>
        </w:tc>
        <w:tc>
          <w:tcPr>
            <w:tcW w:w="1059" w:type="dxa"/>
            <w:tcBorders>
              <w:top w:val="single" w:color="000000" w:sz="4" w:space="0"/>
              <w:left w:val="nil"/>
              <w:bottom w:val="single" w:color="000000" w:sz="4" w:space="0"/>
              <w:right w:val="single" w:color="000000" w:sz="4" w:space="0"/>
            </w:tcBorders>
            <w:shd w:val="clear" w:color="auto" w:fill="auto"/>
            <w:tcMar>
              <w:left w:w="70" w:type="dxa"/>
              <w:right w:w="70" w:type="dxa"/>
            </w:tcMar>
            <w:vAlign w:val="center"/>
          </w:tcPr>
          <w:p w14:paraId="6F6642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飞机</w:t>
            </w:r>
          </w:p>
        </w:tc>
        <w:tc>
          <w:tcPr>
            <w:tcW w:w="962" w:type="dxa"/>
            <w:tcBorders>
              <w:top w:val="single" w:color="000000" w:sz="4" w:space="0"/>
              <w:left w:val="nil"/>
              <w:bottom w:val="single" w:color="000000" w:sz="4" w:space="0"/>
              <w:right w:val="single" w:color="000000" w:sz="4" w:space="0"/>
            </w:tcBorders>
            <w:shd w:val="clear" w:color="auto" w:fill="auto"/>
            <w:tcMar>
              <w:left w:w="70" w:type="dxa"/>
              <w:right w:w="70" w:type="dxa"/>
            </w:tcMar>
            <w:vAlign w:val="center"/>
          </w:tcPr>
          <w:p w14:paraId="344EF7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jc w:val="center"/>
              <w:rPr>
                <w:color w:val="333333"/>
                <w:sz w:val="14"/>
                <w:szCs w:val="14"/>
              </w:rPr>
            </w:pPr>
            <w:r>
              <w:rPr>
                <w:rFonts w:hint="eastAsia" w:ascii="宋体" w:hAnsi="宋体" w:eastAsia="宋体" w:cs="宋体"/>
                <w:color w:val="333333"/>
                <w:sz w:val="15"/>
                <w:szCs w:val="15"/>
              </w:rPr>
              <w:t>其他交通工具</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不包括出租小汽车</w:t>
            </w:r>
            <w:r>
              <w:rPr>
                <w:rFonts w:hint="eastAsia" w:ascii="宋体" w:hAnsi="宋体" w:eastAsia="宋体" w:cs="宋体"/>
                <w:color w:val="333333"/>
                <w:sz w:val="15"/>
                <w:szCs w:val="15"/>
                <w:lang w:val="en-US"/>
              </w:rPr>
              <w:t>)</w:t>
            </w:r>
          </w:p>
        </w:tc>
      </w:tr>
      <w:tr w14:paraId="74025BC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750" w:hRule="atLeast"/>
          <w:jc w:val="center"/>
        </w:trPr>
        <w:tc>
          <w:tcPr>
            <w:tcW w:w="1627" w:type="dxa"/>
            <w:tcBorders>
              <w:top w:val="nil"/>
              <w:left w:val="nil"/>
              <w:bottom w:val="single" w:color="000000" w:sz="4" w:space="0"/>
              <w:right w:val="single" w:color="000000" w:sz="4" w:space="0"/>
            </w:tcBorders>
            <w:shd w:val="clear" w:color="auto" w:fill="auto"/>
            <w:tcMar>
              <w:left w:w="70" w:type="dxa"/>
              <w:right w:w="70" w:type="dxa"/>
            </w:tcMar>
            <w:vAlign w:val="center"/>
          </w:tcPr>
          <w:p w14:paraId="34A037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火车硬席（硬座、硬卧），高铁</w:t>
            </w:r>
            <w:r>
              <w:rPr>
                <w:rFonts w:hint="eastAsia" w:ascii="宋体" w:hAnsi="宋体" w:eastAsia="宋体" w:cs="宋体"/>
                <w:color w:val="333333"/>
                <w:sz w:val="15"/>
                <w:szCs w:val="15"/>
                <w:lang w:val="en-US"/>
              </w:rPr>
              <w:t>/</w:t>
            </w:r>
            <w:r>
              <w:rPr>
                <w:rFonts w:hint="eastAsia" w:ascii="宋体" w:hAnsi="宋体" w:eastAsia="宋体" w:cs="宋体"/>
                <w:color w:val="333333"/>
                <w:sz w:val="15"/>
                <w:szCs w:val="15"/>
              </w:rPr>
              <w:t>动车二等座、全列软席列车二等软座</w:t>
            </w:r>
          </w:p>
        </w:tc>
        <w:tc>
          <w:tcPr>
            <w:tcW w:w="806" w:type="dxa"/>
            <w:tcBorders>
              <w:top w:val="nil"/>
              <w:left w:val="nil"/>
              <w:bottom w:val="single" w:color="000000" w:sz="4" w:space="0"/>
              <w:right w:val="single" w:color="000000" w:sz="4" w:space="0"/>
            </w:tcBorders>
            <w:shd w:val="clear" w:color="auto" w:fill="auto"/>
            <w:tcMar>
              <w:left w:w="70" w:type="dxa"/>
              <w:right w:w="70" w:type="dxa"/>
            </w:tcMar>
            <w:vAlign w:val="center"/>
          </w:tcPr>
          <w:p w14:paraId="276B06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三等舱</w:t>
            </w:r>
          </w:p>
        </w:tc>
        <w:tc>
          <w:tcPr>
            <w:tcW w:w="1059" w:type="dxa"/>
            <w:tcBorders>
              <w:top w:val="nil"/>
              <w:left w:val="nil"/>
              <w:bottom w:val="single" w:color="000000" w:sz="4" w:space="0"/>
              <w:right w:val="single" w:color="000000" w:sz="4" w:space="0"/>
            </w:tcBorders>
            <w:shd w:val="clear" w:color="auto" w:fill="auto"/>
            <w:tcMar>
              <w:left w:w="70" w:type="dxa"/>
              <w:right w:w="70" w:type="dxa"/>
            </w:tcMar>
            <w:vAlign w:val="center"/>
          </w:tcPr>
          <w:p w14:paraId="2215F5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rPr>
                <w:color w:val="333333"/>
                <w:sz w:val="14"/>
                <w:szCs w:val="14"/>
              </w:rPr>
            </w:pPr>
            <w:r>
              <w:rPr>
                <w:rFonts w:hint="eastAsia" w:ascii="宋体" w:hAnsi="宋体" w:eastAsia="宋体" w:cs="宋体"/>
                <w:color w:val="333333"/>
                <w:sz w:val="15"/>
                <w:szCs w:val="15"/>
              </w:rPr>
              <w:t>经济舱</w:t>
            </w:r>
          </w:p>
        </w:tc>
        <w:tc>
          <w:tcPr>
            <w:tcW w:w="962" w:type="dxa"/>
            <w:tcBorders>
              <w:top w:val="nil"/>
              <w:left w:val="nil"/>
              <w:bottom w:val="single" w:color="000000" w:sz="4" w:space="0"/>
              <w:right w:val="single" w:color="000000" w:sz="4" w:space="0"/>
            </w:tcBorders>
            <w:shd w:val="clear" w:color="auto" w:fill="auto"/>
            <w:tcMar>
              <w:left w:w="70" w:type="dxa"/>
              <w:right w:w="70" w:type="dxa"/>
            </w:tcMar>
            <w:vAlign w:val="center"/>
          </w:tcPr>
          <w:p w14:paraId="199593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0" w:lineRule="atLeast"/>
              <w:ind w:left="0" w:right="0"/>
              <w:jc w:val="center"/>
              <w:rPr>
                <w:color w:val="333333"/>
                <w:sz w:val="14"/>
                <w:szCs w:val="14"/>
              </w:rPr>
            </w:pPr>
            <w:r>
              <w:rPr>
                <w:rFonts w:hint="eastAsia" w:ascii="宋体" w:hAnsi="宋体" w:eastAsia="宋体" w:cs="宋体"/>
                <w:color w:val="333333"/>
                <w:sz w:val="15"/>
                <w:szCs w:val="15"/>
              </w:rPr>
              <w:t>凭据报销</w:t>
            </w:r>
          </w:p>
        </w:tc>
      </w:tr>
    </w:tbl>
    <w:p w14:paraId="3E02D1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三</w:t>
      </w:r>
      <w:r>
        <w:rPr>
          <w:rFonts w:hint="eastAsia" w:ascii="宋体" w:hAnsi="宋体" w:eastAsia="宋体" w:cs="宋体"/>
          <w:i w:val="0"/>
          <w:iCs w:val="0"/>
          <w:caps w:val="0"/>
          <w:color w:val="333333"/>
          <w:spacing w:val="0"/>
          <w:sz w:val="21"/>
          <w:szCs w:val="21"/>
          <w:shd w:val="clear" w:fill="FFFFFF"/>
        </w:rPr>
        <w:t>条 到出差目的地有多种交通工具可选择时，出差人员在不影响出差安排、确保安全的前提下，应当选乘相对经济便捷的交通工具。</w:t>
      </w:r>
    </w:p>
    <w:p w14:paraId="5A6312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43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四</w:t>
      </w:r>
      <w:r>
        <w:rPr>
          <w:rFonts w:hint="eastAsia" w:ascii="宋体" w:hAnsi="宋体" w:eastAsia="宋体" w:cs="宋体"/>
          <w:i w:val="0"/>
          <w:iCs w:val="0"/>
          <w:caps w:val="0"/>
          <w:color w:val="333333"/>
          <w:spacing w:val="0"/>
          <w:sz w:val="21"/>
          <w:szCs w:val="21"/>
          <w:shd w:val="clear" w:fill="FFFFFF"/>
        </w:rPr>
        <w:t>条 出差人员未按规定乘坐交通工具的，超支部分个人自理。对于乘坐夕发朝至的全列软席火车的普通软席，或连续乘坐超过</w:t>
      </w:r>
      <w:r>
        <w:rPr>
          <w:rFonts w:hint="eastAsia" w:ascii="宋体" w:hAnsi="宋体" w:eastAsia="宋体" w:cs="宋体"/>
          <w:i w:val="0"/>
          <w:iCs w:val="0"/>
          <w:caps w:val="0"/>
          <w:color w:val="333333"/>
          <w:spacing w:val="0"/>
          <w:sz w:val="21"/>
          <w:szCs w:val="21"/>
          <w:shd w:val="clear" w:fill="FFFFFF"/>
          <w:lang w:val="en-US"/>
        </w:rPr>
        <w:t> 6 </w:t>
      </w:r>
      <w:r>
        <w:rPr>
          <w:rFonts w:hint="eastAsia" w:ascii="宋体" w:hAnsi="宋体" w:eastAsia="宋体" w:cs="宋体"/>
          <w:i w:val="0"/>
          <w:iCs w:val="0"/>
          <w:caps w:val="0"/>
          <w:color w:val="333333"/>
          <w:spacing w:val="0"/>
          <w:sz w:val="21"/>
          <w:szCs w:val="21"/>
          <w:shd w:val="clear" w:fill="FFFFFF"/>
        </w:rPr>
        <w:t>小时火车的普通软席时，不受出差人员级别限制，凭据报销。</w:t>
      </w:r>
    </w:p>
    <w:p w14:paraId="271893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五</w:t>
      </w:r>
      <w:r>
        <w:rPr>
          <w:rFonts w:hint="eastAsia" w:ascii="宋体" w:hAnsi="宋体" w:eastAsia="宋体" w:cs="宋体"/>
          <w:i w:val="0"/>
          <w:iCs w:val="0"/>
          <w:caps w:val="0"/>
          <w:color w:val="333333"/>
          <w:spacing w:val="0"/>
          <w:sz w:val="21"/>
          <w:szCs w:val="21"/>
          <w:shd w:val="clear" w:fill="FFFFFF"/>
        </w:rPr>
        <w:t>条</w:t>
      </w:r>
      <w:r>
        <w:rPr>
          <w:rFonts w:hint="eastAsia" w:ascii="宋体" w:hAnsi="宋体" w:eastAsia="宋体" w:cs="宋体"/>
          <w:i w:val="0"/>
          <w:iCs w:val="0"/>
          <w:caps w:val="0"/>
          <w:color w:val="333333"/>
          <w:spacing w:val="0"/>
          <w:sz w:val="21"/>
          <w:szCs w:val="21"/>
          <w:shd w:val="clear" w:fill="FFFFFF"/>
          <w:lang w:val="en-US" w:eastAsia="zh-CN"/>
        </w:rPr>
        <w:t xml:space="preserve"> </w:t>
      </w:r>
      <w:r>
        <w:rPr>
          <w:rFonts w:hint="eastAsia" w:ascii="宋体" w:hAnsi="宋体" w:eastAsia="宋体" w:cs="宋体"/>
          <w:i w:val="0"/>
          <w:iCs w:val="0"/>
          <w:caps w:val="0"/>
          <w:color w:val="333333"/>
          <w:spacing w:val="0"/>
          <w:sz w:val="21"/>
          <w:szCs w:val="21"/>
          <w:shd w:val="clear" w:fill="FFFFFF"/>
        </w:rPr>
        <w:t>乘坐火车、轮船、飞机、客车等交通工具的，乘坐一次交通工具限报一份交通意外险，凭据报销，多买费用自付。</w:t>
      </w:r>
    </w:p>
    <w:p w14:paraId="50104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六</w:t>
      </w:r>
      <w:r>
        <w:rPr>
          <w:rFonts w:hint="eastAsia" w:ascii="宋体" w:hAnsi="宋体" w:eastAsia="宋体" w:cs="宋体"/>
          <w:i w:val="0"/>
          <w:iCs w:val="0"/>
          <w:caps w:val="0"/>
          <w:color w:val="333333"/>
          <w:spacing w:val="0"/>
          <w:sz w:val="21"/>
          <w:szCs w:val="21"/>
          <w:shd w:val="clear" w:fill="FFFFFF"/>
        </w:rPr>
        <w:t>条</w:t>
      </w:r>
      <w:r>
        <w:rPr>
          <w:rFonts w:hint="eastAsia" w:ascii="宋体" w:hAnsi="宋体" w:eastAsia="宋体" w:cs="宋体"/>
          <w:i w:val="0"/>
          <w:iCs w:val="0"/>
          <w:caps w:val="0"/>
          <w:color w:val="333333"/>
          <w:spacing w:val="0"/>
          <w:sz w:val="21"/>
          <w:szCs w:val="21"/>
          <w:shd w:val="clear" w:fill="FFFFFF"/>
          <w:lang w:val="en-US" w:eastAsia="zh-CN"/>
        </w:rPr>
        <w:t xml:space="preserve"> </w:t>
      </w:r>
      <w:r>
        <w:rPr>
          <w:rFonts w:hint="eastAsia" w:ascii="宋体" w:hAnsi="宋体" w:eastAsia="宋体" w:cs="宋体"/>
          <w:i w:val="0"/>
          <w:iCs w:val="0"/>
          <w:caps w:val="0"/>
          <w:color w:val="333333"/>
          <w:spacing w:val="0"/>
          <w:sz w:val="21"/>
          <w:szCs w:val="21"/>
          <w:shd w:val="clear" w:fill="FFFFFF"/>
        </w:rPr>
        <w:t>出差期间发生的订票费、签转或退票费、民航发展基金、燃油附加费等相关费用可以凭据报销。乘坐往返机场、车站的常住地交通工具（含机场专线客车）费用可凭据报销。</w:t>
      </w:r>
    </w:p>
    <w:p w14:paraId="15B0C8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住宿费</w:t>
      </w:r>
    </w:p>
    <w:p w14:paraId="64B005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七</w:t>
      </w:r>
      <w:r>
        <w:rPr>
          <w:rFonts w:hint="eastAsia" w:ascii="宋体" w:hAnsi="宋体" w:eastAsia="宋体" w:cs="宋体"/>
          <w:i w:val="0"/>
          <w:iCs w:val="0"/>
          <w:caps w:val="0"/>
          <w:color w:val="333333"/>
          <w:spacing w:val="0"/>
          <w:sz w:val="21"/>
          <w:szCs w:val="21"/>
          <w:shd w:val="clear" w:fill="FFFFFF"/>
        </w:rPr>
        <w:t>条 住宿费是指工作人员因公出差期间入住宾馆（包括饭店、招待所，下同）发生的房租费用。</w:t>
      </w:r>
    </w:p>
    <w:p w14:paraId="45B795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八</w:t>
      </w:r>
      <w:r>
        <w:rPr>
          <w:rFonts w:hint="eastAsia" w:ascii="宋体" w:hAnsi="宋体" w:eastAsia="宋体" w:cs="宋体"/>
          <w:i w:val="0"/>
          <w:iCs w:val="0"/>
          <w:caps w:val="0"/>
          <w:color w:val="333333"/>
          <w:spacing w:val="0"/>
          <w:sz w:val="21"/>
          <w:szCs w:val="21"/>
          <w:shd w:val="clear" w:fill="FFFFFF"/>
        </w:rPr>
        <w:t>条 出差人员应当按照职称职务所对应的住宿费限额标准，选择安全、经济、便捷的宾馆住宿，在标准限额之内凭发票据实报销，超出部分由个人自理。</w:t>
      </w:r>
    </w:p>
    <w:p w14:paraId="2D02A6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九</w:t>
      </w:r>
      <w:r>
        <w:rPr>
          <w:rFonts w:hint="eastAsia" w:ascii="宋体" w:hAnsi="宋体" w:eastAsia="宋体" w:cs="宋体"/>
          <w:i w:val="0"/>
          <w:iCs w:val="0"/>
          <w:caps w:val="0"/>
          <w:color w:val="333333"/>
          <w:spacing w:val="0"/>
          <w:sz w:val="21"/>
          <w:szCs w:val="21"/>
          <w:shd w:val="clear" w:fill="FFFFFF"/>
        </w:rPr>
        <w:t>条 住宿费发票应严格按照报销管理规定，注明住宿天数（或时间）、人数（或房间数）、单价等基本信息，以便判断住宿费是否符合标准。如因宾馆客观条件限制无法在发票上体现住宿天数、人数（或房间数）、单价，应由住宿提供方提供住宿清单并盖章予以补充确认。</w:t>
      </w:r>
    </w:p>
    <w:p w14:paraId="674023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第四章 伙食补助费</w:t>
      </w:r>
    </w:p>
    <w:p w14:paraId="7AC16B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w:t>
      </w:r>
      <w:r>
        <w:rPr>
          <w:rFonts w:hint="eastAsia" w:ascii="宋体" w:hAnsi="宋体" w:eastAsia="宋体" w:cs="宋体"/>
          <w:i w:val="0"/>
          <w:iCs w:val="0"/>
          <w:caps w:val="0"/>
          <w:color w:val="333333"/>
          <w:spacing w:val="0"/>
          <w:sz w:val="21"/>
          <w:szCs w:val="21"/>
          <w:shd w:val="clear" w:fill="FFFFFF"/>
        </w:rPr>
        <w:t>条 伙食补助费是指对工作人员在因公出差期间给予的伙食补助费用。</w:t>
      </w:r>
    </w:p>
    <w:p w14:paraId="20EF02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十一</w:t>
      </w:r>
      <w:r>
        <w:rPr>
          <w:rFonts w:hint="eastAsia" w:ascii="宋体" w:hAnsi="宋体" w:eastAsia="宋体" w:cs="宋体"/>
          <w:i w:val="0"/>
          <w:iCs w:val="0"/>
          <w:caps w:val="0"/>
          <w:color w:val="333333"/>
          <w:spacing w:val="0"/>
          <w:sz w:val="21"/>
          <w:szCs w:val="21"/>
          <w:shd w:val="clear" w:fill="FFFFFF"/>
        </w:rPr>
        <w:t>条 出差人员的伙食补助费，按出差自然（日历）天数计算，按国家规定的标准包干使用。发放标准除西藏、青海、新疆为</w:t>
      </w:r>
      <w:r>
        <w:rPr>
          <w:rFonts w:hint="eastAsia" w:ascii="宋体" w:hAnsi="宋体" w:eastAsia="宋体" w:cs="宋体"/>
          <w:i w:val="0"/>
          <w:iCs w:val="0"/>
          <w:caps w:val="0"/>
          <w:color w:val="333333"/>
          <w:spacing w:val="0"/>
          <w:sz w:val="21"/>
          <w:szCs w:val="21"/>
          <w:shd w:val="clear" w:fill="FFFFFF"/>
          <w:lang w:val="en-US"/>
        </w:rPr>
        <w:t> 120 </w:t>
      </w:r>
      <w:r>
        <w:rPr>
          <w:rFonts w:hint="eastAsia" w:ascii="宋体" w:hAnsi="宋体" w:eastAsia="宋体" w:cs="宋体"/>
          <w:i w:val="0"/>
          <w:iCs w:val="0"/>
          <w:caps w:val="0"/>
          <w:color w:val="333333"/>
          <w:spacing w:val="0"/>
          <w:sz w:val="21"/>
          <w:szCs w:val="21"/>
          <w:shd w:val="clear" w:fill="FFFFFF"/>
        </w:rPr>
        <w:t>元</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人</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天外，其余地区均为</w:t>
      </w:r>
      <w:r>
        <w:rPr>
          <w:rFonts w:hint="eastAsia" w:ascii="宋体" w:hAnsi="宋体" w:eastAsia="宋体" w:cs="宋体"/>
          <w:i w:val="0"/>
          <w:iCs w:val="0"/>
          <w:caps w:val="0"/>
          <w:color w:val="333333"/>
          <w:spacing w:val="0"/>
          <w:sz w:val="21"/>
          <w:szCs w:val="21"/>
          <w:shd w:val="clear" w:fill="FFFFFF"/>
          <w:lang w:val="en-US"/>
        </w:rPr>
        <w:t> 100 </w:t>
      </w:r>
      <w:r>
        <w:rPr>
          <w:rFonts w:hint="eastAsia" w:ascii="宋体" w:hAnsi="宋体" w:eastAsia="宋体" w:cs="宋体"/>
          <w:i w:val="0"/>
          <w:iCs w:val="0"/>
          <w:caps w:val="0"/>
          <w:color w:val="333333"/>
          <w:spacing w:val="0"/>
          <w:sz w:val="21"/>
          <w:szCs w:val="21"/>
          <w:shd w:val="clear" w:fill="FFFFFF"/>
        </w:rPr>
        <w:t>元</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人</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天。伙食补助费按出差目的地的标准报销，如连续不间断出差，分段确定出差目的地。</w:t>
      </w:r>
    </w:p>
    <w:p w14:paraId="014FD1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十二</w:t>
      </w:r>
      <w:r>
        <w:rPr>
          <w:rFonts w:hint="eastAsia" w:ascii="宋体" w:hAnsi="宋体" w:eastAsia="宋体" w:cs="宋体"/>
          <w:i w:val="0"/>
          <w:iCs w:val="0"/>
          <w:caps w:val="0"/>
          <w:color w:val="333333"/>
          <w:spacing w:val="0"/>
          <w:sz w:val="21"/>
          <w:szCs w:val="21"/>
          <w:shd w:val="clear" w:fill="FFFFFF"/>
        </w:rPr>
        <w:t>条 出差人员出差期间已由</w:t>
      </w:r>
      <w:r>
        <w:rPr>
          <w:rFonts w:hint="eastAsia" w:ascii="宋体" w:hAnsi="宋体" w:eastAsia="宋体" w:cs="宋体"/>
          <w:i w:val="0"/>
          <w:iCs w:val="0"/>
          <w:caps w:val="0"/>
          <w:color w:val="333333"/>
          <w:spacing w:val="0"/>
          <w:sz w:val="21"/>
          <w:szCs w:val="21"/>
          <w:shd w:val="clear" w:fill="FFFFFF"/>
          <w:lang w:val="en-US" w:eastAsia="zh-CN"/>
        </w:rPr>
        <w:t>其他</w:t>
      </w:r>
      <w:r>
        <w:rPr>
          <w:rFonts w:hint="eastAsia" w:ascii="宋体" w:hAnsi="宋体" w:eastAsia="宋体" w:cs="宋体"/>
          <w:i w:val="0"/>
          <w:iCs w:val="0"/>
          <w:caps w:val="0"/>
          <w:color w:val="333333"/>
          <w:spacing w:val="0"/>
          <w:sz w:val="21"/>
          <w:szCs w:val="21"/>
          <w:shd w:val="clear" w:fill="FFFFFF"/>
        </w:rPr>
        <w:t>单位承担伙食费用的，除在途期间外，其余天数不得在重复报销领取伙食补助费。</w:t>
      </w:r>
    </w:p>
    <w:p w14:paraId="307085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第五章 市内交通费</w:t>
      </w:r>
    </w:p>
    <w:p w14:paraId="0EA63E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80"/>
        <w:rPr>
          <w:color w:val="333333"/>
          <w:sz w:val="14"/>
          <w:szCs w:val="14"/>
        </w:rPr>
      </w:pPr>
      <w:r>
        <w:rPr>
          <w:rFonts w:hint="eastAsia" w:ascii="宋体" w:hAnsi="宋体" w:eastAsia="宋体" w:cs="宋体"/>
          <w:i w:val="0"/>
          <w:iCs w:val="0"/>
          <w:caps w:val="0"/>
          <w:color w:val="333333"/>
          <w:spacing w:val="0"/>
          <w:sz w:val="21"/>
          <w:szCs w:val="21"/>
          <w:shd w:val="clear" w:fill="FFFFFF"/>
        </w:rPr>
        <w:t>第十</w:t>
      </w:r>
      <w:r>
        <w:rPr>
          <w:rFonts w:hint="eastAsia" w:ascii="宋体" w:hAnsi="宋体" w:eastAsia="宋体" w:cs="宋体"/>
          <w:i w:val="0"/>
          <w:iCs w:val="0"/>
          <w:caps w:val="0"/>
          <w:color w:val="333333"/>
          <w:spacing w:val="0"/>
          <w:sz w:val="21"/>
          <w:szCs w:val="21"/>
          <w:shd w:val="clear" w:fill="FFFFFF"/>
          <w:lang w:val="en-US" w:eastAsia="zh-CN"/>
        </w:rPr>
        <w:t>三</w:t>
      </w:r>
      <w:r>
        <w:rPr>
          <w:rFonts w:hint="eastAsia" w:ascii="宋体" w:hAnsi="宋体" w:eastAsia="宋体" w:cs="宋体"/>
          <w:i w:val="0"/>
          <w:iCs w:val="0"/>
          <w:caps w:val="0"/>
          <w:color w:val="333333"/>
          <w:spacing w:val="0"/>
          <w:sz w:val="21"/>
          <w:szCs w:val="21"/>
          <w:shd w:val="clear" w:fill="FFFFFF"/>
        </w:rPr>
        <w:t>条 市内交通费是指工作人员因公出差期间发生的差旅地市内交通费用。</w:t>
      </w:r>
    </w:p>
    <w:p w14:paraId="7D3FA7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十四</w:t>
      </w:r>
      <w:r>
        <w:rPr>
          <w:rFonts w:hint="eastAsia" w:ascii="宋体" w:hAnsi="宋体" w:eastAsia="宋体" w:cs="宋体"/>
          <w:i w:val="0"/>
          <w:iCs w:val="0"/>
          <w:caps w:val="0"/>
          <w:color w:val="333333"/>
          <w:spacing w:val="0"/>
          <w:sz w:val="21"/>
          <w:szCs w:val="21"/>
          <w:shd w:val="clear" w:fill="FFFFFF"/>
        </w:rPr>
        <w:t>条 出差人员的市内交通费，以城市间交通费票据所记载日期为凭据，按出差自然（日历）天数计算，每人每天</w:t>
      </w:r>
      <w:r>
        <w:rPr>
          <w:rFonts w:hint="eastAsia" w:ascii="宋体" w:hAnsi="宋体" w:eastAsia="宋体" w:cs="宋体"/>
          <w:i w:val="0"/>
          <w:iCs w:val="0"/>
          <w:caps w:val="0"/>
          <w:color w:val="333333"/>
          <w:spacing w:val="0"/>
          <w:sz w:val="21"/>
          <w:szCs w:val="21"/>
          <w:shd w:val="clear" w:fill="FFFFFF"/>
          <w:lang w:val="en-US"/>
        </w:rPr>
        <w:t> 80</w:t>
      </w:r>
      <w:r>
        <w:rPr>
          <w:rFonts w:hint="eastAsia" w:ascii="宋体" w:hAnsi="宋体" w:eastAsia="宋体" w:cs="宋体"/>
          <w:i w:val="0"/>
          <w:iCs w:val="0"/>
          <w:caps w:val="0"/>
          <w:color w:val="333333"/>
          <w:spacing w:val="0"/>
          <w:sz w:val="21"/>
          <w:szCs w:val="21"/>
          <w:shd w:val="clear" w:fill="FFFFFF"/>
        </w:rPr>
        <w:t>元包干使用，也可在标准内凭据报销市内交通费。</w:t>
      </w:r>
    </w:p>
    <w:p w14:paraId="40FA36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十五</w:t>
      </w:r>
      <w:r>
        <w:rPr>
          <w:rFonts w:hint="eastAsia" w:ascii="宋体" w:hAnsi="宋体" w:eastAsia="宋体" w:cs="宋体"/>
          <w:i w:val="0"/>
          <w:iCs w:val="0"/>
          <w:caps w:val="0"/>
          <w:color w:val="333333"/>
          <w:spacing w:val="0"/>
          <w:sz w:val="21"/>
          <w:szCs w:val="21"/>
          <w:shd w:val="clear" w:fill="FFFFFF"/>
        </w:rPr>
        <w:t>条 出差人员在目的地期间已由</w:t>
      </w:r>
      <w:r>
        <w:rPr>
          <w:rFonts w:hint="eastAsia" w:ascii="宋体" w:hAnsi="宋体" w:eastAsia="宋体" w:cs="宋体"/>
          <w:i w:val="0"/>
          <w:iCs w:val="0"/>
          <w:caps w:val="0"/>
          <w:color w:val="333333"/>
          <w:spacing w:val="0"/>
          <w:sz w:val="21"/>
          <w:szCs w:val="21"/>
          <w:shd w:val="clear" w:fill="FFFFFF"/>
          <w:lang w:val="en-US" w:eastAsia="zh-CN"/>
        </w:rPr>
        <w:t>其他</w:t>
      </w:r>
      <w:r>
        <w:rPr>
          <w:rFonts w:hint="eastAsia" w:ascii="宋体" w:hAnsi="宋体" w:eastAsia="宋体" w:cs="宋体"/>
          <w:i w:val="0"/>
          <w:iCs w:val="0"/>
          <w:caps w:val="0"/>
          <w:color w:val="333333"/>
          <w:spacing w:val="0"/>
          <w:sz w:val="21"/>
          <w:szCs w:val="21"/>
          <w:shd w:val="clear" w:fill="FFFFFF"/>
        </w:rPr>
        <w:t>单位负担市内交通费用的，除在途期间外，不得在重复报销领取市内交通费。</w:t>
      </w:r>
    </w:p>
    <w:p w14:paraId="71E647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十六</w:t>
      </w:r>
      <w:r>
        <w:rPr>
          <w:rFonts w:hint="eastAsia" w:ascii="宋体" w:hAnsi="宋体" w:eastAsia="宋体" w:cs="宋体"/>
          <w:i w:val="0"/>
          <w:iCs w:val="0"/>
          <w:caps w:val="0"/>
          <w:color w:val="333333"/>
          <w:spacing w:val="0"/>
          <w:sz w:val="21"/>
          <w:szCs w:val="21"/>
          <w:shd w:val="clear" w:fill="FFFFFF"/>
        </w:rPr>
        <w:t>条 因特殊原因，出差人选择租车或自驾车出差的，不得在报销租车费、自驾车过路过桥费和加油费、住宿费外同时重复报销领取市内交通费。</w:t>
      </w:r>
    </w:p>
    <w:p w14:paraId="418B61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十七</w:t>
      </w:r>
      <w:r>
        <w:rPr>
          <w:rFonts w:hint="eastAsia" w:ascii="宋体" w:hAnsi="宋体" w:eastAsia="宋体" w:cs="宋体"/>
          <w:i w:val="0"/>
          <w:iCs w:val="0"/>
          <w:caps w:val="0"/>
          <w:color w:val="333333"/>
          <w:spacing w:val="0"/>
          <w:sz w:val="21"/>
          <w:szCs w:val="21"/>
          <w:shd w:val="clear" w:fill="FFFFFF"/>
        </w:rPr>
        <w:t>条</w:t>
      </w:r>
      <w:r>
        <w:rPr>
          <w:rFonts w:hint="eastAsia" w:ascii="宋体" w:hAnsi="宋体" w:eastAsia="宋体" w:cs="宋体"/>
          <w:i w:val="0"/>
          <w:iCs w:val="0"/>
          <w:caps w:val="0"/>
          <w:color w:val="333333"/>
          <w:spacing w:val="0"/>
          <w:sz w:val="21"/>
          <w:szCs w:val="21"/>
          <w:shd w:val="clear" w:fill="FFFFFF"/>
          <w:lang w:val="en-US" w:eastAsia="zh-CN"/>
        </w:rPr>
        <w:t xml:space="preserve"> </w:t>
      </w:r>
      <w:r>
        <w:rPr>
          <w:rFonts w:hint="eastAsia" w:ascii="宋体" w:hAnsi="宋体" w:eastAsia="宋体" w:cs="宋体"/>
          <w:i w:val="0"/>
          <w:iCs w:val="0"/>
          <w:caps w:val="0"/>
          <w:color w:val="333333"/>
          <w:spacing w:val="0"/>
          <w:sz w:val="21"/>
          <w:szCs w:val="21"/>
          <w:shd w:val="clear" w:fill="FFFFFF"/>
        </w:rPr>
        <w:t>常住地市内交通费凭出租车票、公交车票、地铁车票、网约车发票（附业务相符的路线明细）等据实报销，但充值类型不得报销。出租车票单张超过</w:t>
      </w:r>
      <w:r>
        <w:rPr>
          <w:rFonts w:hint="eastAsia" w:ascii="宋体" w:hAnsi="宋体" w:eastAsia="宋体" w:cs="宋体"/>
          <w:i w:val="0"/>
          <w:iCs w:val="0"/>
          <w:caps w:val="0"/>
          <w:color w:val="333333"/>
          <w:spacing w:val="0"/>
          <w:sz w:val="21"/>
          <w:szCs w:val="21"/>
          <w:shd w:val="clear" w:fill="FFFFFF"/>
          <w:lang w:val="en-US"/>
        </w:rPr>
        <w:t>100</w:t>
      </w:r>
      <w:r>
        <w:rPr>
          <w:rFonts w:hint="eastAsia" w:ascii="宋体" w:hAnsi="宋体" w:eastAsia="宋体" w:cs="宋体"/>
          <w:i w:val="0"/>
          <w:iCs w:val="0"/>
          <w:caps w:val="0"/>
          <w:color w:val="333333"/>
          <w:spacing w:val="0"/>
          <w:sz w:val="21"/>
          <w:szCs w:val="21"/>
          <w:shd w:val="clear" w:fill="FFFFFF"/>
        </w:rPr>
        <w:t>元（含）须注明起点、终点以及办理事项。</w:t>
      </w:r>
    </w:p>
    <w:p w14:paraId="7DC3BF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报销管理</w:t>
      </w:r>
    </w:p>
    <w:p w14:paraId="5B4737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43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十八</w:t>
      </w:r>
      <w:r>
        <w:rPr>
          <w:rFonts w:hint="eastAsia" w:ascii="宋体" w:hAnsi="宋体" w:eastAsia="宋体" w:cs="宋体"/>
          <w:i w:val="0"/>
          <w:iCs w:val="0"/>
          <w:caps w:val="0"/>
          <w:color w:val="333333"/>
          <w:spacing w:val="0"/>
          <w:sz w:val="21"/>
          <w:szCs w:val="21"/>
          <w:shd w:val="clear" w:fill="FFFFFF"/>
        </w:rPr>
        <w:t>条 出差人员是差旅费使用的直接负责人，对出差事由、提供的差旅费报销票据及其他资料的真实性、合法性、合理性和相关性负责，依法、依规据实报销差旅费。</w:t>
      </w:r>
    </w:p>
    <w:p w14:paraId="71AB89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十九</w:t>
      </w:r>
      <w:r>
        <w:rPr>
          <w:rFonts w:hint="eastAsia" w:ascii="宋体" w:hAnsi="宋体" w:eastAsia="宋体" w:cs="宋体"/>
          <w:i w:val="0"/>
          <w:iCs w:val="0"/>
          <w:caps w:val="0"/>
          <w:color w:val="333333"/>
          <w:spacing w:val="0"/>
          <w:sz w:val="21"/>
          <w:szCs w:val="21"/>
          <w:shd w:val="clear" w:fill="FFFFFF"/>
        </w:rPr>
        <w:t>条 出差人员出差结束后应及时办理财务报销手续，差旅费报销时须提供航空运输电子客票行程单（机票）、登机牌、车船票、住宿发票、市内交通费票据等报销凭证。</w:t>
      </w:r>
    </w:p>
    <w:p w14:paraId="491017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43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二十</w:t>
      </w:r>
      <w:r>
        <w:rPr>
          <w:rFonts w:hint="eastAsia" w:ascii="宋体" w:hAnsi="宋体" w:eastAsia="宋体" w:cs="宋体"/>
          <w:i w:val="0"/>
          <w:iCs w:val="0"/>
          <w:caps w:val="0"/>
          <w:color w:val="333333"/>
          <w:spacing w:val="0"/>
          <w:sz w:val="21"/>
          <w:szCs w:val="21"/>
          <w:shd w:val="clear" w:fill="FFFFFF"/>
        </w:rPr>
        <w:t>条</w:t>
      </w:r>
      <w:r>
        <w:rPr>
          <w:rFonts w:hint="eastAsia" w:ascii="宋体" w:hAnsi="宋体" w:eastAsia="宋体" w:cs="宋体"/>
          <w:i w:val="0"/>
          <w:iCs w:val="0"/>
          <w:caps w:val="0"/>
          <w:color w:val="333333"/>
          <w:spacing w:val="0"/>
          <w:sz w:val="21"/>
          <w:szCs w:val="21"/>
          <w:shd w:val="clear" w:fill="FFFFFF"/>
          <w:lang w:val="en-US" w:eastAsia="zh-CN"/>
        </w:rPr>
        <w:t xml:space="preserve"> </w:t>
      </w:r>
      <w:r>
        <w:rPr>
          <w:rFonts w:hint="eastAsia" w:ascii="宋体" w:hAnsi="宋体" w:eastAsia="宋体" w:cs="宋体"/>
          <w:i w:val="0"/>
          <w:iCs w:val="0"/>
          <w:caps w:val="0"/>
          <w:color w:val="333333"/>
          <w:spacing w:val="0"/>
          <w:sz w:val="21"/>
          <w:szCs w:val="21"/>
          <w:shd w:val="clear" w:fill="FFFFFF"/>
        </w:rPr>
        <w:t>城市间交通费在乘坐交通工具的等级标准内据实报销，订票费、签转或退票费、交通意外保险费凭据报销。住宿费在标准限额之内凭发票据实报销。伙食补助费、市内交通费原则上以城市间交通费和住宿费发票为凭据按规定标准计算报销。</w:t>
      </w:r>
    </w:p>
    <w:p w14:paraId="77CBA9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（一）出差期间由其他单位负担城市间交通费和住宿费的，原则上不发放伙食补助费和市内交通费。</w:t>
      </w:r>
    </w:p>
    <w:p w14:paraId="708EC4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（二）出差期间由</w:t>
      </w:r>
      <w:r>
        <w:rPr>
          <w:rFonts w:hint="eastAsia" w:ascii="宋体" w:hAnsi="宋体" w:eastAsia="宋体" w:cs="宋体"/>
          <w:i w:val="0"/>
          <w:iCs w:val="0"/>
          <w:caps w:val="0"/>
          <w:color w:val="333333"/>
          <w:spacing w:val="0"/>
          <w:sz w:val="21"/>
          <w:szCs w:val="21"/>
          <w:shd w:val="clear" w:fill="FFFFFF"/>
          <w:lang w:val="en-US" w:eastAsia="zh-CN"/>
        </w:rPr>
        <w:t>其他</w:t>
      </w:r>
      <w:r>
        <w:rPr>
          <w:rFonts w:hint="eastAsia" w:ascii="宋体" w:hAnsi="宋体" w:eastAsia="宋体" w:cs="宋体"/>
          <w:i w:val="0"/>
          <w:iCs w:val="0"/>
          <w:caps w:val="0"/>
          <w:color w:val="333333"/>
          <w:spacing w:val="0"/>
          <w:sz w:val="21"/>
          <w:szCs w:val="21"/>
          <w:shd w:val="clear" w:fill="FFFFFF"/>
        </w:rPr>
        <w:t>单位统一安排食宿且费用由主办方承担的，仅发放在途期间伙食补助费和市内交通费。</w:t>
      </w:r>
    </w:p>
    <w:p w14:paraId="53B721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（三）出差期间由</w:t>
      </w:r>
      <w:r>
        <w:rPr>
          <w:rFonts w:hint="eastAsia" w:ascii="宋体" w:hAnsi="宋体" w:eastAsia="宋体" w:cs="宋体"/>
          <w:i w:val="0"/>
          <w:iCs w:val="0"/>
          <w:caps w:val="0"/>
          <w:color w:val="333333"/>
          <w:spacing w:val="0"/>
          <w:sz w:val="21"/>
          <w:szCs w:val="21"/>
          <w:shd w:val="clear" w:fill="FFFFFF"/>
          <w:lang w:val="en-US" w:eastAsia="zh-CN"/>
        </w:rPr>
        <w:t>其他</w:t>
      </w:r>
      <w:r>
        <w:rPr>
          <w:rFonts w:hint="eastAsia" w:ascii="宋体" w:hAnsi="宋体" w:eastAsia="宋体" w:cs="宋体"/>
          <w:i w:val="0"/>
          <w:iCs w:val="0"/>
          <w:caps w:val="0"/>
          <w:color w:val="333333"/>
          <w:spacing w:val="0"/>
          <w:sz w:val="21"/>
          <w:szCs w:val="21"/>
          <w:shd w:val="clear" w:fill="FFFFFF"/>
        </w:rPr>
        <w:t>单位统一安排食宿且费用自理的，凭会议或培训通知等有效证明，凭票据实报销住宿费，按出差自然天数发放伙食补助费和市内交通费。</w:t>
      </w:r>
    </w:p>
    <w:p w14:paraId="620A28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未按照规定开支差旅费的，超支部分由个人自理。</w:t>
      </w:r>
    </w:p>
    <w:p w14:paraId="2A8030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十一条 出差人出差途中各段行程间城市间交通费票据应保持连续、完整，且与公务相关。如因特殊情况导致城市间交通费票据不连续或不完整的，出差人员需书面说明票据不完整的事由和原因，经项目负责人审批后予以报销。</w:t>
      </w:r>
    </w:p>
    <w:p w14:paraId="68A171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430"/>
        <w:rPr>
          <w:color w:val="333333"/>
          <w:sz w:val="14"/>
          <w:szCs w:val="14"/>
        </w:rPr>
      </w:pPr>
      <w:r>
        <w:rPr>
          <w:rFonts w:hint="eastAsia" w:ascii="宋体" w:hAnsi="宋体" w:eastAsia="宋体" w:cs="宋体"/>
          <w:i w:val="0"/>
          <w:iCs w:val="0"/>
          <w:caps w:val="0"/>
          <w:color w:val="333333"/>
          <w:spacing w:val="0"/>
          <w:sz w:val="21"/>
          <w:szCs w:val="21"/>
          <w:shd w:val="clear" w:fill="FFFFFF"/>
        </w:rPr>
        <w:t>出差人出差期间，在不影响公务活动和违反工作规定的情况下，就近省亲的，城市间交通费按不高于原路径乘坐相应交通工具的票价予以报销，超过部分由个人自理。省亲期间发生的住宿费、伙食补助费和市内交通费应予扣除。</w:t>
      </w:r>
    </w:p>
    <w:p w14:paraId="7131FB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十二条 出差人员因出差活动确需自驾车或者租用车辆前往的，经项目负责人</w:t>
      </w:r>
      <w:bookmarkStart w:id="0" w:name="_GoBack"/>
      <w:r>
        <w:rPr>
          <w:rFonts w:hint="eastAsia" w:ascii="宋体" w:hAnsi="宋体" w:eastAsia="宋体" w:cs="宋体"/>
          <w:i w:val="0"/>
          <w:iCs w:val="0"/>
          <w:caps w:val="0"/>
          <w:color w:val="333333"/>
          <w:spacing w:val="0"/>
          <w:sz w:val="21"/>
          <w:szCs w:val="21"/>
          <w:shd w:val="clear" w:fill="FFFFFF"/>
        </w:rPr>
        <w:t>批准</w:t>
      </w:r>
      <w:bookmarkEnd w:id="0"/>
      <w:r>
        <w:rPr>
          <w:rFonts w:hint="eastAsia" w:ascii="宋体" w:hAnsi="宋体" w:eastAsia="宋体" w:cs="宋体"/>
          <w:i w:val="0"/>
          <w:iCs w:val="0"/>
          <w:caps w:val="0"/>
          <w:color w:val="333333"/>
          <w:spacing w:val="0"/>
          <w:sz w:val="21"/>
          <w:szCs w:val="21"/>
          <w:shd w:val="clear" w:fill="FFFFFF"/>
        </w:rPr>
        <w:t>，租车（租船）费以及发生的汽油（柴油）费和过路过桥费可以与住宿费等其他费用采取一事一报方式予以报销，但不发放市内交通费补贴。</w:t>
      </w:r>
    </w:p>
    <w:p w14:paraId="190A92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对于自驾车或者租车出差的，其所报汽油（柴油）费必须为出差期间和出差前后一周内的加油发票。</w:t>
      </w:r>
    </w:p>
    <w:p w14:paraId="2749C4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由于自驾车或者租车所引起的安全问题等，由出差人员自行承担。</w:t>
      </w:r>
    </w:p>
    <w:p w14:paraId="7AA216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十三条 出差期间确因工作需要发生的公务接待餐费等，按公务接待相关规定办理审批手续并与当次差旅费用同时报销。</w:t>
      </w:r>
    </w:p>
    <w:p w14:paraId="16BC8A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w:t>
      </w:r>
      <w:r>
        <w:rPr>
          <w:rFonts w:hint="eastAsia" w:ascii="宋体" w:hAnsi="宋体" w:eastAsia="宋体" w:cs="宋体"/>
          <w:i w:val="0"/>
          <w:iCs w:val="0"/>
          <w:caps w:val="0"/>
          <w:color w:val="333333"/>
          <w:spacing w:val="0"/>
          <w:sz w:val="21"/>
          <w:szCs w:val="21"/>
          <w:shd w:val="clear" w:fill="FFFFFF"/>
          <w:lang w:val="en-US" w:eastAsia="zh-CN"/>
        </w:rPr>
        <w:t>四</w:t>
      </w:r>
      <w:r>
        <w:rPr>
          <w:rFonts w:hint="eastAsia" w:ascii="宋体" w:hAnsi="宋体" w:eastAsia="宋体" w:cs="宋体"/>
          <w:i w:val="0"/>
          <w:iCs w:val="0"/>
          <w:caps w:val="0"/>
          <w:color w:val="333333"/>
          <w:spacing w:val="0"/>
          <w:sz w:val="21"/>
          <w:szCs w:val="21"/>
          <w:shd w:val="clear" w:fill="FFFFFF"/>
        </w:rPr>
        <w:t>条 出差人员应当对其提供的票据及其他资料的真实性、合法性、合理性、相关性负责，严禁报销无关人员或无关事项的差旅费用。</w:t>
      </w:r>
    </w:p>
    <w:p w14:paraId="69C51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差旅费报销应遵循</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一事一报</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的原则，因不同事由或不在同一时间段的出差，应填写差旅费报销单。</w:t>
      </w:r>
    </w:p>
    <w:p w14:paraId="1B202F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jc w:val="center"/>
        <w:rPr>
          <w:color w:val="333333"/>
          <w:sz w:val="14"/>
          <w:szCs w:val="14"/>
        </w:rPr>
      </w:pPr>
      <w:r>
        <w:rPr>
          <w:rFonts w:hint="eastAsia" w:ascii="宋体" w:hAnsi="宋体" w:eastAsia="宋体" w:cs="宋体"/>
          <w:i w:val="0"/>
          <w:iCs w:val="0"/>
          <w:caps w:val="0"/>
          <w:color w:val="333333"/>
          <w:spacing w:val="0"/>
          <w:sz w:val="21"/>
          <w:szCs w:val="21"/>
          <w:shd w:val="clear" w:fill="FFFFFF"/>
        </w:rPr>
        <w:t>监督问责</w:t>
      </w:r>
    </w:p>
    <w:p w14:paraId="7D9B9D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w:t>
      </w:r>
      <w:r>
        <w:rPr>
          <w:rFonts w:hint="eastAsia" w:ascii="宋体" w:hAnsi="宋体" w:eastAsia="宋体" w:cs="宋体"/>
          <w:i w:val="0"/>
          <w:iCs w:val="0"/>
          <w:caps w:val="0"/>
          <w:color w:val="333333"/>
          <w:spacing w:val="0"/>
          <w:sz w:val="21"/>
          <w:szCs w:val="21"/>
          <w:shd w:val="clear" w:fill="FFFFFF"/>
          <w:lang w:val="en-US" w:eastAsia="zh-CN"/>
        </w:rPr>
        <w:t>五</w:t>
      </w:r>
      <w:r>
        <w:rPr>
          <w:rFonts w:hint="eastAsia" w:ascii="宋体" w:hAnsi="宋体" w:eastAsia="宋体" w:cs="宋体"/>
          <w:i w:val="0"/>
          <w:iCs w:val="0"/>
          <w:caps w:val="0"/>
          <w:color w:val="333333"/>
          <w:spacing w:val="0"/>
          <w:sz w:val="21"/>
          <w:szCs w:val="21"/>
          <w:shd w:val="clear" w:fill="FFFFFF"/>
        </w:rPr>
        <w:t>条 应当加强对部门员工出差活动和费用报销的内控管理，严格经费预算控制</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严格控制差旅费开支规模</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加强对差旅费报销的审核把关，督促、审查出差人员合理、合规报销差旅费</w:t>
      </w:r>
      <w:r>
        <w:rPr>
          <w:rFonts w:hint="eastAsia" w:ascii="宋体" w:hAnsi="宋体" w:eastAsia="宋体" w:cs="宋体"/>
          <w:i w:val="0"/>
          <w:iCs w:val="0"/>
          <w:caps w:val="0"/>
          <w:color w:val="333333"/>
          <w:spacing w:val="0"/>
          <w:sz w:val="21"/>
          <w:szCs w:val="21"/>
          <w:shd w:val="clear" w:fill="FFFFFF"/>
          <w:lang w:val="en-US"/>
        </w:rPr>
        <w:t>,</w:t>
      </w:r>
      <w:r>
        <w:rPr>
          <w:rFonts w:hint="eastAsia" w:ascii="宋体" w:hAnsi="宋体" w:eastAsia="宋体" w:cs="宋体"/>
          <w:i w:val="0"/>
          <w:iCs w:val="0"/>
          <w:caps w:val="0"/>
          <w:color w:val="333333"/>
          <w:spacing w:val="0"/>
          <w:sz w:val="21"/>
          <w:szCs w:val="21"/>
          <w:shd w:val="clear" w:fill="FFFFFF"/>
        </w:rPr>
        <w:t>确保差旅费真实、完整、相关。</w:t>
      </w:r>
    </w:p>
    <w:p w14:paraId="338982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w:t>
      </w:r>
      <w:r>
        <w:rPr>
          <w:rFonts w:hint="eastAsia" w:ascii="宋体" w:hAnsi="宋体" w:eastAsia="宋体" w:cs="宋体"/>
          <w:i w:val="0"/>
          <w:iCs w:val="0"/>
          <w:caps w:val="0"/>
          <w:color w:val="333333"/>
          <w:spacing w:val="0"/>
          <w:sz w:val="21"/>
          <w:szCs w:val="21"/>
          <w:shd w:val="clear" w:fill="FFFFFF"/>
          <w:lang w:val="en-US" w:eastAsia="zh-CN"/>
        </w:rPr>
        <w:t>六</w:t>
      </w:r>
      <w:r>
        <w:rPr>
          <w:rFonts w:hint="eastAsia" w:ascii="宋体" w:hAnsi="宋体" w:eastAsia="宋体" w:cs="宋体"/>
          <w:i w:val="0"/>
          <w:iCs w:val="0"/>
          <w:caps w:val="0"/>
          <w:color w:val="333333"/>
          <w:spacing w:val="0"/>
          <w:sz w:val="21"/>
          <w:szCs w:val="21"/>
          <w:shd w:val="clear" w:fill="FFFFFF"/>
        </w:rPr>
        <w:t>条 纪委、审计、财务等部门要加强对差旅费管理和使用情况的监督检查，发现问题及时处理。主要内容包括：</w:t>
      </w:r>
    </w:p>
    <w:p w14:paraId="45E6ED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（一）差旅费开支范围和标准是否符合规定；</w:t>
      </w:r>
    </w:p>
    <w:p w14:paraId="1819BC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（二）差旅费报销票据、手续等是否符合规定；</w:t>
      </w:r>
    </w:p>
    <w:p w14:paraId="7BF20E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（三）差旅费开支是否真实、相关；</w:t>
      </w:r>
    </w:p>
    <w:p w14:paraId="76E7F3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（四）差旅费管理和使用的其他情况。</w:t>
      </w:r>
    </w:p>
    <w:p w14:paraId="207185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各部门和差旅费实际使用人应当自觉接受和有关部门对出差活动及相关经费支出的审计、监督检查。</w:t>
      </w:r>
    </w:p>
    <w:p w14:paraId="236E92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十</w:t>
      </w:r>
      <w:r>
        <w:rPr>
          <w:rFonts w:hint="eastAsia" w:ascii="宋体" w:hAnsi="宋体" w:eastAsia="宋体" w:cs="宋体"/>
          <w:i w:val="0"/>
          <w:iCs w:val="0"/>
          <w:caps w:val="0"/>
          <w:color w:val="333333"/>
          <w:spacing w:val="0"/>
          <w:sz w:val="21"/>
          <w:szCs w:val="21"/>
          <w:shd w:val="clear" w:fill="FFFFFF"/>
          <w:lang w:val="en-US" w:eastAsia="zh-CN"/>
        </w:rPr>
        <w:t>七</w:t>
      </w:r>
      <w:r>
        <w:rPr>
          <w:rFonts w:hint="eastAsia" w:ascii="宋体" w:hAnsi="宋体" w:eastAsia="宋体" w:cs="宋体"/>
          <w:i w:val="0"/>
          <w:iCs w:val="0"/>
          <w:caps w:val="0"/>
          <w:color w:val="333333"/>
          <w:spacing w:val="0"/>
          <w:sz w:val="21"/>
          <w:szCs w:val="21"/>
          <w:shd w:val="clear" w:fill="FFFFFF"/>
        </w:rPr>
        <w:t>条 出差人员不得向接待单位提出正常业务活动以外的要求，不得在出差期间接受违反规定用公款支付的宴请、游览和非工作需要的参观，不得接受礼品、礼金和土特产品等。</w:t>
      </w:r>
    </w:p>
    <w:p w14:paraId="23C4FD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第</w:t>
      </w:r>
      <w:r>
        <w:rPr>
          <w:rFonts w:hint="eastAsia" w:ascii="宋体" w:hAnsi="宋体" w:eastAsia="宋体" w:cs="宋体"/>
          <w:i w:val="0"/>
          <w:iCs w:val="0"/>
          <w:caps w:val="0"/>
          <w:color w:val="333333"/>
          <w:spacing w:val="0"/>
          <w:sz w:val="21"/>
          <w:szCs w:val="21"/>
          <w:shd w:val="clear" w:fill="FFFFFF"/>
          <w:lang w:val="en-US" w:eastAsia="zh-CN"/>
        </w:rPr>
        <w:t>二十八</w:t>
      </w:r>
      <w:r>
        <w:rPr>
          <w:rFonts w:hint="eastAsia" w:ascii="宋体" w:hAnsi="宋体" w:eastAsia="宋体" w:cs="宋体"/>
          <w:i w:val="0"/>
          <w:iCs w:val="0"/>
          <w:caps w:val="0"/>
          <w:color w:val="333333"/>
          <w:spacing w:val="0"/>
          <w:sz w:val="21"/>
          <w:szCs w:val="21"/>
          <w:shd w:val="clear" w:fill="FFFFFF"/>
        </w:rPr>
        <w:t>条 有下列情形之一的，有关部门应依法依规追究单部门相关人员的责任，追回违规资金，并视情况予以通报；对直接责任人和相关负责人，报请按规定给予党政处分；涉嫌违法的，移送司法机关处理。</w:t>
      </w:r>
    </w:p>
    <w:p w14:paraId="56D23A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一</w:t>
      </w:r>
      <w:r>
        <w:rPr>
          <w:rFonts w:hint="eastAsia" w:ascii="宋体" w:hAnsi="宋体" w:eastAsia="宋体" w:cs="宋体"/>
          <w:i w:val="0"/>
          <w:iCs w:val="0"/>
          <w:caps w:val="0"/>
          <w:color w:val="333333"/>
          <w:spacing w:val="0"/>
          <w:sz w:val="21"/>
          <w:szCs w:val="21"/>
          <w:shd w:val="clear" w:fill="FFFFFF"/>
        </w:rPr>
        <w:t>）虚报出差人数、天数、职称职务等信息虚报差旅费的；</w:t>
      </w:r>
    </w:p>
    <w:p w14:paraId="0A9A53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二</w:t>
      </w:r>
      <w:r>
        <w:rPr>
          <w:rFonts w:hint="eastAsia" w:ascii="宋体" w:hAnsi="宋体" w:eastAsia="宋体" w:cs="宋体"/>
          <w:i w:val="0"/>
          <w:iCs w:val="0"/>
          <w:caps w:val="0"/>
          <w:color w:val="333333"/>
          <w:spacing w:val="0"/>
          <w:sz w:val="21"/>
          <w:szCs w:val="21"/>
          <w:shd w:val="clear" w:fill="FFFFFF"/>
        </w:rPr>
        <w:t>）隐瞒信息未经批准擅自扩大差旅费开支范围和提高开支标准的；</w:t>
      </w:r>
    </w:p>
    <w:p w14:paraId="04A2FD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三</w:t>
      </w:r>
      <w:r>
        <w:rPr>
          <w:rFonts w:hint="eastAsia" w:ascii="宋体" w:hAnsi="宋体" w:eastAsia="宋体" w:cs="宋体"/>
          <w:i w:val="0"/>
          <w:iCs w:val="0"/>
          <w:caps w:val="0"/>
          <w:color w:val="333333"/>
          <w:spacing w:val="0"/>
          <w:sz w:val="21"/>
          <w:szCs w:val="21"/>
          <w:shd w:val="clear" w:fill="FFFFFF"/>
        </w:rPr>
        <w:t>）隐瞒信息重复报销差旅费的；</w:t>
      </w:r>
    </w:p>
    <w:p w14:paraId="639DC4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四</w:t>
      </w:r>
      <w:r>
        <w:rPr>
          <w:rFonts w:hint="eastAsia" w:ascii="宋体" w:hAnsi="宋体" w:eastAsia="宋体" w:cs="宋体"/>
          <w:i w:val="0"/>
          <w:iCs w:val="0"/>
          <w:caps w:val="0"/>
          <w:color w:val="333333"/>
          <w:spacing w:val="0"/>
          <w:sz w:val="21"/>
          <w:szCs w:val="21"/>
          <w:shd w:val="clear" w:fill="FFFFFF"/>
        </w:rPr>
        <w:t>）违规报销应由个人承担的费用的；</w:t>
      </w:r>
    </w:p>
    <w:p w14:paraId="26C0C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0" w:afterAutospacing="0" w:line="370" w:lineRule="atLeast"/>
        <w:ind w:left="0" w:right="0" w:firstLine="370"/>
        <w:rPr>
          <w:color w:val="333333"/>
          <w:sz w:val="14"/>
          <w:szCs w:val="14"/>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五</w:t>
      </w:r>
      <w:r>
        <w:rPr>
          <w:rFonts w:hint="eastAsia" w:ascii="宋体" w:hAnsi="宋体" w:eastAsia="宋体" w:cs="宋体"/>
          <w:i w:val="0"/>
          <w:iCs w:val="0"/>
          <w:caps w:val="0"/>
          <w:color w:val="333333"/>
          <w:spacing w:val="0"/>
          <w:sz w:val="21"/>
          <w:szCs w:val="21"/>
          <w:shd w:val="clear" w:fill="FFFFFF"/>
        </w:rPr>
        <w:t>）其他违反本办法的行为。</w:t>
      </w:r>
    </w:p>
    <w:p w14:paraId="26BCA0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67CB8"/>
    <w:rsid w:val="37965946"/>
    <w:rsid w:val="37EB4B24"/>
    <w:rsid w:val="7CED1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2752</Words>
  <Characters>2759</Characters>
  <Lines>0</Lines>
  <Paragraphs>0</Paragraphs>
  <TotalTime>283</TotalTime>
  <ScaleCrop>false</ScaleCrop>
  <LinksUpToDate>false</LinksUpToDate>
  <CharactersWithSpaces>2796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2026-05-26T03:13:00Z</dcterms:created>
  <dc:creator>朱艳秀</dc:creator>
  <cp:lastModifiedBy>Wuli阿秀</cp:lastModifiedBy>
  <dcterms:modified xsi:type="dcterms:W3CDTF">2026-05-28T07:21:11Z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eyJoZGlkIjoiYjdhNTFlNjgxNzQ1MDg2MzY3ODMxOTc2NzZlMzc5ZDkiLCJ1c2VySWQiOiI3ODc2MDE4MzEifQ==</vt:lpwstr>
  </property>
  <property fmtid="{D5CDD505-2E9C-101B-9397-08002B2CF9AE}" pid="4" name="ICV">
    <vt:lpwstr>B9D43D37A3524800BA18B5D4B4240F95_12</vt:lpwstr>
  </property>
</Properties>
</file>