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F2B1C">
      <w:pPr>
        <w:pStyle w:val="15"/>
        <w:jc w:val="center"/>
      </w:pPr>
      <w:bookmarkStart w:id="0" w:name="_GoBack"/>
      <w:bookmarkEnd w:id="0"/>
      <w:r>
        <w:t>研发中心软件代码质量保证规范</w:t>
      </w:r>
    </w:p>
    <w:p w14:paraId="17780D61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版本号：V1.1</w:t>
      </w:r>
    </w:p>
    <w:p w14:paraId="383DA0F6">
      <w:pPr>
        <w:pStyle w:val="3"/>
        <w:numPr>
          <w:ilvl w:val="0"/>
          <w:numId w:val="1"/>
        </w:numPr>
        <w:outlineLvl w:val="0"/>
      </w:pPr>
      <w:r>
        <w:t xml:space="preserve"> 概述</w:t>
      </w:r>
    </w:p>
    <w:p w14:paraId="2381709C">
      <w:pPr>
        <w:pStyle w:val="4"/>
        <w:outlineLvl w:val="1"/>
      </w:pPr>
      <w:r>
        <w:t xml:space="preserve">  1.1编码规范</w:t>
      </w:r>
    </w:p>
    <w:p w14:paraId="6DF3D409">
      <w:pPr>
        <w:snapToGrid/>
        <w:spacing w:line="240" w:lineRule="auto"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在编写代码过程中，应遵循《研发中心基本编码规范》。</w:t>
      </w:r>
    </w:p>
    <w:p w14:paraId="0FB15832">
      <w:pPr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spacing w:val="0"/>
          <w:u w:val="none"/>
        </w:rPr>
        <w:t>用户交互编码规范内容，包括了界面风格、提示信息、国际化等；</w:t>
      </w:r>
    </w:p>
    <w:p w14:paraId="02703EFE">
      <w:pPr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spacing w:val="0"/>
          <w:u w:val="none"/>
        </w:rPr>
        <w:t>程序开发编码规范内容，包括了文件头、命名空间、代码风格、注释、可移植性、信息安全等；</w:t>
      </w:r>
    </w:p>
    <w:p w14:paraId="18407AE8">
      <w:pPr>
        <w:numPr>
          <w:ilvl w:val="0"/>
          <w:numId w:val="2"/>
        </w:num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 xml:space="preserve">运行维护编码规范内容，包括了异常编码、日志、数据库（命名）等。 </w:t>
      </w:r>
    </w:p>
    <w:p w14:paraId="6E7A20B2">
      <w:pPr>
        <w:pStyle w:val="4"/>
        <w:outlineLvl w:val="1"/>
      </w:pPr>
      <w:r>
        <w:t xml:space="preserve">  1.2. 代码质量保证</w:t>
      </w:r>
    </w:p>
    <w:p w14:paraId="185023C5">
      <w:pPr>
        <w:numPr>
          <w:ilvl w:val="0"/>
          <w:numId w:val="3"/>
        </w:numPr>
        <w:snapToGrid/>
        <w:spacing w:line="240" w:lineRule="auto"/>
      </w:pPr>
      <w:r>
        <w:rPr>
          <w:i w:val="0"/>
          <w:strike w:val="0"/>
          <w:spacing w:val="0"/>
          <w:u w:val="none"/>
        </w:rPr>
        <w:t>研发中心软件团队是软件代码质量的直接负责方，应使用组织级的和团队级的代码管理工具对代码进行管理、审核和检查。</w:t>
      </w:r>
    </w:p>
    <w:p w14:paraId="2EFB4D3D">
      <w:pPr>
        <w:numPr>
          <w:ilvl w:val="0"/>
          <w:numId w:val="3"/>
        </w:numPr>
        <w:snapToGrid/>
        <w:spacing w:line="240" w:lineRule="auto"/>
      </w:pPr>
      <w:r>
        <w:t>组织级软件代码质量保证：由质量管理团队组织制定代码质量保证制度、规范、规约；确定组织级代码质量保证工具，由研发中心各软件团队执行相关的质量保证措施，确保研发中心各软件所涉及的生产代码在编码期间（发版前）得到必要的检查或验证，减少后续的投产风险和返工问题。组织级代码质量保证是研发中心软件质量达标的必要要求。</w:t>
      </w:r>
    </w:p>
    <w:p w14:paraId="1E383F99">
      <w:pPr>
        <w:numPr>
          <w:ilvl w:val="0"/>
          <w:numId w:val="3"/>
        </w:numPr>
        <w:pBdr>
          <w:bottom w:val="none" w:color="auto" w:sz="0" w:space="0"/>
        </w:pBdr>
        <w:snapToGrid/>
        <w:spacing w:line="240" w:lineRule="auto"/>
      </w:pPr>
      <w:r>
        <w:t>团队级软件代码质量保证：各软件团队自行开发或引入适合各自团队特点的代码检查工具、代码质量检查Checklist等。其中在软件团队的分支合并过程中，对代码使用Checklist检查，该活动和必要检查项是组织级要求，各软件根据自身特点，补充或引入其他Checklist是团队级活动。</w:t>
      </w:r>
    </w:p>
    <w:p w14:paraId="48E8FECB">
      <w:pPr>
        <w:pStyle w:val="3"/>
        <w:numPr>
          <w:ilvl w:val="0"/>
          <w:numId w:val="1"/>
        </w:numPr>
        <w:outlineLvl w:val="0"/>
        <w:rPr>
          <w:b/>
          <w:i w:val="0"/>
        </w:rPr>
      </w:pPr>
      <w:r>
        <w:rPr>
          <w:b/>
          <w:i w:val="0"/>
        </w:rPr>
        <w:t xml:space="preserve"> 组织级代码质量保证</w:t>
      </w:r>
    </w:p>
    <w:p w14:paraId="154886BA">
      <w:pPr>
        <w:pStyle w:val="4"/>
        <w:outlineLvl w:val="1"/>
      </w:pPr>
      <w:r>
        <w:t xml:space="preserve">  2.1 组织级代码质量规约</w:t>
      </w:r>
    </w:p>
    <w:p w14:paraId="219F20B0">
      <w:pPr>
        <w:pStyle w:val="5"/>
        <w:ind w:left="336"/>
        <w:outlineLvl w:val="2"/>
      </w:pPr>
      <w:r>
        <w:t>2.1.1 原则</w:t>
      </w:r>
    </w:p>
    <w:p w14:paraId="2A25FB68">
      <w:r>
        <w:rPr>
          <w:b/>
        </w:rPr>
        <w:t xml:space="preserve">   工具化检查原则：</w:t>
      </w:r>
      <w:r>
        <w:t>代码质量规约需要由代码检查工具执行，无法使用工具检查的内容不应纳入代码质量规约。</w:t>
      </w:r>
    </w:p>
    <w:p w14:paraId="2D0A1985">
      <w:r>
        <w:t xml:space="preserve">   </w:t>
      </w:r>
      <w:r>
        <w:rPr>
          <w:b/>
        </w:rPr>
        <w:t>保证生产原则：</w:t>
      </w:r>
      <w:r>
        <w:t>代码规约生效前需要组织专家进行评审。达成一致的生效；如有分歧，原则上少数服从多数；如有较大争议，短期生效对软件开发影响较低的方案；长期制定后续的质量提升方案。</w:t>
      </w:r>
    </w:p>
    <w:p w14:paraId="1CD3CEA1">
      <w:pPr>
        <w:pStyle w:val="5"/>
        <w:ind w:left="336"/>
        <w:outlineLvl w:val="2"/>
        <w:rPr>
          <w:rFonts w:cs="Times New Roman (标题 CS)" w:asciiTheme="majorHAnsi" w:hAnsiTheme="majorHAnsi" w:eastAsiaTheme="majorEastAsia"/>
          <w:b/>
          <w:bCs/>
          <w:color w:val="333333"/>
          <w:kern w:val="2"/>
          <w:sz w:val="24"/>
          <w:szCs w:val="28"/>
          <w:lang w:val="en-US" w:eastAsia="zh-CN" w:bidi="ar-SA"/>
        </w:rPr>
      </w:pPr>
      <w:r>
        <w:t>2.1.2 质量规约的制定和执行</w:t>
      </w:r>
    </w:p>
    <w:p w14:paraId="783A63A3">
      <w:r>
        <w:t xml:space="preserve">    </w:t>
      </w:r>
      <w:r>
        <w:rPr>
          <w:b/>
        </w:rPr>
        <w:t>规约更新：</w:t>
      </w:r>
      <w:r>
        <w:rPr>
          <w:b w:val="0"/>
        </w:rPr>
        <w:t>（1）</w:t>
      </w:r>
      <w:r>
        <w:t>软件团队可以根据自身需求，申请更新质量规约；（2）技术专家根据对技术的研究和现状判断提出规约更新的意见；（3）技术管理团队每年收集汇总软件团队和技术专家的意见，组织质量规约评审和更新。</w:t>
      </w:r>
    </w:p>
    <w:p w14:paraId="4241039E">
      <w:r>
        <w:t xml:space="preserve">    </w:t>
      </w:r>
      <w:r>
        <w:rPr>
          <w:b/>
        </w:rPr>
        <w:t>规约的评审：</w:t>
      </w:r>
      <w:r>
        <w:t>规约评审由技术专家参加，评审内容包括原有规约和级别是否需要调整、新增规约的内容和级别是否可以接受。评审结论包括，保留、不适用、升级以及降级。专家之间如果出现分歧无法达成一致，原则上短期采用较低标准；长期采用较高标准，技术管理团队推进后续方案和实施。</w:t>
      </w:r>
    </w:p>
    <w:p w14:paraId="2934D716">
      <w:r>
        <w:t xml:space="preserve">    </w:t>
      </w:r>
      <w:r>
        <w:rPr>
          <w:b/>
        </w:rPr>
        <w:t>规约的执行：</w:t>
      </w:r>
      <w:r>
        <w:t>规约原则上应通过代码扫描工具执行；无法通过扫描执行的规约，重要的应纳入代码检查的checklist。在开发阶段、SIT测试阶段，开发人员完成代码开发或者分支合并，产生增量代码时需要进行代码检查。</w:t>
      </w:r>
    </w:p>
    <w:p w14:paraId="2F489964">
      <w:pPr>
        <w:pStyle w:val="5"/>
        <w:ind w:left="336"/>
        <w:outlineLvl w:val="2"/>
      </w:pPr>
      <w:r>
        <w:t>2.1.3 质量规约的违反处理</w:t>
      </w:r>
    </w:p>
    <w:p w14:paraId="68663068">
      <w:r>
        <w:t xml:space="preserve">    </w:t>
      </w:r>
      <w:r>
        <w:rPr>
          <w:b/>
        </w:rPr>
        <w:t>误报：</w:t>
      </w:r>
      <w:r>
        <w:t>对于新的规约生效后，可能会存在部分软件团队</w:t>
      </w:r>
      <w:r>
        <w:rPr>
          <w:rFonts w:hint="eastAsia"/>
          <w:lang w:val="en-US" w:eastAsia="zh-CN"/>
        </w:rPr>
        <w:t>出现误报</w:t>
      </w:r>
      <w:r>
        <w:t>的场景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需要申诉，处理流程可参见2.2.2</w:t>
      </w:r>
      <w:r>
        <w:t>。</w:t>
      </w:r>
    </w:p>
    <w:p w14:paraId="0FC3D6A5">
      <w:pPr>
        <w:pBdr>
          <w:bottom w:val="none" w:color="auto" w:sz="0" w:space="0"/>
        </w:pBdr>
        <w:ind w:firstLine="440"/>
      </w:pPr>
      <w:r>
        <w:rPr>
          <w:b/>
        </w:rPr>
        <w:t>修正：</w:t>
      </w:r>
      <w:r>
        <w:t>对于新的规约生效后，可能会存在部分软件团队</w:t>
      </w:r>
      <w:r>
        <w:rPr>
          <w:rFonts w:hint="eastAsia"/>
          <w:lang w:val="en-US" w:eastAsia="zh-CN"/>
        </w:rPr>
        <w:t>出现异议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处理流程可参见2.2.2</w:t>
      </w:r>
      <w:r>
        <w:t>。</w:t>
      </w:r>
    </w:p>
    <w:p w14:paraId="24F238F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80" w:firstLineChars="100"/>
        <w:textAlignment w:val="auto"/>
        <w:outlineLvl w:val="1"/>
        <w:rPr>
          <w:rFonts w:hint="eastAsia"/>
          <w:lang w:val="en-US" w:eastAsia="zh-CN"/>
        </w:rPr>
      </w:pPr>
      <w:r>
        <w:rPr>
          <w:lang w:val="en-US" w:eastAsia="zh-CN"/>
        </w:rPr>
        <w:t>2.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执行流程</w:t>
      </w:r>
    </w:p>
    <w:p w14:paraId="7E23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outlineLvl w:val="2"/>
        <w:rPr>
          <w:b/>
        </w:rPr>
      </w:pPr>
      <w:r>
        <w:rPr>
          <w:rFonts w:hint="eastAsia"/>
          <w:b/>
          <w:lang w:val="en-US" w:eastAsia="zh-CN"/>
        </w:rPr>
        <w:t>2.2.1角色</w:t>
      </w:r>
    </w:p>
    <w:p w14:paraId="1E9B596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lang w:val="en-US" w:eastAsia="zh-CN"/>
        </w:rPr>
      </w:pPr>
      <w:r>
        <w:t>软件团队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组织级代码质量规约的使用者；</w:t>
      </w:r>
    </w:p>
    <w:p w14:paraId="15B2389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rFonts w:hint="eastAsia"/>
          <w:lang w:val="en-US" w:eastAsia="zh-CN"/>
        </w:rPr>
        <w:t>QA团队：组织级代码质量规约评审的组织者和发布者；</w:t>
      </w:r>
    </w:p>
    <w:p w14:paraId="07CDDF9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rFonts w:hint="eastAsia"/>
          <w:lang w:val="en-US" w:eastAsia="zh-CN"/>
        </w:rPr>
        <w:t>工具团队：组织级代码质量规约的执行生效者；</w:t>
      </w:r>
    </w:p>
    <w:p w14:paraId="2EF6A1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</w:pPr>
      <w:r>
        <w:rPr>
          <w:rFonts w:hint="eastAsia"/>
          <w:lang w:val="en-US" w:eastAsia="zh-CN"/>
        </w:rPr>
        <w:t>专家评审组：各技术语言和各领域专家，不少于5人。</w:t>
      </w:r>
    </w:p>
    <w:p w14:paraId="3EAD1EF7">
      <w:pPr>
        <w:ind w:firstLine="440"/>
        <w:outlineLvl w:val="2"/>
        <w:rPr>
          <w:b/>
        </w:rPr>
      </w:pPr>
      <w:r>
        <w:rPr>
          <w:rFonts w:hint="eastAsia"/>
          <w:b/>
          <w:lang w:val="en-US" w:eastAsia="zh-CN"/>
        </w:rPr>
        <w:t>2.2.2流程</w:t>
      </w:r>
    </w:p>
    <w:p w14:paraId="748C4E3F">
      <w:pPr>
        <w:ind w:firstLine="440"/>
        <w:rPr>
          <w:rFonts w:hint="eastAsia"/>
          <w:lang w:val="en-US" w:eastAsia="zh-CN"/>
        </w:rPr>
      </w:pPr>
      <w:r>
        <w:rPr>
          <w:b w:val="0"/>
        </w:rPr>
        <w:t>（1）</w:t>
      </w:r>
      <w:r>
        <w:t>软件团队</w:t>
      </w:r>
      <w:r>
        <w:rPr>
          <w:rFonts w:hint="eastAsia"/>
          <w:lang w:val="en-US" w:eastAsia="zh-CN"/>
        </w:rPr>
        <w:t>根据自身需求，提出组织级代码质量规约更新需求，包括但不限于新增、申诉、更新、删除等；</w:t>
      </w:r>
    </w:p>
    <w:p w14:paraId="3833E255">
      <w:pPr>
        <w:ind w:firstLine="440"/>
        <w:rPr>
          <w:rFonts w:hint="eastAsia"/>
          <w:lang w:val="en-US" w:eastAsia="zh-CN"/>
        </w:rPr>
      </w:pPr>
      <w:r>
        <w:t>（2）</w:t>
      </w:r>
      <w:r>
        <w:rPr>
          <w:rFonts w:hint="eastAsia"/>
          <w:lang w:val="en-US" w:eastAsia="zh-CN"/>
        </w:rPr>
        <w:t>QA团队在初步审核软件团队的需求后，组织专家评审组</w:t>
      </w:r>
      <w:r>
        <w:t>提出</w:t>
      </w:r>
      <w:r>
        <w:rPr>
          <w:rFonts w:hint="eastAsia"/>
          <w:lang w:val="en-US" w:eastAsia="zh-CN"/>
        </w:rPr>
        <w:t>评审</w:t>
      </w:r>
      <w:r>
        <w:t>意见</w:t>
      </w:r>
      <w:r>
        <w:rPr>
          <w:rFonts w:hint="eastAsia"/>
          <w:lang w:val="en-US" w:eastAsia="zh-CN"/>
        </w:rPr>
        <w:t>；</w:t>
      </w:r>
    </w:p>
    <w:p w14:paraId="52A61C4A">
      <w:pPr>
        <w:ind w:firstLine="4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（3）如评审通过，QA团队根据专家评审组的意见生成评审报告，并邮件告知工具团队执行单次生效。如评审不通过，则返回软件团队；</w:t>
      </w:r>
    </w:p>
    <w:p w14:paraId="0703161E">
      <w:pPr>
        <w:ind w:firstLine="4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（4）QA团队每年度汇总评审报告，组织专家评审组进行评审并生成评审报告，并邮件告知工具团队执行长期生效；</w:t>
      </w:r>
    </w:p>
    <w:p w14:paraId="12E798C6">
      <w:pPr>
        <w:ind w:firstLine="4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（5）QA团队组织宣讲会，发布更新后的代码质量规约并告知生效时间。</w:t>
      </w:r>
    </w:p>
    <w:p w14:paraId="050E4B80">
      <w:pPr>
        <w:jc w:val="center"/>
        <w:outlineLvl w:val="9"/>
        <w:rPr>
          <w:rFonts w:hint="default" w:cs="Times New Roman (正文 CS 字体)" w:asciiTheme="majorHAnsi" w:hAnsiTheme="majorHAnsi" w:eastAsiaTheme="majorEastAsia"/>
          <w:b/>
          <w:bCs/>
          <w:color w:val="333333"/>
          <w:kern w:val="2"/>
          <w:sz w:val="28"/>
          <w:szCs w:val="32"/>
          <w:lang w:val="en-US" w:eastAsia="zh-CN" w:bidi="ar-SA"/>
        </w:rPr>
      </w:pPr>
      <w:r>
        <w:drawing>
          <wp:inline distT="0" distB="0" distL="114300" distR="114300">
            <wp:extent cx="4907280" cy="6096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A89C">
      <w:pPr>
        <w:pStyle w:val="3"/>
        <w:numPr>
          <w:ilvl w:val="0"/>
          <w:numId w:val="1"/>
        </w:numPr>
        <w:outlineLvl w:val="0"/>
        <w:rPr>
          <w:b/>
          <w:i w:val="0"/>
        </w:rPr>
      </w:pPr>
      <w:r>
        <w:rPr>
          <w:b/>
          <w:i w:val="0"/>
        </w:rPr>
        <w:t xml:space="preserve"> 代码质量控制标准</w:t>
      </w:r>
    </w:p>
    <w:p w14:paraId="2365E609">
      <w:r>
        <w:t xml:space="preserve">    研发中心代码质量控制应用于4个主要方面。软件代码质量控制、代码质量门禁、项目代码质量验收、部门代码质量绩效。</w:t>
      </w:r>
    </w:p>
    <w:p w14:paraId="34894924">
      <w:r>
        <w:t xml:space="preserve">    软件代码质量控制是评价基础，由各软件团队执行。代码质量门禁是通过工具等实现的自动化流程化的质量控制标准，对于低于门禁的软件不允许进入下一个开发活动环节。项目代码质量是项目结项时，需要软件代码质量达到必要的水平要求才能予以结项。部门代码质量绩效是在每年年初结合上一年的问题，对重点保持和提升的代码质量控制标准进行强制设定。低于该标准将扣除对应部门的绩效分数。</w:t>
      </w:r>
    </w:p>
    <w:p w14:paraId="61BE62B4">
      <w:r>
        <w:t xml:space="preserve">    其中质量门禁不能低于项目代码质量验收标准。</w:t>
      </w:r>
    </w:p>
    <w:p w14:paraId="18A5B736">
      <w:pPr>
        <w:pStyle w:val="4"/>
        <w:outlineLvl w:val="1"/>
        <w:rPr>
          <w:i w:val="0"/>
        </w:rPr>
      </w:pPr>
      <w:r>
        <w:rPr>
          <w:rFonts w:hint="eastAsia"/>
          <w:i w:val="0"/>
          <w:lang w:val="en-US" w:eastAsia="zh-CN"/>
        </w:rPr>
        <w:t xml:space="preserve"> </w:t>
      </w:r>
      <w:r>
        <w:rPr>
          <w:i w:val="0"/>
        </w:rPr>
        <w:t>3.1 软件代码质量控制标准</w:t>
      </w:r>
    </w:p>
    <w:p w14:paraId="290FB9A5">
      <w:r>
        <w:rPr>
          <w:b w:val="0"/>
        </w:rPr>
        <w:t xml:space="preserve">   代码质量控制规范从缺陷问题数、规范问题数、千行高危缺陷等级、单元测试覆盖率、安全漏洞数几个方面对软件开发提出要求，每种规则又可分为优秀、良好、较差等若干级别。</w:t>
      </w:r>
    </w:p>
    <w:tbl>
      <w:tblPr>
        <w:tblStyle w:val="17"/>
        <w:tblW w:w="9435" w:type="dxa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317"/>
        <w:gridCol w:w="1080"/>
        <w:gridCol w:w="870"/>
        <w:gridCol w:w="960"/>
        <w:gridCol w:w="2527"/>
      </w:tblGrid>
      <w:tr w14:paraId="1B2F423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tcMar>
              <w:bottom w:w="0" w:type="dxa"/>
            </w:tcMar>
            <w:vAlign w:val="center"/>
          </w:tcPr>
          <w:p w14:paraId="675D40C6">
            <w:pPr>
              <w:snapToGrid/>
              <w:spacing w:before="0" w:after="0" w:line="240" w:lineRule="auto"/>
              <w:jc w:val="center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质量指标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479457C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规则要求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75A9BE4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级别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1284393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门禁通过标准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3801F49F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项目验收通过标准</w:t>
            </w:r>
          </w:p>
        </w:tc>
        <w:tc>
          <w:tcPr>
            <w:tcW w:w="2527" w:type="dxa"/>
            <w:tcMar>
              <w:bottom w:w="0" w:type="dxa"/>
            </w:tcMar>
            <w:vAlign w:val="center"/>
          </w:tcPr>
          <w:p w14:paraId="0B1D44FF">
            <w:pPr>
              <w:snapToGrid/>
              <w:spacing w:before="0" w:after="0" w:line="240" w:lineRule="auto"/>
              <w:jc w:val="center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说明</w:t>
            </w:r>
          </w:p>
        </w:tc>
      </w:tr>
      <w:tr w14:paraId="74E804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restart"/>
            <w:tcMar>
              <w:bottom w:w="0" w:type="dxa"/>
            </w:tcMar>
            <w:vAlign w:val="center"/>
          </w:tcPr>
          <w:p w14:paraId="33A7672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静态代码质量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7AB0E56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代码无bug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4B0ACBBE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优秀（A）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1141073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1B62620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restart"/>
            <w:tcMar>
              <w:bottom w:w="0" w:type="dxa"/>
            </w:tcMar>
            <w:vAlign w:val="center"/>
          </w:tcPr>
          <w:p w14:paraId="3E3CA5C9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Sonar代码扫描的级别为标准</w:t>
            </w:r>
          </w:p>
        </w:tc>
      </w:tr>
      <w:tr w14:paraId="628A8AC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1B80B2BC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283AF7A8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有一个次要bug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27929A7E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良好（B）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14CBA26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31008457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43B6CAC0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264B422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59C82A3F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3E312E8F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包含一个重要bug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40E81519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一般（C）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3182189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7CE8869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7E81ED02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6D76D6C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4E6C8676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481910B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有一个严重bug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7E3EF50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较差（D）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79B47FA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60E4659F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6F10490C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6C86F85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639C434F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222C3811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有一个阻断级别bug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482E8AB1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差（D）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2D17C12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1F08E247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3773F2DA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49D50F8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restart"/>
            <w:tcMar>
              <w:bottom w:w="0" w:type="dxa"/>
            </w:tcMar>
            <w:vAlign w:val="center"/>
          </w:tcPr>
          <w:p w14:paraId="07C2A598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</w:rPr>
              <w:t>千行高危缺陷等级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54885D39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(0,0.05]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2517687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优秀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25B8F89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19D5068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restart"/>
            <w:tcMar>
              <w:bottom w:w="0" w:type="dxa"/>
            </w:tcMar>
            <w:vAlign w:val="center"/>
          </w:tcPr>
          <w:p w14:paraId="102C1E4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平均每一千行对应的“缺陷”类型，且危险等级为“高危”的问题</w:t>
            </w:r>
          </w:p>
        </w:tc>
      </w:tr>
      <w:tr w14:paraId="364DE09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13DA16A3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52D9C20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(0.05,0.5]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28483EC7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良好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7EB2AB2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6FC8D97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61DA38E9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1DBAAF1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43B89B48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7D0DB3B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(0.5,0.8]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5FB5CA8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一般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5737D6A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45D51B8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54334663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2B627E2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3CF3C45E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29980B8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(0.8,2]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3E04D7B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较差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3E59EE38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73527B2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2C5AB309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4231747B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52A1CCDB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4552FED7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&gt;2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2D4B372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差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6C0A957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4672C11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6DFA5779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22E7E11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restart"/>
            <w:tcMar>
              <w:bottom w:w="0" w:type="dxa"/>
            </w:tcMar>
            <w:vAlign w:val="center"/>
          </w:tcPr>
          <w:p w14:paraId="4D916569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单元测试分支覆盖率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2839F1A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(80%,100%]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4F56A4F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优秀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769BFDA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04676F3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restart"/>
            <w:tcMar>
              <w:bottom w:w="0" w:type="dxa"/>
            </w:tcMar>
            <w:vAlign w:val="center"/>
          </w:tcPr>
          <w:p w14:paraId="77F2E5A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Sonar分支覆盖率扫描数据</w:t>
            </w:r>
          </w:p>
        </w:tc>
      </w:tr>
      <w:tr w14:paraId="6D7AF0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033F8183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5D09BC3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(50%,80%]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28166E3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良好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395E1C2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54AC78C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420EC98F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4B8B38C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637C143F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3FB2A54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(30%,50%]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573B5AD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一般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2B33CF89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7524635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1A9A8920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514FBAC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751DBB07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311EE43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(0%,30%]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5B839C6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较差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21866968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12A170D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29C86A3E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2A73746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restart"/>
            <w:tcMar>
              <w:bottom w:w="0" w:type="dxa"/>
            </w:tcMar>
            <w:vAlign w:val="center"/>
          </w:tcPr>
          <w:p w14:paraId="7469598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源码安全漏洞数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28EA85D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代码无漏洞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63EFB751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优秀（A）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2E15108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0D15AAC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restart"/>
            <w:tcMar>
              <w:bottom w:w="0" w:type="dxa"/>
            </w:tcMar>
            <w:vAlign w:val="center"/>
          </w:tcPr>
          <w:p w14:paraId="19ABD21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Sonar代码扫描发现的安全漏洞级别</w:t>
            </w:r>
          </w:p>
        </w:tc>
      </w:tr>
      <w:tr w14:paraId="1E7FB4F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2231E417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0FBFA06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有一个次要漏洞（低位）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6E4B206E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良好（B）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44096FA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4712341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4D986A59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3AD978D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48D9C817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01DDA01E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包含一个重要漏洞（中危）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3259D07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一般（C）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239E24B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13805CA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5E70E33D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69CAE533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5334EE74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58C67CF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有一个严重漏洞（高危）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6D232F91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较差（D）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49138C2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62BDC128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021CCBC2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76FC130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4BDE533C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324470A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有一个阻断漏洞（超危）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26EE632E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差（D）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1659ED4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31D796B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5EC2C4F9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251AF68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restart"/>
            <w:tcMar>
              <w:bottom w:w="0" w:type="dxa"/>
            </w:tcMar>
            <w:vAlign w:val="center"/>
          </w:tcPr>
          <w:p w14:paraId="37F1B2C8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</w:rPr>
              <w:t>组件SCA安全漏洞扫描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40B02F0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超危/高危漏洞等于0，且中危以下漏洞不高于10；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0718817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优秀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3A5F0A9E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6D0316C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restart"/>
            <w:tcMar>
              <w:bottom w:w="0" w:type="dxa"/>
            </w:tcMar>
            <w:vAlign w:val="center"/>
          </w:tcPr>
          <w:p w14:paraId="5EB6174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安全组件扫描发现的问题</w:t>
            </w:r>
          </w:p>
        </w:tc>
      </w:tr>
      <w:tr w14:paraId="36DC032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77E4C085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07C3775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超危漏洞等于0，且高危漏小等于2，且中危漏洞不高于20；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1A6B827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良好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0F8205F0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0EEB550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7703F2B3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2E8D9D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53B77A4A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6D1609E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超危/高危漏洞小等于2，且中危以下漏洞不高于20；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0B9876A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一般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5AC800D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564955F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5130B65F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54351F8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continue"/>
            <w:tcMar>
              <w:bottom w:w="0" w:type="dxa"/>
            </w:tcMar>
            <w:vAlign w:val="center"/>
          </w:tcPr>
          <w:p w14:paraId="43AC65F0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48F24187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超危/高危漏洞大于2，或中危以下漏洞高于20；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0FA6942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较差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6A4DC89B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5CF86A8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527" w:type="dxa"/>
            <w:vMerge w:val="continue"/>
            <w:tcMar>
              <w:bottom w:w="0" w:type="dxa"/>
            </w:tcMar>
            <w:vAlign w:val="center"/>
          </w:tcPr>
          <w:p w14:paraId="345F5710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775B2E1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restart"/>
            <w:tcMar>
              <w:bottom w:w="0" w:type="dxa"/>
            </w:tcMar>
            <w:vAlign w:val="center"/>
          </w:tcPr>
          <w:p w14:paraId="11F5E7DD">
            <w:pPr>
              <w:snapToGrid/>
              <w:spacing w:before="0" w:after="0" w:line="240" w:lineRule="auto"/>
              <w:jc w:val="both"/>
              <w:rPr>
                <w:rFonts w:hint="default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  <w:lang w:val="en-US" w:eastAsia="zh-CN"/>
              </w:rPr>
              <w:t>API测试通过率</w:t>
            </w:r>
          </w:p>
        </w:tc>
        <w:tc>
          <w:tcPr>
            <w:tcW w:w="2317" w:type="dxa"/>
            <w:tcMar>
              <w:bottom w:w="0" w:type="dxa"/>
            </w:tcMar>
            <w:vAlign w:val="center"/>
          </w:tcPr>
          <w:p w14:paraId="2E89B361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080" w:type="dxa"/>
            <w:tcMar>
              <w:bottom w:w="0" w:type="dxa"/>
            </w:tcMar>
            <w:vAlign w:val="center"/>
          </w:tcPr>
          <w:p w14:paraId="1A82B796">
            <w:pPr>
              <w:snapToGrid/>
              <w:spacing w:before="0" w:after="0" w:line="240" w:lineRule="auto"/>
              <w:jc w:val="both"/>
              <w:rPr>
                <w:rFonts w:hint="default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  <w:t>合格</w:t>
            </w:r>
          </w:p>
        </w:tc>
        <w:tc>
          <w:tcPr>
            <w:tcW w:w="870" w:type="dxa"/>
            <w:tcMar>
              <w:bottom w:w="0" w:type="dxa"/>
            </w:tcMar>
            <w:vAlign w:val="center"/>
          </w:tcPr>
          <w:p w14:paraId="48914FDC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960" w:type="dxa"/>
            <w:tcMar>
              <w:bottom w:w="0" w:type="dxa"/>
            </w:tcMar>
            <w:vAlign w:val="center"/>
          </w:tcPr>
          <w:p w14:paraId="6DFD9315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2527" w:type="dxa"/>
            <w:vMerge w:val="restart"/>
            <w:tcMar>
              <w:bottom w:w="0" w:type="dxa"/>
            </w:tcMar>
            <w:vAlign w:val="center"/>
          </w:tcPr>
          <w:p w14:paraId="76FB55AC">
            <w:pPr>
              <w:snapToGrid/>
              <w:spacing w:line="240" w:lineRule="auto"/>
              <w:rPr>
                <w:rFonts w:hint="default" w:ascii="国标黑体" w:hAnsi="国标黑体" w:eastAsia="国标黑体" w:cs="国标黑体"/>
                <w:sz w:val="18"/>
                <w:lang w:val="en-US" w:eastAsia="zh-CN"/>
              </w:rPr>
            </w:pPr>
            <w:r>
              <w:rPr>
                <w:rFonts w:hint="eastAsia" w:ascii="国标黑体" w:hAnsi="国标黑体" w:eastAsia="国标黑体" w:cs="国标黑体"/>
                <w:b w:val="0"/>
                <w:bCs w:val="0"/>
                <w:i w:val="0"/>
                <w:strike w:val="0"/>
                <w:color w:val="000000"/>
                <w:spacing w:val="0"/>
                <w:sz w:val="18"/>
                <w:szCs w:val="18"/>
                <w:u w:val="none"/>
              </w:rPr>
              <w:t>自动化测试</w:t>
            </w:r>
            <w:r>
              <w:rPr>
                <w:rFonts w:hint="eastAsia" w:ascii="国标黑体" w:hAnsi="国标黑体" w:eastAsia="国标黑体" w:cs="国标黑体"/>
                <w:b w:val="0"/>
                <w:bCs w:val="0"/>
                <w:i w:val="0"/>
                <w:strike w:val="0"/>
                <w:color w:val="000000"/>
                <w:spacing w:val="0"/>
                <w:sz w:val="18"/>
                <w:szCs w:val="18"/>
                <w:u w:val="none"/>
                <w:lang w:val="en-US" w:eastAsia="zh-CN"/>
              </w:rPr>
              <w:t>扫描数据</w:t>
            </w:r>
          </w:p>
        </w:tc>
      </w:tr>
      <w:tr w14:paraId="42595DCA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continue"/>
            <w:vAlign w:val="center"/>
          </w:tcPr>
          <w:p w14:paraId="7D9BBB09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vAlign w:val="center"/>
          </w:tcPr>
          <w:p w14:paraId="46BE12B9">
            <w:pPr>
              <w:snapToGrid/>
              <w:spacing w:before="0" w:after="0" w:line="240" w:lineRule="auto"/>
              <w:jc w:val="both"/>
              <w:rPr>
                <w:rFonts w:hint="default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  <w:t>&lt;100%</w:t>
            </w:r>
          </w:p>
        </w:tc>
        <w:tc>
          <w:tcPr>
            <w:tcW w:w="1080" w:type="dxa"/>
            <w:vAlign w:val="center"/>
          </w:tcPr>
          <w:p w14:paraId="4D94A650">
            <w:pPr>
              <w:snapToGrid/>
              <w:spacing w:before="0" w:after="0" w:line="240" w:lineRule="auto"/>
              <w:jc w:val="both"/>
              <w:rPr>
                <w:rFonts w:hint="default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  <w:t>不合格</w:t>
            </w:r>
          </w:p>
        </w:tc>
        <w:tc>
          <w:tcPr>
            <w:tcW w:w="0" w:type="auto"/>
            <w:vAlign w:val="center"/>
          </w:tcPr>
          <w:p w14:paraId="254D57C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4104D5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2527" w:type="dxa"/>
            <w:vMerge w:val="continue"/>
            <w:vAlign w:val="center"/>
          </w:tcPr>
          <w:p w14:paraId="5B066DC4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  <w:tr w14:paraId="07F63B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restart"/>
            <w:vAlign w:val="center"/>
          </w:tcPr>
          <w:p w14:paraId="173AE3E3">
            <w:pPr>
              <w:snapToGrid/>
              <w:spacing w:before="0" w:after="0" w:line="240" w:lineRule="auto"/>
              <w:jc w:val="both"/>
              <w:rPr>
                <w:rFonts w:hint="default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  <w:lang w:val="en-US" w:eastAsia="zh-CN"/>
              </w:rPr>
              <w:t>单元测试成功率</w:t>
            </w:r>
          </w:p>
        </w:tc>
        <w:tc>
          <w:tcPr>
            <w:tcW w:w="2317" w:type="dxa"/>
            <w:vAlign w:val="center"/>
          </w:tcPr>
          <w:p w14:paraId="061032FF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100%</w:t>
            </w:r>
          </w:p>
        </w:tc>
        <w:tc>
          <w:tcPr>
            <w:tcW w:w="1080" w:type="dxa"/>
            <w:vAlign w:val="center"/>
          </w:tcPr>
          <w:p w14:paraId="088B3534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  <w:t>合格</w:t>
            </w:r>
          </w:p>
        </w:tc>
        <w:tc>
          <w:tcPr>
            <w:tcW w:w="0" w:type="auto"/>
            <w:vAlign w:val="center"/>
          </w:tcPr>
          <w:p w14:paraId="0E3F109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√</w:t>
            </w:r>
          </w:p>
        </w:tc>
        <w:tc>
          <w:tcPr>
            <w:tcW w:w="0" w:type="auto"/>
            <w:vAlign w:val="center"/>
          </w:tcPr>
          <w:p w14:paraId="013D4D12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2527" w:type="dxa"/>
            <w:vMerge w:val="restart"/>
            <w:vAlign w:val="center"/>
          </w:tcPr>
          <w:p w14:paraId="1747FDAF">
            <w:pPr>
              <w:snapToGrid/>
              <w:spacing w:line="240" w:lineRule="auto"/>
              <w:rPr>
                <w:rFonts w:hint="eastAsia" w:ascii="国标黑体" w:hAnsi="国标黑体" w:eastAsia="国标黑体" w:cs="国标黑体"/>
                <w:sz w:val="18"/>
                <w:lang w:eastAsia="zh-CN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Sonar代码扫描</w:t>
            </w:r>
            <w:r>
              <w:rPr>
                <w:rFonts w:hint="eastAsia"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  <w:lang w:val="en-US" w:eastAsia="zh-CN"/>
              </w:rPr>
              <w:t>数据</w:t>
            </w:r>
          </w:p>
        </w:tc>
      </w:tr>
      <w:tr w14:paraId="20709F4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681" w:type="dxa"/>
            <w:vMerge w:val="continue"/>
            <w:vAlign w:val="center"/>
          </w:tcPr>
          <w:p w14:paraId="13DA9ABE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  <w:tc>
          <w:tcPr>
            <w:tcW w:w="2317" w:type="dxa"/>
            <w:vAlign w:val="center"/>
          </w:tcPr>
          <w:p w14:paraId="7CFFE4F6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  <w:t>&lt;100%</w:t>
            </w:r>
          </w:p>
        </w:tc>
        <w:tc>
          <w:tcPr>
            <w:tcW w:w="1080" w:type="dxa"/>
            <w:vAlign w:val="center"/>
          </w:tcPr>
          <w:p w14:paraId="22E7542A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  <w:t>不合格</w:t>
            </w:r>
          </w:p>
        </w:tc>
        <w:tc>
          <w:tcPr>
            <w:tcW w:w="0" w:type="auto"/>
            <w:vAlign w:val="center"/>
          </w:tcPr>
          <w:p w14:paraId="554796ED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B26D3E3">
            <w:pPr>
              <w:snapToGrid/>
              <w:spacing w:before="0" w:after="0" w:line="240" w:lineRule="auto"/>
              <w:jc w:val="both"/>
              <w:rPr>
                <w:rFonts w:ascii="国标黑体" w:hAnsi="国标黑体" w:eastAsia="国标黑体" w:cs="国标黑体"/>
                <w:color w:val="333333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2527" w:type="dxa"/>
            <w:vMerge w:val="continue"/>
            <w:vAlign w:val="center"/>
          </w:tcPr>
          <w:p w14:paraId="0F37346E">
            <w:pPr>
              <w:snapToGrid/>
              <w:spacing w:line="240" w:lineRule="auto"/>
              <w:rPr>
                <w:rFonts w:ascii="国标黑体" w:hAnsi="国标黑体" w:eastAsia="国标黑体" w:cs="国标黑体"/>
                <w:sz w:val="18"/>
              </w:rPr>
            </w:pPr>
          </w:p>
        </w:tc>
      </w:tr>
    </w:tbl>
    <w:p w14:paraId="704123E2">
      <w:pPr>
        <w:spacing w:before="0" w:after="0"/>
      </w:pPr>
    </w:p>
    <w:p w14:paraId="565F4935">
      <w:pPr>
        <w:pStyle w:val="4"/>
        <w:outlineLvl w:val="1"/>
        <w:rPr>
          <w:rFonts w:hint="eastAsia" w:eastAsiaTheme="majorEastAsia"/>
          <w:i w:val="0"/>
          <w:lang w:eastAsia="zh-CN"/>
        </w:rPr>
      </w:pPr>
      <w:r>
        <w:rPr>
          <w:i w:val="0"/>
        </w:rPr>
        <w:t xml:space="preserve"> 3.2 项目</w:t>
      </w:r>
      <w:r>
        <w:rPr>
          <w:rFonts w:hint="eastAsia"/>
          <w:i w:val="0"/>
          <w:lang w:eastAsia="zh-CN"/>
        </w:rPr>
        <w:t>验收</w:t>
      </w:r>
      <w:r>
        <w:rPr>
          <w:i w:val="0"/>
        </w:rPr>
        <w:t>质量标准</w:t>
      </w:r>
      <w:r>
        <w:rPr>
          <w:rFonts w:hint="eastAsia"/>
          <w:i w:val="0"/>
          <w:lang w:eastAsia="zh-CN"/>
        </w:rPr>
        <w:t>（参考）</w:t>
      </w:r>
    </w:p>
    <w:tbl>
      <w:tblPr>
        <w:tblStyle w:val="17"/>
        <w:tblW w:w="0" w:type="auto"/>
        <w:tblInd w:w="0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1366"/>
        <w:gridCol w:w="1671"/>
      </w:tblGrid>
      <w:tr w14:paraId="386351B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62987E51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指标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2548B4A6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质量标准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20E66C08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数据来源</w:t>
            </w:r>
          </w:p>
        </w:tc>
      </w:tr>
      <w:tr w14:paraId="280A0B1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01253284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Java静态代码质量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5EF1E1C1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至少达到B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2C24C69D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</w:t>
            </w:r>
          </w:p>
        </w:tc>
      </w:tr>
      <w:tr w14:paraId="2E70EA6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442EA384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C++静态代码质量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736F9BDD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至少达到B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441A552C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</w:t>
            </w:r>
          </w:p>
        </w:tc>
      </w:tr>
      <w:tr w14:paraId="690CE48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0618C6B7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单元测试分支覆盖率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1954AA3D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≥10%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509AF9F2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</w:t>
            </w:r>
          </w:p>
        </w:tc>
      </w:tr>
      <w:tr w14:paraId="15C001A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1AA68149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代码注释率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716795E4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≥10%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3E9F2D82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</w:t>
            </w:r>
          </w:p>
        </w:tc>
      </w:tr>
      <w:tr w14:paraId="59E39A1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0474D640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</w:rPr>
              <w:t>Java千行代码缺陷密度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10292672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0.8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2798AAC7">
            <w:pPr>
              <w:snapToGrid/>
              <w:spacing w:before="0" w:after="0" w:line="240" w:lineRule="auto"/>
              <w:jc w:val="center"/>
              <w:rPr>
                <w:rFonts w:hint="eastAsia" w:eastAsia="国标黑体"/>
                <w:lang w:val="en-US" w:eastAsia="zh-CN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Jira</w:t>
            </w:r>
          </w:p>
        </w:tc>
      </w:tr>
      <w:tr w14:paraId="4940EA9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71A03827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</w:rPr>
              <w:t>C++千行代码缺陷密度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2D3070C9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0.8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4DBB2C16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Jira</w:t>
            </w:r>
          </w:p>
        </w:tc>
      </w:tr>
      <w:tr w14:paraId="50AFE2A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28A35A6C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</w:rPr>
              <w:t>缺陷遗留率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6BB141B5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≤5%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78398558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Jira/HET</w:t>
            </w:r>
          </w:p>
        </w:tc>
      </w:tr>
      <w:tr w14:paraId="5D57C69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18CFC667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</w:rPr>
              <w:t>上线一次成功率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525F10EC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≥90%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73B0D24A">
            <w:pPr>
              <w:snapToGrid/>
              <w:spacing w:before="0" w:after="0" w:line="240" w:lineRule="auto"/>
              <w:jc w:val="center"/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TOMS</w:t>
            </w:r>
          </w:p>
        </w:tc>
      </w:tr>
      <w:tr w14:paraId="60A8A27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62" w:type="dxa"/>
            <w:tcMar>
              <w:bottom w:w="0" w:type="dxa"/>
            </w:tcMar>
            <w:vAlign w:val="center"/>
          </w:tcPr>
          <w:p w14:paraId="2DCCE031">
            <w:pPr>
              <w:snapToGrid/>
              <w:spacing w:before="0" w:after="0" w:line="240" w:lineRule="auto"/>
              <w:jc w:val="center"/>
              <w:rPr>
                <w:rFonts w:hint="default" w:ascii="国标黑体" w:hAnsi="国标黑体" w:eastAsia="国标黑体" w:cs="国标黑体"/>
                <w:i w:val="0"/>
                <w:strike/>
                <w:dstrike w:val="0"/>
                <w:color w:val="000000"/>
                <w:spacing w:val="0"/>
                <w:sz w:val="18"/>
                <w:u w:val="none"/>
                <w:lang w:val="en-US" w:eastAsia="zh-CN"/>
              </w:rPr>
            </w:pPr>
            <w:r>
              <w:rPr>
                <w:rFonts w:hint="eastAsia" w:ascii="国标黑体" w:hAnsi="国标黑体" w:eastAsia="国标黑体" w:cs="国标黑体"/>
                <w:i w:val="0"/>
                <w:strike w:val="0"/>
                <w:dstrike w:val="0"/>
                <w:color w:val="000000"/>
                <w:spacing w:val="0"/>
                <w:sz w:val="18"/>
                <w:u w:val="none"/>
                <w:lang w:val="en-US" w:eastAsia="zh-CN"/>
              </w:rPr>
              <w:t>技术债务（新）</w:t>
            </w:r>
          </w:p>
        </w:tc>
        <w:tc>
          <w:tcPr>
            <w:tcW w:w="1366" w:type="dxa"/>
            <w:tcMar>
              <w:bottom w:w="0" w:type="dxa"/>
            </w:tcMar>
            <w:vAlign w:val="center"/>
          </w:tcPr>
          <w:p w14:paraId="4324D76F">
            <w:pPr>
              <w:snapToGrid/>
              <w:spacing w:before="0" w:after="0" w:line="240" w:lineRule="auto"/>
              <w:jc w:val="center"/>
              <w:rPr>
                <w:rFonts w:hint="default"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  <w:lang w:val="en-US" w:eastAsia="zh-CN"/>
              </w:rPr>
            </w:pPr>
            <w:r>
              <w:rPr>
                <w:rFonts w:hint="eastAsia"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  <w:lang w:val="en-US" w:eastAsia="zh-CN"/>
              </w:rPr>
              <w:t>尽可能清零</w:t>
            </w:r>
          </w:p>
        </w:tc>
        <w:tc>
          <w:tcPr>
            <w:tcW w:w="1671" w:type="dxa"/>
            <w:tcMar>
              <w:bottom w:w="0" w:type="dxa"/>
            </w:tcMar>
            <w:vAlign w:val="center"/>
          </w:tcPr>
          <w:p w14:paraId="7CECEBC7">
            <w:pPr>
              <w:snapToGrid/>
              <w:spacing w:before="0" w:after="0" w:line="240" w:lineRule="auto"/>
              <w:jc w:val="center"/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</w:pPr>
            <w:r>
              <w:rPr>
                <w:rFonts w:ascii="国标黑体" w:hAnsi="国标黑体" w:eastAsia="国标黑体" w:cs="国标黑体"/>
                <w:i w:val="0"/>
                <w:strike w:val="0"/>
                <w:color w:val="000000"/>
                <w:spacing w:val="0"/>
                <w:sz w:val="18"/>
                <w:u w:val="none"/>
              </w:rPr>
              <w:t>Sonar</w:t>
            </w:r>
          </w:p>
        </w:tc>
      </w:tr>
    </w:tbl>
    <w:p w14:paraId="7259D64B"/>
    <w:p w14:paraId="711B3005">
      <w:pPr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590415"/>
            <wp:effectExtent l="0" t="0" r="12700" b="6985"/>
            <wp:docPr id="2" name="图片 2" descr="929c87d2-2ae2-4643-873c-34116ecd1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29c87d2-2ae2-4643-873c-34116ecd13a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9A77">
      <w:pPr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8435" cy="2929890"/>
            <wp:effectExtent l="0" t="0" r="24765" b="16510"/>
            <wp:docPr id="3" name="图片 3" descr="1bed823d-89e3-445a-818d-437e21b19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bed823d-89e3-445a-818d-437e21b198f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CC90">
      <w:pPr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3956685"/>
            <wp:effectExtent l="0" t="0" r="15240" b="5715"/>
            <wp:docPr id="4" name="图片 4" descr="75864b1b-28a8-48d3-a2d2-06b0ee0ec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5864b1b-28a8-48d3-a2d2-06b0ee0ec9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B723">
      <w:pPr>
        <w:ind w:left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2255520"/>
            <wp:effectExtent l="0" t="0" r="13335" b="5080"/>
            <wp:docPr id="5" name="图片 5" descr="2f099c7c-8950-4f37-adeb-51ddd2658a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f099c7c-8950-4f37-adeb-51ddd2658aa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3C15">
      <w:pPr>
        <w:ind w:lef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质量规则配置文件</w:t>
      </w:r>
    </w:p>
    <w:p w14:paraId="2AF8C6AB">
      <w:pPr>
        <w:ind w:left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object>
          <v:shape id="_x0000_i1025" o:spt="75" type="#_x0000_t75" style="height:120pt;width:120pt;" o:ole="t" filled="f" o:preferrelative="t" stroked="f" coordsize="21600,21600">
            <v:path/>
            <v:fill on="f" focussize="0,0"/>
            <v:stroke on="f"/>
            <v:imagedata r:id="rId11" o:title="oleimage"/>
            <o:lock v:ext="edit" aspectratio="t"/>
            <w10:wrap type="none"/>
            <w10:anchorlock/>
          </v:shape>
          <o:OLEObject Type="Embed" ProgID="Package" ShapeID="_x0000_i1025" DrawAspect="Icon" ObjectID="_1468075725" r:id="rId10">
            <o:LockedField>false</o:LockedField>
          </o:OLEObject>
        </w:object>
      </w:r>
      <w:r>
        <w:rPr>
          <w:rFonts w:hint="eastAsia" w:eastAsiaTheme="minorEastAsia"/>
          <w:lang w:val="en-US" w:eastAsia="zh-CN"/>
        </w:rPr>
        <w:object>
          <v:shape id="_x0000_i1026" o:spt="75" type="#_x0000_t75" style="height:120pt;width:120pt;" o:ole="t" filled="f" o:preferrelative="t" stroked="f" coordsize="21600,21600">
            <v:path/>
            <v:fill on="f" focussize="0,0"/>
            <v:stroke on="f"/>
            <v:imagedata r:id="rId13" o:title="oleimage"/>
            <o:lock v:ext="edit" aspectratio="t"/>
            <w10:wrap type="none"/>
            <w10:anchorlock/>
          </v:shape>
          <o:OLEObject Type="Embed" ProgID="Package" ShapeID="_x0000_i1026" DrawAspect="Icon" ObjectID="_1468075726" r:id="rId12">
            <o:LockedField>false</o:LockedField>
          </o:OLEObject>
        </w:object>
      </w:r>
    </w:p>
    <w:p w14:paraId="0B4D1641">
      <w:pPr>
        <w:ind w:left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sonarqube安装</w:t>
      </w:r>
    </w:p>
    <w:p w14:paraId="76769DC3">
      <w:pPr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sonarqube版本：7.8</w:t>
      </w:r>
    </w:p>
    <w:p w14:paraId="67259AB5">
      <w:pPr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安装方法请参照如下：</w:t>
      </w:r>
    </w:p>
    <w:p w14:paraId="23B7432E">
      <w:pPr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https://blog.csdn.net/kzdwts/article/details/130804263</w:t>
      </w:r>
    </w:p>
    <w:p w14:paraId="4165E738">
      <w:pPr>
        <w:ind w:left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"https://www.jb51.net/database/288553azk.htm"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19"/>
          <w:rFonts w:hint="default" w:eastAsiaTheme="minorEastAsia"/>
          <w:lang w:val="en-US" w:eastAsia="zh-CN"/>
        </w:rPr>
        <w:t>https://www.jb51.net/database/288553azk.htm</w:t>
      </w:r>
      <w:r>
        <w:rPr>
          <w:rFonts w:hint="default" w:eastAsiaTheme="minorEastAsia"/>
          <w:lang w:val="en-US" w:eastAsia="zh-CN"/>
        </w:rPr>
        <w:fldChar w:fldCharType="end"/>
      </w:r>
    </w:p>
    <w:p w14:paraId="7E1E42ED">
      <w:pPr>
        <w:ind w:left="0"/>
        <w:rPr>
          <w:rFonts w:hint="default" w:eastAsiaTheme="minorEastAsia"/>
          <w:lang w:val="en-US" w:eastAsia="zh-CN"/>
        </w:rPr>
      </w:pPr>
    </w:p>
    <w:p w14:paraId="5DB544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SonarQube 7.8 扫描本地 Python 代码指南</w:t>
      </w:r>
    </w:p>
    <w:p w14:paraId="452D4E7D">
      <w:r>
        <w:t>SonarQube 7.8 支持 Python（需安装 Python 插件，一般默认自带）。</w:t>
      </w:r>
    </w:p>
    <w:p w14:paraId="62C74A3D">
      <w:pPr>
        <w:rPr>
          <w:rFonts w:hint="eastAsia" w:eastAsiaTheme="minorEastAsia"/>
          <w:lang w:eastAsia="zh-CN"/>
        </w:rPr>
      </w:pPr>
      <w:r>
        <w:t>扫描步骤主要分为 3 部分</w:t>
      </w:r>
      <w:r>
        <w:rPr>
          <w:rFonts w:hint="eastAsia"/>
          <w:lang w:eastAsia="zh-CN"/>
        </w:rPr>
        <w:t>：</w:t>
      </w:r>
    </w:p>
    <w:p w14:paraId="6192A58C">
      <w:pPr>
        <w:rPr>
          <w:b/>
          <w:bCs/>
        </w:rPr>
      </w:pPr>
      <w:r>
        <w:rPr>
          <w:b/>
          <w:bCs/>
        </w:rPr>
        <w:t>1. 安装 sonar-scanner</w:t>
      </w:r>
    </w:p>
    <w:p w14:paraId="58E84B99">
      <w:r>
        <w:t>到 SonarQube 对应版本页面下载 sonar-scanner（7.8 建议使用 4.x 系列）</w:t>
      </w:r>
    </w:p>
    <w:p w14:paraId="5B046CF2">
      <w:r>
        <w:t>解压后配置环境变量：</w:t>
      </w:r>
    </w:p>
    <w:p w14:paraId="6C4E8636">
      <w:r>
        <w:t>Windows PowerShell</w:t>
      </w:r>
    </w:p>
    <w:p w14:paraId="13BB8699">
      <w:pPr>
        <w:ind w:firstLine="420" w:firstLineChars="0"/>
      </w:pPr>
      <w:r>
        <w:t>setx PATH "$env:PATH;C:\sonar-scanner\bin"</w:t>
      </w:r>
    </w:p>
    <w:p w14:paraId="7A91ABFC">
      <w:r>
        <w:t>Linux / macOS</w:t>
      </w:r>
    </w:p>
    <w:p w14:paraId="104BD4BB">
      <w:pPr>
        <w:ind w:firstLine="420" w:firstLineChars="0"/>
      </w:pPr>
      <w:r>
        <w:t>export PATH=$PATH:/opt/sonar-scanner/bin</w:t>
      </w:r>
    </w:p>
    <w:p w14:paraId="2CF12FBA">
      <w:r>
        <w:t>验证：</w:t>
      </w:r>
    </w:p>
    <w:p w14:paraId="03234102">
      <w:pPr>
        <w:ind w:firstLine="420" w:firstLineChars="0"/>
      </w:pPr>
      <w:r>
        <w:t>sonar-scanner -v</w:t>
      </w:r>
    </w:p>
    <w:p w14:paraId="74FB8D00">
      <w:pPr>
        <w:rPr>
          <w:b/>
          <w:bCs/>
        </w:rPr>
      </w:pPr>
      <w:r>
        <w:rPr>
          <w:b/>
          <w:bCs/>
        </w:rPr>
        <w:t>2. 在你的 Python 项目根目录创建 sonar-project.properties</w:t>
      </w:r>
    </w:p>
    <w:p w14:paraId="67707EE5">
      <w:r>
        <w:t>示例</w:t>
      </w:r>
    </w:p>
    <w:p w14:paraId="3D41EA09">
      <w:pPr>
        <w:ind w:firstLine="420" w:firstLineChars="0"/>
        <w:rPr>
          <w:rFonts w:hint="eastAsia"/>
        </w:rPr>
      </w:pPr>
      <w:r>
        <w:rPr>
          <w:rFonts w:hint="eastAsia"/>
        </w:rPr>
        <w:t>sonar.projectKey=my-python-project</w:t>
      </w:r>
    </w:p>
    <w:p w14:paraId="0A9F257C">
      <w:pPr>
        <w:ind w:firstLine="420" w:firstLineChars="0"/>
        <w:rPr>
          <w:rFonts w:hint="eastAsia"/>
        </w:rPr>
      </w:pPr>
      <w:r>
        <w:rPr>
          <w:rFonts w:hint="eastAsia"/>
        </w:rPr>
        <w:t>sonar.projectName=My Python Project</w:t>
      </w:r>
    </w:p>
    <w:p w14:paraId="1DDAB6CC">
      <w:pPr>
        <w:ind w:firstLine="420" w:firstLineChars="0"/>
        <w:rPr>
          <w:rFonts w:hint="eastAsia"/>
        </w:rPr>
      </w:pPr>
      <w:r>
        <w:rPr>
          <w:rFonts w:hint="eastAsia"/>
        </w:rPr>
        <w:t>sonar.projectVersion=1.0</w:t>
      </w:r>
    </w:p>
    <w:p w14:paraId="5550B556">
      <w:pPr>
        <w:ind w:firstLine="420" w:firstLineChars="0"/>
        <w:rPr>
          <w:rFonts w:hint="eastAsia"/>
        </w:rPr>
      </w:pPr>
      <w:r>
        <w:rPr>
          <w:rFonts w:hint="eastAsia"/>
        </w:rPr>
        <w:t># 本地源代码目录</w:t>
      </w:r>
    </w:p>
    <w:p w14:paraId="2BD224D0">
      <w:pPr>
        <w:ind w:firstLine="420" w:firstLineChars="0"/>
        <w:rPr>
          <w:rFonts w:hint="eastAsia"/>
        </w:rPr>
      </w:pPr>
      <w:r>
        <w:rPr>
          <w:rFonts w:hint="eastAsia"/>
        </w:rPr>
        <w:t>sonar.sources=.</w:t>
      </w:r>
    </w:p>
    <w:p w14:paraId="21C29E46">
      <w:pPr>
        <w:ind w:firstLine="420" w:firstLineChars="0"/>
        <w:rPr>
          <w:rFonts w:hint="eastAsia"/>
        </w:rPr>
      </w:pPr>
      <w:r>
        <w:rPr>
          <w:rFonts w:hint="eastAsia"/>
        </w:rPr>
        <w:t># 编程语言</w:t>
      </w:r>
    </w:p>
    <w:p w14:paraId="08E3EA39">
      <w:pPr>
        <w:ind w:firstLine="420" w:firstLineChars="0"/>
        <w:rPr>
          <w:rFonts w:hint="eastAsia"/>
        </w:rPr>
      </w:pPr>
      <w:r>
        <w:rPr>
          <w:rFonts w:hint="eastAsia"/>
        </w:rPr>
        <w:t>sonar.language=py</w:t>
      </w:r>
    </w:p>
    <w:p w14:paraId="24DE05B1">
      <w:pPr>
        <w:ind w:firstLine="420" w:firstLineChars="0"/>
        <w:rPr>
          <w:rFonts w:hint="eastAsia"/>
        </w:rPr>
      </w:pPr>
      <w:r>
        <w:rPr>
          <w:rFonts w:hint="eastAsia"/>
        </w:rPr>
        <w:t># 文件编码</w:t>
      </w:r>
    </w:p>
    <w:p w14:paraId="0999113F">
      <w:pPr>
        <w:ind w:firstLine="420" w:firstLineChars="0"/>
        <w:rPr>
          <w:rFonts w:hint="eastAsia"/>
        </w:rPr>
      </w:pPr>
      <w:r>
        <w:rPr>
          <w:rFonts w:hint="eastAsia"/>
        </w:rPr>
        <w:t>sonar.sourceEncoding=UTF-8</w:t>
      </w:r>
    </w:p>
    <w:p w14:paraId="5C886B15">
      <w:pPr>
        <w:ind w:firstLine="420" w:firstLineChars="0"/>
        <w:rPr>
          <w:rFonts w:hint="eastAsia"/>
        </w:rPr>
      </w:pPr>
      <w:r>
        <w:rPr>
          <w:rFonts w:hint="eastAsia"/>
        </w:rPr>
        <w:t># 如果你使用 pytest，这里加入测试报告路径</w:t>
      </w:r>
    </w:p>
    <w:p w14:paraId="3A386128">
      <w:pPr>
        <w:ind w:firstLine="420" w:firstLineChars="0"/>
        <w:rPr>
          <w:rFonts w:hint="eastAsia"/>
        </w:rPr>
      </w:pPr>
      <w:r>
        <w:rPr>
          <w:rFonts w:hint="eastAsia"/>
        </w:rPr>
        <w:t>sonar.python.coverage.reportPaths=coverage.xml</w:t>
      </w:r>
    </w:p>
    <w:p w14:paraId="4F1A06CE">
      <w:r>
        <w:t>如果希望排除某些目录，如 venv、migrations：</w:t>
      </w:r>
    </w:p>
    <w:p w14:paraId="41F78689">
      <w:pPr>
        <w:ind w:firstLine="420" w:firstLineChars="0"/>
      </w:pPr>
      <w:r>
        <w:t>sonar.exclusions=venv/**, **/migrations/**</w:t>
      </w:r>
    </w:p>
    <w:p w14:paraId="73D963AC">
      <w:pPr>
        <w:rPr>
          <w:b/>
          <w:bCs/>
        </w:rPr>
      </w:pPr>
      <w:r>
        <w:rPr>
          <w:b/>
          <w:bCs/>
        </w:rPr>
        <w:t>3. 扫描 Python 项目</w:t>
      </w:r>
    </w:p>
    <w:p w14:paraId="55A451EF">
      <w:r>
        <w:t>确保 SonarQube Server 已启动（访问 http://localhost:9000）</w:t>
      </w:r>
    </w:p>
    <w:p w14:paraId="2287EA1F">
      <w:r>
        <w:t>然后在项目根目录运行：</w:t>
      </w:r>
    </w:p>
    <w:p w14:paraId="32F72BE9">
      <w:pPr>
        <w:ind w:firstLine="420" w:firstLineChars="0"/>
      </w:pPr>
      <w:r>
        <w:t>sonar-scanner \</w:t>
      </w:r>
    </w:p>
    <w:p w14:paraId="240A2484">
      <w:pPr>
        <w:ind w:firstLine="420" w:firstLineChars="0"/>
      </w:pPr>
      <w:r>
        <w:t>  -Dsonar.host.url=http://localhost:9000 \</w:t>
      </w:r>
    </w:p>
    <w:p w14:paraId="08C8840E">
      <w:pPr>
        <w:ind w:firstLine="420" w:firstLineChars="0"/>
      </w:pPr>
      <w:r>
        <w:t>  -Dsonar.login=你的_token</w:t>
      </w:r>
    </w:p>
    <w:p w14:paraId="17927674">
      <w:r>
        <w:t>如果你还没有 token：</w:t>
      </w:r>
    </w:p>
    <w:p w14:paraId="6623A1CF">
      <w:r>
        <w:t>SonarQube → 右上角头像 → My Account → Security → Generate Token</w:t>
      </w:r>
    </w:p>
    <w:p w14:paraId="042496F4">
      <w:pPr>
        <w:rPr>
          <w:b/>
          <w:bCs/>
        </w:rPr>
      </w:pPr>
      <w:r>
        <w:rPr>
          <w:b/>
          <w:bCs/>
        </w:rPr>
        <w:t>4. 生成 Python 覆盖率</w:t>
      </w:r>
    </w:p>
    <w:p w14:paraId="77939CB0">
      <w:r>
        <w:t>运行 pytest 生成 coverage.xml</w:t>
      </w:r>
    </w:p>
    <w:p w14:paraId="3CB3A5D8">
      <w:pPr>
        <w:ind w:firstLine="420" w:firstLineChars="0"/>
      </w:pPr>
      <w:r>
        <w:t>pytest --cov=. --cov-report xml</w:t>
      </w:r>
    </w:p>
    <w:p w14:paraId="51D3E730">
      <w:r>
        <w:t>生成的 coverage.xml 会自动被 sonar.python.coverage.reportPaths 识别。</w:t>
      </w:r>
    </w:p>
    <w:p w14:paraId="61335771">
      <w:r>
        <w:t>然后再次运行 sonar-scanner 扫描即可。</w:t>
      </w:r>
    </w:p>
    <w:p w14:paraId="7B0A51E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D854AC8">
      <w:pPr>
        <w:rPr>
          <w:rFonts w:hint="eastAsia"/>
        </w:rPr>
      </w:pPr>
    </w:p>
    <w:p w14:paraId="33695012"/>
    <w:p w14:paraId="7F58ACB7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EDE40AC">
      <w:pPr>
        <w:ind w:left="0"/>
        <w:rPr>
          <w:rFonts w:hint="default" w:eastAsiaTheme="minorEastAsia"/>
          <w:lang w:val="en-US" w:eastAsia="zh-CN"/>
        </w:rPr>
      </w:pPr>
    </w:p>
    <w:sectPr>
      <w:pgSz w:w="11905" w:h="16838"/>
      <w:pgMar w:top="1440" w:right="1800" w:bottom="1440" w:left="1800" w:header="720" w:footer="720" w:gutter="0"/>
      <w:cols w:space="72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国标黑体">
    <w:altName w:val="黑体"/>
    <w:panose1 w:val="02000500000000000000"/>
    <w:charset w:val="86"/>
    <w:family w:val="auto"/>
    <w:pitch w:val="default"/>
    <w:sig w:usb0="00000000" w:usb1="00000000" w:usb2="00000000" w:usb3="00000000" w:csb0="0004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DF6CDC0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5C352B"/>
    <w:multiLevelType w:val="multilevel"/>
    <w:tmpl w:val="F65C352B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eastAsia="Wingdings" w:cs="Wingdings"/>
      </w:rPr>
    </w:lvl>
  </w:abstractNum>
  <w:abstractNum w:abstractNumId="1">
    <w:nsid w:val="FBBFD09D"/>
    <w:multiLevelType w:val="multilevel"/>
    <w:tmpl w:val="FBBFD09D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eastAsia="Wingdings" w:cs="Wingdings"/>
      </w:rPr>
    </w:lvl>
  </w:abstractNum>
  <w:abstractNum w:abstractNumId="2">
    <w:nsid w:val="FF6855A4"/>
    <w:multiLevelType w:val="multilevel"/>
    <w:tmpl w:val="FF6855A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3">
    <w:nsid w:val="7872E2C4"/>
    <w:multiLevelType w:val="singleLevel"/>
    <w:tmpl w:val="7872E2C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HorizontalSpacing w:val="11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wMDA5N2U4N2JjNzFhOTIwODJkZTgyMGVkMWQ3MmYifQ=="/>
  </w:docVars>
  <w:rsids>
    <w:rsidRoot w:val="008F0DAC"/>
    <w:rsid w:val="000C125A"/>
    <w:rsid w:val="00102C9C"/>
    <w:rsid w:val="0010771A"/>
    <w:rsid w:val="001E2BA4"/>
    <w:rsid w:val="001E6BF7"/>
    <w:rsid w:val="00223D7F"/>
    <w:rsid w:val="00225114"/>
    <w:rsid w:val="0027317D"/>
    <w:rsid w:val="002F6885"/>
    <w:rsid w:val="00353BC6"/>
    <w:rsid w:val="003A707E"/>
    <w:rsid w:val="004C04ED"/>
    <w:rsid w:val="005147B9"/>
    <w:rsid w:val="00577BF4"/>
    <w:rsid w:val="0059244A"/>
    <w:rsid w:val="006B2EEC"/>
    <w:rsid w:val="0073557A"/>
    <w:rsid w:val="00856E93"/>
    <w:rsid w:val="00884728"/>
    <w:rsid w:val="008C278E"/>
    <w:rsid w:val="008F0DAC"/>
    <w:rsid w:val="009147C5"/>
    <w:rsid w:val="00933054"/>
    <w:rsid w:val="009A67ED"/>
    <w:rsid w:val="009B5A86"/>
    <w:rsid w:val="009B7616"/>
    <w:rsid w:val="00A843A6"/>
    <w:rsid w:val="00B24693"/>
    <w:rsid w:val="00B9369C"/>
    <w:rsid w:val="00BC1232"/>
    <w:rsid w:val="00BF25D8"/>
    <w:rsid w:val="00C22836"/>
    <w:rsid w:val="00C402C0"/>
    <w:rsid w:val="00CB7106"/>
    <w:rsid w:val="00CC1EC6"/>
    <w:rsid w:val="00CF6501"/>
    <w:rsid w:val="00D0389B"/>
    <w:rsid w:val="00DB15C3"/>
    <w:rsid w:val="00DB2A18"/>
    <w:rsid w:val="00DF4BB7"/>
    <w:rsid w:val="00E222E8"/>
    <w:rsid w:val="00ED18E3"/>
    <w:rsid w:val="00FC46CB"/>
    <w:rsid w:val="00FC7BF4"/>
    <w:rsid w:val="04277AC2"/>
    <w:rsid w:val="0DF82BA9"/>
    <w:rsid w:val="0FFB6C0E"/>
    <w:rsid w:val="12FF54E7"/>
    <w:rsid w:val="1BEE05F1"/>
    <w:rsid w:val="1E6FAAB0"/>
    <w:rsid w:val="1EFF2741"/>
    <w:rsid w:val="1F9F4BFE"/>
    <w:rsid w:val="279B064D"/>
    <w:rsid w:val="362B30DB"/>
    <w:rsid w:val="39670E96"/>
    <w:rsid w:val="3BDF8A79"/>
    <w:rsid w:val="3F5A5741"/>
    <w:rsid w:val="3FFD4869"/>
    <w:rsid w:val="3FFF6968"/>
    <w:rsid w:val="46B90EB1"/>
    <w:rsid w:val="4787609B"/>
    <w:rsid w:val="4EB43217"/>
    <w:rsid w:val="57EAFF50"/>
    <w:rsid w:val="5CBA1DE7"/>
    <w:rsid w:val="5FEF9EC4"/>
    <w:rsid w:val="5FFE3C4A"/>
    <w:rsid w:val="627564CF"/>
    <w:rsid w:val="6BEF0E9D"/>
    <w:rsid w:val="6F3BA2AE"/>
    <w:rsid w:val="6F637D7F"/>
    <w:rsid w:val="76ACA6AC"/>
    <w:rsid w:val="773F40D8"/>
    <w:rsid w:val="77FF6BC5"/>
    <w:rsid w:val="796BB4B3"/>
    <w:rsid w:val="7BFC6BB8"/>
    <w:rsid w:val="7CE06FAF"/>
    <w:rsid w:val="7DEC523E"/>
    <w:rsid w:val="7DFE7E55"/>
    <w:rsid w:val="7EDFEE0A"/>
    <w:rsid w:val="7F5BFE92"/>
    <w:rsid w:val="7FBA7BED"/>
    <w:rsid w:val="7FF7ECD3"/>
    <w:rsid w:val="97DB16A5"/>
    <w:rsid w:val="9FFFEEC8"/>
    <w:rsid w:val="AF9D9C0F"/>
    <w:rsid w:val="BB7EAB00"/>
    <w:rsid w:val="CE7AB409"/>
    <w:rsid w:val="D5D2F609"/>
    <w:rsid w:val="D5FD8DDD"/>
    <w:rsid w:val="DBFF89B5"/>
    <w:rsid w:val="DCBFEF8F"/>
    <w:rsid w:val="DD5EC957"/>
    <w:rsid w:val="DDFF71D9"/>
    <w:rsid w:val="DE5FD6E3"/>
    <w:rsid w:val="DFFBC354"/>
    <w:rsid w:val="ECFFE69E"/>
    <w:rsid w:val="EDDF13E4"/>
    <w:rsid w:val="EEFF188D"/>
    <w:rsid w:val="EF4ED3F2"/>
    <w:rsid w:val="F7FFF134"/>
    <w:rsid w:val="FCD521FD"/>
    <w:rsid w:val="FDF67D17"/>
    <w:rsid w:val="FFB967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2" w:semiHidden="0" w:name="heading 2"/>
    <w:lsdException w:qFormat="1" w:uiPriority="3" w:semiHidden="0" w:name="heading 3"/>
    <w:lsdException w:qFormat="1" w:uiPriority="4" w:semiHidden="0" w:name="heading 4"/>
    <w:lsdException w:qFormat="1" w:uiPriority="5" w:semiHidden="0" w:name="heading 5"/>
    <w:lsdException w:qFormat="1" w:uiPriority="6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4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13" w:semiHidden="0" w:name="Strong"/>
    <w:lsdException w:qFormat="1" w:unhideWhenUsed="0" w:uiPriority="12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/>
      <w:spacing w:before="60" w:after="60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outlineLvl w:val="0"/>
    </w:pPr>
    <w:rPr>
      <w:rFonts w:asciiTheme="majorHAnsi" w:hAnsiTheme="majorHAnsi" w:eastAsiaTheme="majorEastAsia"/>
      <w:b/>
      <w:bCs/>
      <w:color w:val="1A1A1A"/>
      <w:sz w:val="36"/>
      <w:szCs w:val="36"/>
    </w:rPr>
  </w:style>
  <w:style w:type="paragraph" w:styleId="3">
    <w:name w:val="heading 2"/>
    <w:basedOn w:val="1"/>
    <w:next w:val="1"/>
    <w:link w:val="27"/>
    <w:unhideWhenUsed/>
    <w:qFormat/>
    <w:uiPriority w:val="2"/>
    <w:pPr>
      <w:outlineLvl w:val="1"/>
    </w:pPr>
    <w:rPr>
      <w:rFonts w:cs="Times New Roman (标题 CS)" w:asciiTheme="majorHAnsi" w:hAnsiTheme="majorHAnsi" w:eastAsiaTheme="majorEastAsia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3"/>
    <w:pPr>
      <w:outlineLvl w:val="2"/>
    </w:pPr>
    <w:rPr>
      <w:rFonts w:cs="Times New Roman (正文 CS 字体)" w:asciiTheme="majorHAnsi" w:hAnsiTheme="majorHAnsi" w:eastAsiaTheme="majorEastAsia"/>
      <w:b/>
      <w:bCs/>
      <w:sz w:val="28"/>
      <w:szCs w:val="32"/>
    </w:rPr>
  </w:style>
  <w:style w:type="paragraph" w:styleId="5">
    <w:name w:val="heading 4"/>
    <w:basedOn w:val="1"/>
    <w:next w:val="1"/>
    <w:link w:val="25"/>
    <w:unhideWhenUsed/>
    <w:qFormat/>
    <w:uiPriority w:val="4"/>
    <w:pPr>
      <w:outlineLvl w:val="3"/>
    </w:pPr>
    <w:rPr>
      <w:rFonts w:cs="Times New Roman (标题 CS)" w:asciiTheme="majorHAnsi" w:hAnsiTheme="majorHAnsi" w:eastAsiaTheme="majorEastAsia"/>
      <w:b/>
      <w:bCs/>
      <w:sz w:val="24"/>
      <w:szCs w:val="28"/>
    </w:rPr>
  </w:style>
  <w:style w:type="paragraph" w:styleId="6">
    <w:name w:val="heading 5"/>
    <w:basedOn w:val="1"/>
    <w:next w:val="1"/>
    <w:link w:val="20"/>
    <w:unhideWhenUsed/>
    <w:qFormat/>
    <w:uiPriority w:val="5"/>
    <w:pPr>
      <w:spacing w:line="480" w:lineRule="auto"/>
      <w:outlineLvl w:val="4"/>
    </w:pPr>
    <w:rPr>
      <w:rFonts w:cs="Times New Roman (正文 CS 字体)" w:asciiTheme="majorHAnsi" w:hAnsiTheme="majorHAnsi" w:eastAsiaTheme="majorEastAsia"/>
      <w:b/>
      <w:bCs/>
      <w:szCs w:val="28"/>
    </w:rPr>
  </w:style>
  <w:style w:type="paragraph" w:styleId="7">
    <w:name w:val="heading 6"/>
    <w:basedOn w:val="1"/>
    <w:next w:val="1"/>
    <w:link w:val="30"/>
    <w:unhideWhenUsed/>
    <w:qFormat/>
    <w:uiPriority w:val="6"/>
    <w:pPr>
      <w:spacing w:line="480" w:lineRule="auto"/>
      <w:outlineLvl w:val="5"/>
    </w:pPr>
    <w:rPr>
      <w:rFonts w:cs="Times New Roman (标题 CS)" w:asciiTheme="majorHAnsi" w:hAnsiTheme="majorHAnsi" w:eastAsiaTheme="majorEastAsia"/>
      <w:b/>
      <w:bCs/>
      <w:szCs w:val="24"/>
    </w:rPr>
  </w:style>
  <w:style w:type="paragraph" w:styleId="8">
    <w:name w:val="heading 7"/>
    <w:basedOn w:val="1"/>
    <w:next w:val="1"/>
    <w:link w:val="26"/>
    <w:unhideWhenUsed/>
    <w:qFormat/>
    <w:uiPriority w:val="9"/>
    <w:pPr>
      <w:spacing w:line="480" w:lineRule="auto"/>
      <w:outlineLvl w:val="6"/>
    </w:pPr>
    <w:rPr>
      <w:rFonts w:asciiTheme="majorHAnsi" w:hAnsiTheme="majorHAnsi" w:eastAsiaTheme="majorEastAsia"/>
      <w:b/>
      <w:bCs/>
      <w:szCs w:val="24"/>
    </w:rPr>
  </w:style>
  <w:style w:type="paragraph" w:styleId="9">
    <w:name w:val="heading 8"/>
    <w:basedOn w:val="1"/>
    <w:next w:val="1"/>
    <w:link w:val="29"/>
    <w:unhideWhenUsed/>
    <w:qFormat/>
    <w:uiPriority w:val="9"/>
    <w:pPr>
      <w:spacing w:line="480" w:lineRule="auto"/>
      <w:outlineLvl w:val="7"/>
    </w:pPr>
    <w:rPr>
      <w:rFonts w:asciiTheme="majorHAnsi" w:hAnsiTheme="majorHAnsi" w:eastAsiaTheme="majorEastAsia" w:cstheme="majorBidi"/>
      <w:b/>
      <w:szCs w:val="24"/>
    </w:rPr>
  </w:style>
  <w:style w:type="paragraph" w:styleId="10">
    <w:name w:val="heading 9"/>
    <w:basedOn w:val="1"/>
    <w:next w:val="1"/>
    <w:link w:val="28"/>
    <w:unhideWhenUsed/>
    <w:qFormat/>
    <w:uiPriority w:val="9"/>
    <w:pPr>
      <w:spacing w:line="480" w:lineRule="auto"/>
      <w:outlineLvl w:val="8"/>
    </w:pPr>
    <w:rPr>
      <w:rFonts w:asciiTheme="majorHAnsi" w:hAnsiTheme="majorHAnsi" w:eastAsiaTheme="majorEastAsia" w:cstheme="majorBidi"/>
      <w:b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4"/>
    <w:qFormat/>
    <w:uiPriority w:val="11"/>
    <w:pPr>
      <w:jc w:val="center"/>
      <w:outlineLvl w:val="1"/>
    </w:pPr>
    <w:rPr>
      <w:rFonts w:asciiTheme="majorHAnsi" w:hAnsiTheme="majorHAnsi" w:eastAsiaTheme="majorEastAsia"/>
      <w:b/>
      <w:bCs/>
      <w:kern w:val="28"/>
      <w:sz w:val="44"/>
      <w:szCs w:val="32"/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qFormat/>
    <w:uiPriority w:val="10"/>
    <w:pPr>
      <w:jc w:val="center"/>
      <w:outlineLvl w:val="0"/>
    </w:pPr>
    <w:rPr>
      <w:rFonts w:asciiTheme="majorHAnsi" w:hAnsiTheme="majorHAnsi" w:eastAsiaTheme="majorEastAsia"/>
      <w:b/>
      <w:bCs/>
      <w:color w:val="1A1A1A"/>
      <w:sz w:val="48"/>
      <w:szCs w:val="48"/>
    </w:rPr>
  </w:style>
  <w:style w:type="table" w:styleId="17">
    <w:name w:val="Table Grid"/>
    <w:basedOn w:val="16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nhideWhenUsed/>
    <w:qFormat/>
    <w:uiPriority w:val="99"/>
    <w:rPr>
      <w:color w:val="1E6F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5 字符"/>
    <w:basedOn w:val="18"/>
    <w:link w:val="6"/>
    <w:qFormat/>
    <w:uiPriority w:val="5"/>
    <w:rPr>
      <w:rFonts w:cs="Times New Roman (正文 CS 字体)" w:asciiTheme="majorHAnsi" w:hAnsiTheme="majorHAnsi" w:eastAsiaTheme="majorEastAsia"/>
      <w:b/>
      <w:bCs/>
      <w:szCs w:val="28"/>
    </w:rPr>
  </w:style>
  <w:style w:type="character" w:customStyle="1" w:styleId="21">
    <w:name w:val="标题 3 字符"/>
    <w:basedOn w:val="18"/>
    <w:link w:val="4"/>
    <w:qFormat/>
    <w:uiPriority w:val="3"/>
    <w:rPr>
      <w:rFonts w:cs="Times New Roman (正文 CS 字体)" w:asciiTheme="majorHAnsi" w:hAnsiTheme="majorHAnsi" w:eastAsiaTheme="majorEastAsia"/>
      <w:b/>
      <w:bCs/>
      <w:sz w:val="28"/>
      <w:szCs w:val="32"/>
    </w:rPr>
  </w:style>
  <w:style w:type="character" w:customStyle="1" w:styleId="22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4">
    <w:name w:val="副标题 字符"/>
    <w:basedOn w:val="18"/>
    <w:link w:val="13"/>
    <w:qFormat/>
    <w:uiPriority w:val="11"/>
    <w:rPr>
      <w:rFonts w:asciiTheme="majorHAnsi" w:hAnsiTheme="majorHAnsi" w:eastAsiaTheme="majorEastAsia"/>
      <w:b/>
      <w:bCs/>
      <w:kern w:val="28"/>
      <w:sz w:val="44"/>
      <w:szCs w:val="32"/>
    </w:rPr>
  </w:style>
  <w:style w:type="character" w:customStyle="1" w:styleId="25">
    <w:name w:val="标题 4 字符"/>
    <w:basedOn w:val="18"/>
    <w:link w:val="5"/>
    <w:qFormat/>
    <w:uiPriority w:val="4"/>
    <w:rPr>
      <w:rFonts w:cs="Times New Roman (标题 CS)" w:asciiTheme="majorHAnsi" w:hAnsiTheme="majorHAnsi" w:eastAsiaTheme="majorEastAsia"/>
      <w:b/>
      <w:bCs/>
      <w:sz w:val="24"/>
      <w:szCs w:val="28"/>
    </w:rPr>
  </w:style>
  <w:style w:type="character" w:customStyle="1" w:styleId="26">
    <w:name w:val="标题 7 字符"/>
    <w:basedOn w:val="18"/>
    <w:link w:val="8"/>
    <w:qFormat/>
    <w:uiPriority w:val="9"/>
    <w:rPr>
      <w:rFonts w:asciiTheme="majorHAnsi" w:hAnsiTheme="majorHAnsi" w:eastAsiaTheme="majorEastAsia"/>
      <w:b/>
      <w:bCs/>
      <w:szCs w:val="24"/>
    </w:rPr>
  </w:style>
  <w:style w:type="character" w:customStyle="1" w:styleId="27">
    <w:name w:val="标题 2 字符"/>
    <w:basedOn w:val="18"/>
    <w:link w:val="3"/>
    <w:qFormat/>
    <w:uiPriority w:val="2"/>
    <w:rPr>
      <w:rFonts w:cs="Times New Roman (标题 CS)" w:asciiTheme="majorHAnsi" w:hAnsiTheme="majorHAnsi" w:eastAsiaTheme="majorEastAsia"/>
      <w:b/>
      <w:bCs/>
      <w:sz w:val="32"/>
      <w:szCs w:val="32"/>
    </w:rPr>
  </w:style>
  <w:style w:type="character" w:customStyle="1" w:styleId="28">
    <w:name w:val="标题 9 字符"/>
    <w:basedOn w:val="18"/>
    <w:link w:val="10"/>
    <w:qFormat/>
    <w:uiPriority w:val="9"/>
    <w:rPr>
      <w:rFonts w:asciiTheme="majorHAnsi" w:hAnsiTheme="majorHAnsi" w:eastAsiaTheme="majorEastAsia" w:cstheme="majorBidi"/>
      <w:b/>
      <w:szCs w:val="21"/>
    </w:rPr>
  </w:style>
  <w:style w:type="character" w:customStyle="1" w:styleId="29">
    <w:name w:val="标题 8 字符"/>
    <w:basedOn w:val="18"/>
    <w:link w:val="9"/>
    <w:qFormat/>
    <w:uiPriority w:val="9"/>
    <w:rPr>
      <w:rFonts w:asciiTheme="majorHAnsi" w:hAnsiTheme="majorHAnsi" w:eastAsiaTheme="majorEastAsia" w:cstheme="majorBidi"/>
      <w:b/>
      <w:szCs w:val="24"/>
    </w:rPr>
  </w:style>
  <w:style w:type="character" w:customStyle="1" w:styleId="30">
    <w:name w:val="标题 6 字符"/>
    <w:basedOn w:val="18"/>
    <w:link w:val="7"/>
    <w:qFormat/>
    <w:uiPriority w:val="6"/>
    <w:rPr>
      <w:rFonts w:cs="Times New Roman (标题 CS)" w:asciiTheme="majorHAnsi" w:hAnsiTheme="majorHAnsi" w:eastAsiaTheme="majorEastAsia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oleObject" Target="embeddings/oleObject2.bin"/><Relationship Id="rId11" Type="http://schemas.openxmlformats.org/officeDocument/2006/relationships/image" Target="media/image6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腾讯文档">
      <a:majorFont>
        <a:latin typeface="Arial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2112</Words>
  <Characters>2282</Characters>
  <TotalTime>4717</TotalTime>
  <ScaleCrop>false</ScaleCrop>
  <LinksUpToDate>false</LinksUpToDate>
  <CharactersWithSpaces>2337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2024-06-14T08:41:00Z</dcterms:created>
  <dc:creator>greatwall</dc:creator>
  <cp:lastModifiedBy>戒不掉你的傻笑</cp:lastModifiedBy>
  <dcterms:modified xsi:type="dcterms:W3CDTF">2026-06-15T02:54:05Z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17F237DB9AF94C0A8C73568459CF2214_13</vt:lpwstr>
  </property>
</Properties>
</file>