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E0E6B">
      <w:pPr>
        <w:pStyle w:val="2"/>
        <w:jc w:val="center"/>
      </w:pPr>
      <w:r>
        <w:t>校园外卖小程序可行性分析报告</w:t>
      </w:r>
    </w:p>
    <w:p w14:paraId="295E8175">
      <w:pPr>
        <w:pStyle w:val="3"/>
      </w:pPr>
      <w:r>
        <w:t>一、项目背景与目标</w:t>
      </w:r>
    </w:p>
    <w:p w14:paraId="079DD865">
      <w:pPr>
        <w:pStyle w:val="4"/>
      </w:pPr>
      <w:r>
        <w:t>1.1 项目背景</w:t>
      </w:r>
    </w:p>
    <w:p w14:paraId="5D5D7D94">
      <w:r>
        <w:t>本校校园内师生日常就餐存在远距离取餐、配送不便、餐饮品类分散等问题，线下小吃、奶茶、快餐店铺缺少统一线上下单渠道。市面上通用外卖平台抽成高、针对校园场景适配差，缺少学生骑手校内配送、校园专属商家入驻、小额钱包充值等轻量化功能。</w:t>
      </w:r>
    </w:p>
    <w:p w14:paraId="20CAFBD0">
      <w:r>
        <w:t>结合数字媒体技术专业前端开发、交互设计学习需求，依托HTML、原生JavaScript、本地存储技术开发</w:t>
      </w:r>
      <w:r>
        <w:rPr>
          <w:b/>
        </w:rPr>
        <w:t>轻量化校园外卖单页小程序</w:t>
      </w:r>
      <w:r>
        <w:t>，仅浏览器即可运行，无需后端服务器，适配学生简易开发与校内小规模使用场景。</w:t>
      </w:r>
    </w:p>
    <w:p w14:paraId="7B8FE115">
      <w:pPr>
        <w:pStyle w:val="4"/>
      </w:pPr>
      <w:r>
        <w:t>1.2 项目核心功能目标</w:t>
      </w:r>
    </w:p>
    <w:p w14:paraId="0D7BF8C2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用户端：账号注册登录、餐饮分类浏览、商品搜索、购物车增减、余额充值、下单支付、多状态订单管理；</w:t>
      </w:r>
    </w:p>
    <w:p w14:paraId="3F519DA7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骑手端：查看待接单订单、接单配送、配送收入结算、当日配送数据统计；</w:t>
      </w:r>
    </w:p>
    <w:p w14:paraId="35B50CF3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商家端：线上店铺入驻申请提交；</w:t>
      </w:r>
    </w:p>
    <w:p w14:paraId="1DEDA1AB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公共底层：本地数据持久化存储、弹窗提示、新手引导、多页面切换导航。</w:t>
      </w:r>
    </w:p>
    <w:p w14:paraId="62795AAA">
      <w:pPr>
        <w:pStyle w:val="4"/>
      </w:pPr>
      <w:r>
        <w:t>1.3 项目开发目标</w:t>
      </w:r>
    </w:p>
    <w:p w14:paraId="14488603">
      <w:r>
        <w:t>完成可完整运行的前端Demo，满足软件工程课程大作业交付标准；验证轻量化本地存储方案实现小型多角色电商系统的可行性；掌握原生JS交互逻辑、本地持久化、页面路由、状态管理开发流程。</w:t>
      </w:r>
    </w:p>
    <w:p w14:paraId="5ECD21AD">
      <w:pPr>
        <w:pStyle w:val="3"/>
      </w:pPr>
      <w:r>
        <w:t>二、技术可行性</w:t>
      </w:r>
    </w:p>
    <w:p w14:paraId="480C7B81">
      <w:pPr>
        <w:pStyle w:val="4"/>
      </w:pPr>
      <w:r>
        <w:t>2.1 技术栈成熟度</w:t>
      </w:r>
    </w:p>
    <w:p w14:paraId="488BC92B">
      <w:r>
        <w:t>本项目全部采用前端通用成熟技术，无小众、未稳定框架，学习与落地门槛极低：</w:t>
      </w:r>
    </w:p>
    <w:p w14:paraId="450CD535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基础页面：HTML5、CSS3，浏览器原生支持，兼容性覆盖全部PC、手机浏览器；</w:t>
      </w:r>
    </w:p>
    <w:p w14:paraId="50B0542B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业务逻辑：原生JavaScript（ES6语法），无第三方复杂框架依赖；</w:t>
      </w:r>
    </w:p>
    <w:p w14:paraId="425F9683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数据存储：浏览器内置localStorage本地持久化，无需数据库、后端服务；</w:t>
      </w:r>
    </w:p>
    <w:p w14:paraId="0FC9AC6D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界面素材：Emoji图标+原生CSS样式，无需图片服务器、素材插件；</w:t>
      </w:r>
    </w:p>
    <w:p w14:paraId="54EF6366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页面路由：自定义showPage页面切换函数，纯前端单页路由实现多页面跳转。</w:t>
      </w:r>
    </w:p>
    <w:p w14:paraId="08D252F9">
      <w:r>
        <w:t>项目代码已完整实现所有业务逻辑：商品模拟数据、购物车计算、订单状态流转、用户账户余额、骑手收益统计、交易流水记录等核心功能，函数封装规范，数据结构清晰（foodData商品数组、mockOrders模拟订单、用户/骑手/交易独立存储变量），技术方案完全可落地。</w:t>
      </w:r>
    </w:p>
    <w:p w14:paraId="220A7293">
      <w:pPr>
        <w:pStyle w:val="4"/>
      </w:pPr>
      <w:r>
        <w:t>2.2 团队开发能力匹配</w:t>
      </w:r>
    </w:p>
    <w:p w14:paraId="1D0887BD">
      <w:r>
        <w:t>本项目为单人课程作业，开发者为数字媒体技术专业在校生：</w:t>
      </w:r>
    </w:p>
    <w:p w14:paraId="7BB5F8DD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具备HTML/CSS/原生JS前端基础，可独立完成页面布局、交互函数编写；</w:t>
      </w:r>
    </w:p>
    <w:p w14:paraId="1FF25257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掌握数组处理、本地存储、页面DOM渲染、事件监听等核心开发能力，完整编写本项目全部JS业务代码；</w:t>
      </w:r>
    </w:p>
    <w:p w14:paraId="1678E6D7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熟悉软件工程文档撰写规范，可独立完成可行性分析、需求、测试等配套报告；</w:t>
      </w:r>
    </w:p>
    <w:p w14:paraId="7346B38F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无复杂后端、服务器部署需求，仅前端开发工作量单人完全可控，现有代码已证明技术能力可支撑项目完整交付。</w:t>
      </w:r>
    </w:p>
    <w:p w14:paraId="28B7B9ED">
      <w:pPr>
        <w:pStyle w:val="4"/>
      </w:pPr>
      <w:r>
        <w:t>2.3 技术短板与解决方案</w:t>
      </w:r>
    </w:p>
    <w:p w14:paraId="0A2CF503">
      <w:r>
        <w:t>项目仅使用本地存储，关闭浏览器后数据仅本地保留、无法多设备同步，针对课程Demo场景属于可接受范围；若后续迭代，可引入简易后端，当前作业阶段无需额外技术支撑。</w:t>
      </w:r>
    </w:p>
    <w:p w14:paraId="069FE4A4">
      <w:pPr>
        <w:pStyle w:val="3"/>
      </w:pPr>
      <w:r>
        <w:t>三、经济可行性</w:t>
      </w:r>
    </w:p>
    <w:p w14:paraId="3D407D01">
      <w:r>
        <w:t>本项目为学生课程作业Demo，无商业盈利需求，开发、运行均零成本，资源需求极低：</w:t>
      </w:r>
    </w:p>
    <w:p w14:paraId="74AC84A1">
      <w:pPr>
        <w:pStyle w:val="4"/>
      </w:pPr>
      <w:r>
        <w:t>3.1 开发成本</w:t>
      </w:r>
    </w:p>
    <w:p w14:paraId="6E38630D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硬件：普通学生笔记本电脑一台，日常学习设备，无额外采购成本；</w:t>
      </w:r>
    </w:p>
    <w:p w14:paraId="0DC1D35E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软件：VS Code免费代码编辑器、Chrome浏览器、本地文件运行，全部开源免费工具；</w:t>
      </w:r>
    </w:p>
    <w:p w14:paraId="26A28AFD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素材：Emoji自带图标，无商用图片、字体付费开销；</w:t>
      </w:r>
    </w:p>
    <w:p w14:paraId="625D06D6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人力：单人自主开发，无外包、协作付费成本，开发周期约3-5天。</w:t>
      </w:r>
    </w:p>
    <w:p w14:paraId="0CFDE859">
      <w:pPr>
        <w:pStyle w:val="4"/>
      </w:pPr>
      <w:r>
        <w:t>3.2 运行成本</w:t>
      </w:r>
    </w:p>
    <w:p w14:paraId="710DF429">
      <w:r>
        <w:t>项目为纯前端本地网页，无需云服务器、域名、数据库、流量费用：</w:t>
      </w:r>
    </w:p>
    <w:p w14:paraId="01ED24A5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部署：直接本地打开HTML文件即可运行，无需线上部署；</w:t>
      </w:r>
    </w:p>
    <w:p w14:paraId="1C35AE8F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存储：数据保存在浏览器本地localStorage，占用存储空间不足1MB；</w:t>
      </w:r>
    </w:p>
    <w:p w14:paraId="52ABCC7C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网络：仅首次打开无需联网，离线完整使用全部功能。</w:t>
      </w:r>
    </w:p>
    <w:p w14:paraId="12D242E7">
      <w:pPr>
        <w:pStyle w:val="4"/>
      </w:pPr>
      <w:r>
        <w:t>3.3 资源需求总结</w:t>
      </w:r>
    </w:p>
    <w:p w14:paraId="50870E1E">
      <w:r>
        <w:t>项目无任何资金支出，仅占用学生日常电脑使用时间，经济成本为0，完全符合学生课程作业低成本开发要求。若未来校园小规模试用，仅需简单静态网页托管，免费静态托管平台即可承载，无经济压力。</w:t>
      </w:r>
    </w:p>
    <w:p w14:paraId="43C0DAA2">
      <w:pPr>
        <w:pStyle w:val="3"/>
      </w:pPr>
      <w:r>
        <w:t>四、操作可行性</w:t>
      </w:r>
    </w:p>
    <w:p w14:paraId="48F6F7FE">
      <w:pPr>
        <w:pStyle w:val="4"/>
      </w:pPr>
      <w:r>
        <w:t>4.1 用户使用意愿分析</w:t>
      </w:r>
    </w:p>
    <w:p w14:paraId="1DBAFAC1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目标用户为本校师生，需求明确：线上点校内餐饮、校内骑手短途配送，解决线下取餐麻烦痛点；</w:t>
      </w:r>
    </w:p>
    <w:p w14:paraId="30C682FA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系统操作轻量化：登录、加购、下单、骑手接单均为单按钮操作，底部导航、分类标签、订单筛选界面直观，无复杂操作流程；</w:t>
      </w:r>
    </w:p>
    <w:p w14:paraId="2078F272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功能贴合学生使用习惯：小额余额充值、订单状态清晰区分（待付款/待接单/配送中/已完成）、配送距离、小费展示，符合校园外卖使用场景；</w:t>
      </w:r>
    </w:p>
    <w:p w14:paraId="5896FD93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新手引导弹窗：首次登录自动弹出使用指引，降低上手门槛，零基础用户可快速熟悉操作。</w:t>
      </w:r>
    </w:p>
    <w:p w14:paraId="5421B187">
      <w:pPr>
        <w:pStyle w:val="4"/>
      </w:pPr>
      <w:r>
        <w:t>4.2 部署与使用环境门槛</w:t>
      </w:r>
    </w:p>
    <w:p w14:paraId="060860E8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部署门槛：仅需HTML、JS本地文件，无需安装客户端、小程序开发工具，任意浏览器直接打开；</w:t>
      </w:r>
    </w:p>
    <w:p w14:paraId="0C79F0DD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设备适配：PC电脑、手机浏览器均可正常访问页面，响应式布局适配移动端校园使用场景；</w:t>
      </w:r>
    </w:p>
    <w:p w14:paraId="7D8049DC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维护操作：无后台运维需求，数据自动本地保存，用户仅需清理浏览器缓存即可重置数据，操作简单。</w:t>
      </w:r>
    </w:p>
    <w:p w14:paraId="72C07545">
      <w:pPr>
        <w:pStyle w:val="4"/>
      </w:pPr>
      <w:r>
        <w:t>4.3 多角色操作便捷性</w:t>
      </w:r>
    </w:p>
    <w:p w14:paraId="139B10F8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普通用户：浏览商品-加购购物车-充值余额-支付下单，三步完成点餐；</w:t>
      </w:r>
    </w:p>
    <w:p w14:paraId="221707A0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骑手：一键刷新订单、接单、一键结算当日收入，数据自动统计；</w:t>
      </w:r>
    </w:p>
    <w:p w14:paraId="7121DD14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商家：表单填写店铺信息一键提交入驻申请，流程极简。</w:t>
      </w:r>
    </w:p>
    <w:p w14:paraId="790F56C2">
      <w:r>
        <w:t>整体操作流程简单易懂，目标用户愿意使用，部署、使用无技术门槛，操作可行性高。</w:t>
      </w:r>
    </w:p>
    <w:p w14:paraId="5C41DE6C">
      <w:pPr>
        <w:pStyle w:val="3"/>
      </w:pPr>
      <w:r>
        <w:t>五、法律/社会可行性</w:t>
      </w:r>
    </w:p>
    <w:p w14:paraId="2CA13DB9">
      <w:pPr>
        <w:pStyle w:val="4"/>
      </w:pPr>
      <w:r>
        <w:t>5.1 版权合规性</w:t>
      </w:r>
    </w:p>
    <w:p w14:paraId="6EA29D63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代码版权：项目JS代码全部自主编写，仅使用浏览器原生标准API，无盗用第三方开源项目完整代码；AI仅辅助文档文案生成，代码逻辑完全原创；</w:t>
      </w:r>
    </w:p>
    <w:p w14:paraId="1A615F14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素材版权：界面全部使用系统自带Emoji表情，无商用图片、字体、图标素材，不存在图片版权侵权问题；</w:t>
      </w:r>
    </w:p>
    <w:p w14:paraId="6085D117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软件定位：仅校内课程演示Demo，不对外商用运营，不属于盈利性互联网产品，无平台资质侵权风险。</w:t>
      </w:r>
    </w:p>
    <w:p w14:paraId="4B07766E">
      <w:pPr>
        <w:pStyle w:val="4"/>
      </w:pPr>
      <w:r>
        <w:t>5.2 数据隐私合规</w:t>
      </w:r>
    </w:p>
    <w:p w14:paraId="1DA268A5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数据范围：仅存储用户手机号、姓名、订单地址等模拟校园信息，全部存储在用户本地浏览器，不会上传至外部服务器；</w:t>
      </w:r>
    </w:p>
    <w:p w14:paraId="39951512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隐私保护处理：手机号做脱敏展示（138****1234），页面不会完整暴露用户私人号码；</w:t>
      </w:r>
    </w:p>
    <w:p w14:paraId="79AB516F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无数据采集行为：项目无埋点、无上传用户信息、无第三方数据共享逻辑，不存在用户隐私泄露、违规采集问题；</w:t>
      </w:r>
    </w:p>
    <w:p w14:paraId="538A447E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数据控制权：用户可自行清除浏览器缓存，一键删除所有个人账号、订单、余额数据，完全掌控个人信息。</w:t>
      </w:r>
    </w:p>
    <w:p w14:paraId="63E97B1D">
      <w:pPr>
        <w:pStyle w:val="4"/>
      </w:pPr>
      <w:r>
        <w:t>5.3 社会层面适配</w:t>
      </w:r>
    </w:p>
    <w:p w14:paraId="3A4FD99C">
      <w:r>
        <w:t>项目面向校内师生，促进校园餐饮线上化，为学生提供兼职骑手线上接单渠道，贴合校园便民服务需求；无虚假宣传、无违规餐饮上架逻辑，模拟商品均为正规快餐、饮品品类，无不良内容，符合校园环境管理要求。</w:t>
      </w:r>
    </w:p>
    <w:p w14:paraId="59054445">
      <w:pPr>
        <w:pStyle w:val="3"/>
      </w:pPr>
      <w:r>
        <w:t>六、风险分析及应对策略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5"/>
        <w:gridCol w:w="2737"/>
        <w:gridCol w:w="1583"/>
        <w:gridCol w:w="2569"/>
      </w:tblGrid>
      <w:tr w14:paraId="7883A615">
        <w:tc>
          <w:tcPr>
            <w:tcW w:w="1415" w:type="dxa"/>
            <w:tcMar>
              <w:left w:w="108" w:type="dxa"/>
              <w:right w:w="108" w:type="dxa"/>
            </w:tcMar>
            <w:vAlign w:val="center"/>
          </w:tcPr>
          <w:p w14:paraId="59C1A2FC">
            <w:pPr>
              <w:jc w:val="center"/>
              <w:rPr>
                <w:b/>
              </w:rPr>
            </w:pPr>
            <w:r>
              <w:rPr>
                <w:b/>
              </w:rPr>
              <w:t>风险分类</w:t>
            </w:r>
          </w:p>
        </w:tc>
        <w:tc>
          <w:tcPr>
            <w:tcW w:w="2737" w:type="dxa"/>
            <w:tcMar>
              <w:left w:w="108" w:type="dxa"/>
              <w:right w:w="108" w:type="dxa"/>
            </w:tcMar>
            <w:vAlign w:val="center"/>
          </w:tcPr>
          <w:p w14:paraId="6E7F395A">
            <w:pPr>
              <w:jc w:val="center"/>
              <w:rPr>
                <w:b/>
              </w:rPr>
            </w:pPr>
            <w:r>
              <w:rPr>
                <w:b/>
              </w:rPr>
              <w:t>具体风险描述</w:t>
            </w:r>
          </w:p>
        </w:tc>
        <w:tc>
          <w:tcPr>
            <w:tcW w:w="1583" w:type="dxa"/>
            <w:tcMar>
              <w:left w:w="108" w:type="dxa"/>
              <w:right w:w="108" w:type="dxa"/>
            </w:tcMar>
            <w:vAlign w:val="center"/>
          </w:tcPr>
          <w:p w14:paraId="15F7E659">
            <w:pPr>
              <w:jc w:val="center"/>
              <w:rPr>
                <w:b/>
              </w:rPr>
            </w:pPr>
            <w:r>
              <w:rPr>
                <w:b/>
              </w:rPr>
              <w:t>风险等级</w:t>
            </w:r>
          </w:p>
        </w:tc>
        <w:tc>
          <w:tcPr>
            <w:tcW w:w="2569" w:type="dxa"/>
            <w:tcMar>
              <w:left w:w="108" w:type="dxa"/>
              <w:right w:w="108" w:type="dxa"/>
            </w:tcMar>
            <w:vAlign w:val="center"/>
          </w:tcPr>
          <w:p w14:paraId="47B4919A">
            <w:pPr>
              <w:jc w:val="center"/>
              <w:rPr>
                <w:b/>
              </w:rPr>
            </w:pPr>
            <w:r>
              <w:rPr>
                <w:b/>
              </w:rPr>
              <w:t>应对策略</w:t>
            </w:r>
          </w:p>
        </w:tc>
      </w:tr>
      <w:tr w14:paraId="69AA5403">
        <w:tc>
          <w:tcPr>
            <w:tcW w:w="1415" w:type="dxa"/>
            <w:tcMar>
              <w:left w:w="108" w:type="dxa"/>
              <w:right w:w="108" w:type="dxa"/>
            </w:tcMar>
            <w:vAlign w:val="center"/>
          </w:tcPr>
          <w:p w14:paraId="778F16BA">
            <w:r>
              <w:t>技术风险</w:t>
            </w:r>
          </w:p>
        </w:tc>
        <w:tc>
          <w:tcPr>
            <w:tcW w:w="2737" w:type="dxa"/>
            <w:tcMar>
              <w:left w:w="108" w:type="dxa"/>
              <w:right w:w="108" w:type="dxa"/>
            </w:tcMar>
            <w:vAlign w:val="center"/>
          </w:tcPr>
          <w:p w14:paraId="31E3F878">
            <w:r>
              <w:t>localStorage本地存储仅单设备生效，清除浏览器缓存后数据丢失</w:t>
            </w:r>
          </w:p>
        </w:tc>
        <w:tc>
          <w:tcPr>
            <w:tcW w:w="1583" w:type="dxa"/>
            <w:tcMar>
              <w:left w:w="108" w:type="dxa"/>
              <w:right w:w="108" w:type="dxa"/>
            </w:tcMar>
            <w:vAlign w:val="center"/>
          </w:tcPr>
          <w:p w14:paraId="65DC5A06">
            <w:r>
              <w:t>低</w:t>
            </w:r>
          </w:p>
        </w:tc>
        <w:tc>
          <w:tcPr>
            <w:tcW w:w="2569" w:type="dxa"/>
            <w:tcMar>
              <w:left w:w="108" w:type="dxa"/>
              <w:right w:w="108" w:type="dxa"/>
            </w:tcMar>
            <w:vAlign w:val="center"/>
          </w:tcPr>
          <w:p w14:paraId="0AC477BB">
            <w:r>
              <w:t>1. 课程Demo场景下可接受，报告内标注技术局限；2. 文档记录数据存储规则，演示时不清理缓存；3. 迭代方案：后续接入后端数据库实现云端存储</w:t>
            </w:r>
          </w:p>
        </w:tc>
      </w:tr>
      <w:tr w14:paraId="6CCFAFD4">
        <w:tc>
          <w:tcPr>
            <w:tcW w:w="1415" w:type="dxa"/>
            <w:tcMar>
              <w:left w:w="108" w:type="dxa"/>
              <w:right w:w="108" w:type="dxa"/>
            </w:tcMar>
            <w:vAlign w:val="center"/>
          </w:tcPr>
          <w:p w14:paraId="697131E0">
            <w:r>
              <w:t>功能风险</w:t>
            </w:r>
          </w:p>
        </w:tc>
        <w:tc>
          <w:tcPr>
            <w:tcW w:w="2737" w:type="dxa"/>
            <w:tcMar>
              <w:left w:w="108" w:type="dxa"/>
              <w:right w:w="108" w:type="dxa"/>
            </w:tcMar>
            <w:vAlign w:val="center"/>
          </w:tcPr>
          <w:p w14:paraId="7E3EEC00">
            <w:r>
              <w:t>多角色同时操作时，本地数据实时同步延迟（无服务端统一数据）</w:t>
            </w:r>
          </w:p>
        </w:tc>
        <w:tc>
          <w:tcPr>
            <w:tcW w:w="1583" w:type="dxa"/>
            <w:tcMar>
              <w:left w:w="108" w:type="dxa"/>
              <w:right w:w="108" w:type="dxa"/>
            </w:tcMar>
            <w:vAlign w:val="center"/>
          </w:tcPr>
          <w:p w14:paraId="1745F494">
            <w:r>
              <w:t>低</w:t>
            </w:r>
          </w:p>
        </w:tc>
        <w:tc>
          <w:tcPr>
            <w:tcW w:w="2569" w:type="dxa"/>
            <w:tcMar>
              <w:left w:w="108" w:type="dxa"/>
              <w:right w:w="108" w:type="dxa"/>
            </w:tcMar>
            <w:vAlign w:val="center"/>
          </w:tcPr>
          <w:p w14:paraId="1682C438">
            <w:r>
              <w:t>1. 本项目为单人演示系统，不支持多用户同时在线；2. 演示、作业提交仅单账号使用，规避并发问题</w:t>
            </w:r>
          </w:p>
        </w:tc>
      </w:tr>
      <w:tr w14:paraId="69578AE2">
        <w:tc>
          <w:tcPr>
            <w:tcW w:w="1415" w:type="dxa"/>
            <w:tcMar>
              <w:left w:w="108" w:type="dxa"/>
              <w:right w:w="108" w:type="dxa"/>
            </w:tcMar>
            <w:vAlign w:val="center"/>
          </w:tcPr>
          <w:p w14:paraId="1629D837">
            <w:r>
              <w:t>使用风险</w:t>
            </w:r>
          </w:p>
        </w:tc>
        <w:tc>
          <w:tcPr>
            <w:tcW w:w="2737" w:type="dxa"/>
            <w:tcMar>
              <w:left w:w="108" w:type="dxa"/>
              <w:right w:w="108" w:type="dxa"/>
            </w:tcMar>
            <w:vAlign w:val="center"/>
          </w:tcPr>
          <w:p w14:paraId="4229C2D8">
            <w:r>
              <w:t>用户余额计算、订单状态流转出现逻辑bug，支付/接单功能异常</w:t>
            </w:r>
          </w:p>
        </w:tc>
        <w:tc>
          <w:tcPr>
            <w:tcW w:w="1583" w:type="dxa"/>
            <w:tcMar>
              <w:left w:w="108" w:type="dxa"/>
              <w:right w:w="108" w:type="dxa"/>
            </w:tcMar>
            <w:vAlign w:val="center"/>
          </w:tcPr>
          <w:p w14:paraId="198CEC06">
            <w:r>
              <w:t>中</w:t>
            </w:r>
          </w:p>
        </w:tc>
        <w:tc>
          <w:tcPr>
            <w:tcW w:w="2569" w:type="dxa"/>
            <w:tcMar>
              <w:left w:w="108" w:type="dxa"/>
              <w:right w:w="108" w:type="dxa"/>
            </w:tcMar>
            <w:vAlign w:val="center"/>
          </w:tcPr>
          <w:p w14:paraId="4EF614AB">
            <w:r>
              <w:t>1. 完整单元逻辑测试：购物车加减、支付扣款、骑手结算函数单独校验；2. 页面增加Toast提示，操作失败给出明确文字反馈；3. 预设模拟数据，兜底空数据场景，避免页面崩溃</w:t>
            </w:r>
          </w:p>
        </w:tc>
      </w:tr>
      <w:tr w14:paraId="6B4113BB">
        <w:tc>
          <w:tcPr>
            <w:tcW w:w="1415" w:type="dxa"/>
            <w:tcMar>
              <w:left w:w="108" w:type="dxa"/>
              <w:right w:w="108" w:type="dxa"/>
            </w:tcMar>
            <w:vAlign w:val="center"/>
          </w:tcPr>
          <w:p w14:paraId="5D4D68FD">
            <w:r>
              <w:t>法律风险</w:t>
            </w:r>
          </w:p>
        </w:tc>
        <w:tc>
          <w:tcPr>
            <w:tcW w:w="2737" w:type="dxa"/>
            <w:tcMar>
              <w:left w:w="108" w:type="dxa"/>
              <w:right w:w="108" w:type="dxa"/>
            </w:tcMar>
            <w:vAlign w:val="center"/>
          </w:tcPr>
          <w:p w14:paraId="32283BD1">
            <w:r>
              <w:t>模拟商家、食品名称使用真实线下门店名称，存在名称侵权隐患</w:t>
            </w:r>
          </w:p>
        </w:tc>
        <w:tc>
          <w:tcPr>
            <w:tcW w:w="1583" w:type="dxa"/>
            <w:tcMar>
              <w:left w:w="108" w:type="dxa"/>
              <w:right w:w="108" w:type="dxa"/>
            </w:tcMar>
            <w:vAlign w:val="center"/>
          </w:tcPr>
          <w:p w14:paraId="3FC8B3E2">
            <w:r>
              <w:t>低</w:t>
            </w:r>
          </w:p>
        </w:tc>
        <w:tc>
          <w:tcPr>
            <w:tcW w:w="2569" w:type="dxa"/>
            <w:tcMar>
              <w:left w:w="108" w:type="dxa"/>
              <w:right w:w="108" w:type="dxa"/>
            </w:tcMar>
            <w:vAlign w:val="center"/>
          </w:tcPr>
          <w:p w14:paraId="1EE04042">
            <w:r>
              <w:t>1. 文档注明商品、店铺名称仅为模拟测试数据，非真实商用；2. 作业仅校内课堂展示，不对外公开上线；3. 迭代时替换虚拟店铺名称</w:t>
            </w:r>
          </w:p>
        </w:tc>
      </w:tr>
      <w:tr w14:paraId="718632F5">
        <w:tc>
          <w:tcPr>
            <w:tcW w:w="1415" w:type="dxa"/>
            <w:tcMar>
              <w:left w:w="108" w:type="dxa"/>
              <w:right w:w="108" w:type="dxa"/>
            </w:tcMar>
            <w:vAlign w:val="center"/>
          </w:tcPr>
          <w:p w14:paraId="6D1376D0">
            <w:r>
              <w:t>交付风险</w:t>
            </w:r>
          </w:p>
        </w:tc>
        <w:tc>
          <w:tcPr>
            <w:tcW w:w="2737" w:type="dxa"/>
            <w:tcMar>
              <w:left w:w="108" w:type="dxa"/>
              <w:right w:w="108" w:type="dxa"/>
            </w:tcMar>
            <w:vAlign w:val="center"/>
          </w:tcPr>
          <w:p w14:paraId="62069E11">
            <w:r>
              <w:t>代码文件丢失、页面运行报错，无法正常完成课程作业提交</w:t>
            </w:r>
          </w:p>
        </w:tc>
        <w:tc>
          <w:tcPr>
            <w:tcW w:w="1583" w:type="dxa"/>
            <w:tcMar>
              <w:left w:w="108" w:type="dxa"/>
              <w:right w:w="108" w:type="dxa"/>
            </w:tcMar>
            <w:vAlign w:val="center"/>
          </w:tcPr>
          <w:p w14:paraId="34B77DC8">
            <w:r>
              <w:t>低</w:t>
            </w:r>
          </w:p>
        </w:tc>
        <w:tc>
          <w:tcPr>
            <w:tcW w:w="2569" w:type="dxa"/>
            <w:tcMar>
              <w:left w:w="108" w:type="dxa"/>
              <w:right w:w="108" w:type="dxa"/>
            </w:tcMar>
            <w:vAlign w:val="center"/>
          </w:tcPr>
          <w:p w14:paraId="7DE3D4B0">
            <w:r>
              <w:t>1. 本地文件多重备份，云端上传代码存档；2. 简化页面依赖，纯原生无第三方插件，避免环境缺失报错；3. 完整留存JS源码，便于老师调试查看</w:t>
            </w:r>
          </w:p>
        </w:tc>
      </w:tr>
      <w:tr w14:paraId="14456A9A">
        <w:tc>
          <w:tcPr>
            <w:tcW w:w="1415" w:type="dxa"/>
            <w:tcMar>
              <w:left w:w="108" w:type="dxa"/>
              <w:right w:w="108" w:type="dxa"/>
            </w:tcMar>
            <w:vAlign w:val="center"/>
          </w:tcPr>
          <w:p w14:paraId="682DF692">
            <w:r>
              <w:t>需求风险</w:t>
            </w:r>
          </w:p>
        </w:tc>
        <w:tc>
          <w:tcPr>
            <w:tcW w:w="2737" w:type="dxa"/>
            <w:tcMar>
              <w:left w:w="108" w:type="dxa"/>
              <w:right w:w="108" w:type="dxa"/>
            </w:tcMar>
            <w:vAlign w:val="center"/>
          </w:tcPr>
          <w:p w14:paraId="30BA1A4F">
            <w:r>
              <w:t>功能超出课程作业要求，开发工作量过大无法按时交付</w:t>
            </w:r>
          </w:p>
        </w:tc>
        <w:tc>
          <w:tcPr>
            <w:tcW w:w="1583" w:type="dxa"/>
            <w:tcMar>
              <w:left w:w="108" w:type="dxa"/>
              <w:right w:w="108" w:type="dxa"/>
            </w:tcMar>
            <w:vAlign w:val="center"/>
          </w:tcPr>
          <w:p w14:paraId="009CF6E0">
            <w:r>
              <w:t>低</w:t>
            </w:r>
          </w:p>
        </w:tc>
        <w:tc>
          <w:tcPr>
            <w:tcW w:w="2569" w:type="dxa"/>
            <w:tcMar>
              <w:left w:w="108" w:type="dxa"/>
              <w:right w:w="108" w:type="dxa"/>
            </w:tcMar>
            <w:vAlign w:val="center"/>
          </w:tcPr>
          <w:p w14:paraId="0A58A134">
            <w:r>
              <w:t>1. 优先完成核心点餐、订单、骑手模块，商家入驻为拓展可选功能；2. 拆分开发步骤：先数据渲染、再交互逻辑、最后完善配套页面</w:t>
            </w:r>
          </w:p>
        </w:tc>
      </w:tr>
      <w:tr w14:paraId="6D78D351">
        <w:tc>
          <w:tcPr>
            <w:tcW w:w="1415" w:type="dxa"/>
            <w:tcMar>
              <w:left w:w="108" w:type="dxa"/>
              <w:right w:w="108" w:type="dxa"/>
            </w:tcMar>
            <w:vAlign w:val="center"/>
          </w:tcPr>
          <w:p w14:paraId="550273D3">
            <w:r>
              <w:t>兼容性风险</w:t>
            </w:r>
          </w:p>
        </w:tc>
        <w:tc>
          <w:tcPr>
            <w:tcW w:w="2737" w:type="dxa"/>
            <w:tcMar>
              <w:left w:w="108" w:type="dxa"/>
              <w:right w:w="108" w:type="dxa"/>
            </w:tcMar>
            <w:vAlign w:val="center"/>
          </w:tcPr>
          <w:p w14:paraId="06D9A096">
            <w:r>
              <w:t>老旧浏览器不支持ES6语法，页面渲染错乱</w:t>
            </w:r>
          </w:p>
        </w:tc>
        <w:tc>
          <w:tcPr>
            <w:tcW w:w="1583" w:type="dxa"/>
            <w:tcMar>
              <w:left w:w="108" w:type="dxa"/>
              <w:right w:w="108" w:type="dxa"/>
            </w:tcMar>
            <w:vAlign w:val="center"/>
          </w:tcPr>
          <w:p w14:paraId="7B4FD84A">
            <w:r>
              <w:t>低</w:t>
            </w:r>
          </w:p>
        </w:tc>
        <w:tc>
          <w:tcPr>
            <w:tcW w:w="2569" w:type="dxa"/>
            <w:tcMar>
              <w:left w:w="108" w:type="dxa"/>
              <w:right w:w="108" w:type="dxa"/>
            </w:tcMar>
            <w:vAlign w:val="center"/>
          </w:tcPr>
          <w:p w14:paraId="330B4AD4">
            <w:r>
              <w:t>1. 演示统一使用Chrome新版浏览器；2. 报告注明推荐运行环境，作业演示固定浏览器</w:t>
            </w:r>
          </w:p>
        </w:tc>
      </w:tr>
    </w:tbl>
    <w:p w14:paraId="044D983E">
      <w:pPr>
        <w:pStyle w:val="4"/>
        <w:rPr>
          <w:sz w:val="21"/>
          <w:szCs w:val="21"/>
        </w:rPr>
      </w:pPr>
      <w:r>
        <w:rPr>
          <w:sz w:val="21"/>
          <w:szCs w:val="21"/>
        </w:rPr>
        <w:t>风险总结</w:t>
      </w:r>
    </w:p>
    <w:p w14:paraId="660D830B">
      <w:r>
        <w:t>本项目绝大多数风险等级为低，且均有成熟应对方案，核心技术、交付风险可控，不会影响课程大作业完整落地与正常交付。</w:t>
      </w:r>
    </w:p>
    <w:p w14:paraId="692FE3E2">
      <w:pPr>
        <w:pStyle w:val="3"/>
      </w:pPr>
      <w:r>
        <w:t>七、综合可行性结论</w:t>
      </w:r>
    </w:p>
    <w:p w14:paraId="27D79B56">
      <w:r>
        <w:t>综合技术、经济、操作、法律社会四大维度分析，结合配套风险应对方案，本</w:t>
      </w:r>
      <w:r>
        <w:rPr>
          <w:b/>
        </w:rPr>
        <w:t>校园外卖前端小程序项目完全具备落地可行性</w:t>
      </w:r>
      <w:r>
        <w:t>：</w:t>
      </w:r>
    </w:p>
    <w:p w14:paraId="2AFED599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技术层面：采用成熟前端原生技术，单人开发能力匹配，完整代码已验证功能可实现；</w:t>
      </w:r>
    </w:p>
    <w:p w14:paraId="29593489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经济层面：全程零资金成本，仅使用免费开发工具与学生自有设备；</w:t>
      </w:r>
    </w:p>
    <w:p w14:paraId="300B91D2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操作层面：界面交互简单直观，部署无门槛，校内师生使用意愿充足；</w:t>
      </w:r>
    </w:p>
    <w:p w14:paraId="3799F69F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法律社会层面：无版权、隐私侵权风险，贴合校园便民服务场景；</w:t>
      </w:r>
    </w:p>
    <w:p w14:paraId="5BF3F9A1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风险层面：潜在风险等级低，配套策略可完全规避负面影响。</w:t>
      </w:r>
    </w:p>
    <w:p w14:paraId="7C97EBFC">
      <w:r>
        <w:t>项目满足软件工程课程大作业开发、交付全部要求，可正常完成开发、演示与报告提交。</w:t>
      </w:r>
    </w:p>
    <w:p w14:paraId="4D5FE567"/>
    <w:p w14:paraId="6621A10A">
      <w:pPr>
        <w:pStyle w:val="3"/>
      </w:pPr>
      <w:r>
        <w:t>AI标注说明</w:t>
      </w:r>
    </w:p>
    <w:p w14:paraId="7664EC82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rPr>
          <w:b/>
        </w:rPr>
        <w:t>AI提示词</w:t>
      </w:r>
      <w:r>
        <w:t>：</w:t>
      </w:r>
    </w:p>
    <w:p w14:paraId="30BBEA7C">
      <w:pPr>
        <w:spacing w:before="0" w:beforeAutospacing="1" w:after="0" w:afterAutospacing="1"/>
        <w:ind w:left="720"/>
      </w:pPr>
      <w:r>
        <w:t>① 软件工程课程大作业，校园外卖前端小程序可行性分析报告，按照项目背景、技术、经济、操作、法律社会、风险分析6个模块撰写，代码为纯HTML+原生JS+LocalStorage本地存储，支持用户/骑手/商家多角色，购物车、下单、接单、钱包充值、订单管理功能。</w:t>
      </w:r>
    </w:p>
    <w:p w14:paraId="674A4A07">
      <w:pPr>
        <w:spacing w:before="0" w:beforeAutospacing="1" w:after="0" w:afterAutospacing="1"/>
        <w:ind w:left="720"/>
      </w:pPr>
      <w:r>
        <w:t>② 针对每个小节细化扩充，贴合数媒技术专业学生课程作业场景，语言规范符合课程报告格式。</w:t>
      </w:r>
    </w:p>
    <w:p w14:paraId="340B7A1A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rPr>
          <w:b/>
        </w:rPr>
        <w:t>AI生成内容修改率</w:t>
      </w:r>
      <w:r>
        <w:t>：72%，对AI生成通用模板结合项目真实代码、功能逻辑、校园场景进行删减、定制化改写、数据替换、风险贴合本项目调整。</w:t>
      </w:r>
    </w:p>
    <w:p w14:paraId="0760AB3A">
      <w:bookmarkStart w:id="0" w:name="_GoBack"/>
      <w:bookmarkEnd w:id="0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9387C6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C0ACC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72AC84"/>
    <w:multiLevelType w:val="singleLevel"/>
    <w:tmpl w:val="BE72AC84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D25D3238"/>
    <w:multiLevelType w:val="singleLevel"/>
    <w:tmpl w:val="D25D3238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E77ACAC9"/>
    <w:multiLevelType w:val="singleLevel"/>
    <w:tmpl w:val="E77ACAC9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3">
    <w:nsid w:val="E780A9E5"/>
    <w:multiLevelType w:val="singleLevel"/>
    <w:tmpl w:val="E780A9E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F5C421EA"/>
    <w:multiLevelType w:val="singleLevel"/>
    <w:tmpl w:val="F5C421E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5">
    <w:nsid w:val="00E5FF6D"/>
    <w:multiLevelType w:val="singleLevel"/>
    <w:tmpl w:val="00E5FF6D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6">
    <w:nsid w:val="3EBF898A"/>
    <w:multiLevelType w:val="singleLevel"/>
    <w:tmpl w:val="3EBF898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7">
    <w:nsid w:val="43E0BA40"/>
    <w:multiLevelType w:val="singleLevel"/>
    <w:tmpl w:val="43E0BA40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8">
    <w:nsid w:val="53E450D1"/>
    <w:multiLevelType w:val="singleLevel"/>
    <w:tmpl w:val="53E450D1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9">
    <w:nsid w:val="69C4FAA6"/>
    <w:multiLevelType w:val="singleLevel"/>
    <w:tmpl w:val="69C4FAA6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0">
    <w:nsid w:val="6ECF8368"/>
    <w:multiLevelType w:val="singleLevel"/>
    <w:tmpl w:val="6ECF8368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1">
    <w:nsid w:val="78D27864"/>
    <w:multiLevelType w:val="singleLevel"/>
    <w:tmpl w:val="78D27864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0"/>
  </w:num>
  <w:num w:numId="5">
    <w:abstractNumId w:val="10"/>
  </w:num>
  <w:num w:numId="6">
    <w:abstractNumId w:val="2"/>
  </w:num>
  <w:num w:numId="7">
    <w:abstractNumId w:val="1"/>
  </w:num>
  <w:num w:numId="8">
    <w:abstractNumId w:val="3"/>
  </w:num>
  <w:num w:numId="9">
    <w:abstractNumId w:val="11"/>
  </w:num>
  <w:num w:numId="10">
    <w:abstractNumId w:val="4"/>
  </w:num>
  <w:num w:numId="11">
    <w:abstractNumId w:val="6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D9419B"/>
    <w:rsid w:val="0E8223D9"/>
    <w:rsid w:val="398C3884"/>
    <w:rsid w:val="3C4B7F3F"/>
    <w:rsid w:val="4FD9419B"/>
    <w:rsid w:val="6E714DCE"/>
    <w:rsid w:val="7487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2026-06-26T13:07:00Z</dcterms:created>
  <dc:creator>竺懿</dc:creator>
  <cp:lastModifiedBy>竺懿</cp:lastModifiedBy>
  <dcterms:modified xsi:type="dcterms:W3CDTF">2026-06-26T13:09:59Z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4CEF06164B0543A3AD8FE966938519A5_11</vt:lpwstr>
  </property>
  <property fmtid="{D5CDD505-2E9C-101B-9397-08002B2CF9AE}" pid="4" name="KSOTemplateDocerSaveRecord">
    <vt:lpwstr>eyJoZGlkIjoiZWMxNzMyYmNkYTA4MWI2ZTZjMjJjM2VhZmU5YjFhNjkiLCJ1c2VySWQiOiIxMjQ0Nzg3NTM2In0=</vt:lpwstr>
  </property>
</Properties>
</file>