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DOCX accuracy fixture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 xml:space="preserve">Mixed </w:t>
      </w:r>
      <w:r>
        <w:rPr>
          <w:rFonts w:ascii="宋体" w:hAnsi="宋体" w:eastAsia="宋体"/>
          <w:b/>
          <w:sz w:val="21"/>
        </w:rPr>
        <w:t>bold</w:t>
      </w:r>
      <w:r>
        <w:rPr>
          <w:rFonts w:ascii="宋体" w:hAnsi="宋体" w:eastAsia="宋体"/>
          <w:sz w:val="21"/>
        </w:rPr>
        <w:t xml:space="preserve"> and plain text. Inline </w:t>
      </w:r>
      <m:oMath>
        <m:sSubSup>
          <m:e>
            <m:r>
              <m:rPr>
                <m:sty m:val="i"/>
              </m:rPr>
              <w:rPr>
                <w:rFonts w:ascii="Cambria Math" w:hAnsi="Cambria Math" w:cs="Cambria Math" w:eastAsia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Cambria Math" w:eastAsia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Cambria Math" w:eastAsia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 w:eastAsia="Cambria Math"/>
          </w:rPr>
          <m:t>+</m:t>
        </m:r>
        <m:acc>
          <m:accPr>
            <m:chr m:val="̂"/>
          </m:accPr>
          <m:e>
            <m:r>
              <m:rPr>
                <m:sty m:val="i"/>
              </m:rPr>
              <w:rPr>
                <w:rFonts w:ascii="Cambria Math" w:hAnsi="Cambria Math" w:cs="Cambria Math" w:eastAsia="Cambria Math"/>
              </w:rPr>
              <m:t>x</m:t>
            </m:r>
          </m:e>
        </m:acc>
      </m:oMath>
      <w:r>
        <w:rPr>
          <w:rFonts w:ascii="宋体" w:hAnsi="宋体" w:eastAsia="宋体"/>
          <w:sz w:val="21"/>
        </w:rPr>
        <w:t xml:space="preserve"> remains editable.</w:t>
      </w:r>
    </w:p>
    <w:p>
      <w:pPr>
        <w:spacing w:before="60" w:after="120"/>
        <w:jc w:val="center"/>
      </w:pPr>
      <m:oMathPara>
        <m:oMath>
          <m:d>
            <m:dPr>
              <m:begChr m:val="("/>
              <m:endChr m:val=")"/>
              <m:grow m:val="1"/>
            </m:dPr>
            <m:e>
              <m:f>
                <m:num>
                  <m:sSubSu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cs="Cambria Math" w:eastAsia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Cambria Math"/>
                        </w:rPr>
                        <m:t>2</m:t>
                      </m:r>
                    </m:sup>
                  </m:sSubSup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Cambria Math"/>
                        </w:rPr>
                        <m:t>+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 w:cs="Cambria Math" w:eastAsia="Cambria Math"/>
                        </w:rPr>
                        <m:t>y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 w:cs="Cambria Math" w:eastAsia="Cambria Math"/>
            </w:rPr>
            <m:t>≤</m:t>
          </m:r>
          <m:r>
            <m:rPr>
              <m:sty m:val="p"/>
            </m:rPr>
            <w:rPr>
              <w:rFonts w:ascii="Cambria Math" w:hAnsi="Cambria Math" w:cs="Cambria Math" w:eastAsia="Cambria Math"/>
            </w:rPr>
            <m:t>1</m:t>
          </m:r>
        </m:oMath>
      </m:oMathPara>
    </w:p>
    <w:p>
      <w:pPr>
        <w:spacing w:before="60" w:after="120"/>
        <w:jc w:val="center"/>
      </w:pPr>
      <m:oMathPara>
        <m:oMath>
          <m:acc>
            <m:accPr>
              <m:chr m:val="̂"/>
            </m:accPr>
            <m:e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Cambria Math" w:eastAsia="Cambria Math"/>
            </w:rPr>
            <m:t>+</m:t>
          </m:r>
          <m:acc>
            <m:accPr>
              <m:chr m:val="̃"/>
            </m:accPr>
            <m:e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Cambria Math" w:eastAsia="Cambria Math"/>
            </w:rPr>
            <m:t>+</m:t>
          </m:r>
          <m:acc>
            <m:accPr>
              <m:chr m:val="⃗"/>
            </m:accPr>
            <m:e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 w:cs="Cambria Math" w:eastAsia="Cambria Math"/>
            </w:rPr>
            <m:t>+</m:t>
          </m:r>
          <m:bar>
            <m:barPr>
              <m:pos m:val="top"/>
            </m:barPr>
            <m:e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a</m:t>
              </m:r>
            </m:e>
          </m:bar>
          <m:r>
            <m:rPr>
              <m:sty m:val="p"/>
            </m:rPr>
            <w:rPr>
              <w:rFonts w:ascii="Cambria Math" w:hAnsi="Cambria Math" w:cs="Cambria Math" w:eastAsia="Cambria Math"/>
            </w:rPr>
            <m:t>+</m:t>
          </m:r>
          <m:bar>
            <m:barPr>
              <m:pos m:val="bot"/>
            </m:barPr>
            <m:e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b</m:t>
              </m:r>
            </m:e>
          </m:bar>
        </m:oMath>
      </m:oMathPara>
    </w:p>
    <w:p>
      <w:pPr>
        <w:spacing w:before="60" w:after="120"/>
        <w:jc w:val="center"/>
      </w:pPr>
      <m:oMathPara>
        <m:oMath>
          <m:limUpp>
            <m: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Cambria Math"/>
                    </w:rPr>
                    <m:t>∑</m:t>
                  </m:r>
                </m:e>
                <m:lim>
                  <m:r>
                    <m:rPr>
                      <m:sty m:val="i"/>
                    </m:rPr>
                    <w:rPr>
                      <w:rFonts w:ascii="Cambria Math" w:hAnsi="Cambria Math" w:cs="Cambria Math" w:eastAsia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Cambria Math"/>
                    </w:rPr>
                    <m:t>1</m:t>
                  </m:r>
                </m:lim>
              </m:limLow>
            </m:e>
            <m:lim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n</m:t>
              </m:r>
            </m:lim>
          </m:limUpp>
          <m:sSub>
            <m:e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x</m:t>
              </m:r>
            </m:e>
            <m:sub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i</m:t>
              </m:r>
            </m:sub>
          </m:sSub>
        </m:oMath>
      </m:oMathPara>
    </w:p>
    <w:p>
      <w:pPr>
        <w:spacing w:before="60" w:after="120"/>
        <w:jc w:val="center"/>
      </w:pPr>
      <m:oMathPara>
        <m:oMath>
          <m:limLow>
            <m:e>
              <m:r>
                <m:rPr>
                  <m:sty m:val="p"/>
                </m:rPr>
                <w:rPr>
                  <w:rFonts w:ascii="Cambria Math" w:hAnsi="Cambria Math" w:cs="Cambria Math" w:eastAsia="Cambria Math"/>
                </w:rPr>
                <m:t>lim</m:t>
              </m:r>
            </m:e>
            <m:lim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Cambria Math" w:eastAsia="Cambria Math"/>
                </w:rPr>
                <m:t>→</m:t>
              </m:r>
              <m:r>
                <m:rPr>
                  <m:sty m:val="p"/>
                </m:rPr>
                <w:rPr>
                  <w:rFonts w:ascii="Cambria Math" w:hAnsi="Cambria Math" w:cs="Cambria Math" w:eastAsia="Cambria Math"/>
                </w:rPr>
                <m:t>∞</m:t>
              </m:r>
            </m:lim>
          </m:limLow>
          <m:sSub>
            <m:e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a</m:t>
              </m:r>
            </m:e>
            <m:sub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n</m:t>
              </m:r>
            </m:sub>
          </m:sSub>
        </m:oMath>
      </m:oMathPara>
    </w:p>
    <w:p>
      <w:pPr>
        <w:spacing w:before="60" w:after="120"/>
        <w:jc w:val="center"/>
      </w:pPr>
      <m:oMathPara>
        <m:oMath>
          <m:d>
            <m:dPr>
              <m:begChr m:val="("/>
              <m:endChr m:val=")"/>
              <m:grow m:val="1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 w:eastAsia="Cambria Math"/>
                      </w:rPr>
                      <m:t>a</m:t>
                    </m:r>
                  </m:e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 w:eastAsia="Cambria Math"/>
                      </w:rPr>
                      <m:t>b</m:t>
                    </m:r>
                  </m:e>
                </m:mr>
                <m:mr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 w:eastAsia="Cambria Math"/>
                      </w:rPr>
                      <m:t>c</m:t>
                    </m:r>
                  </m:e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 w:eastAsia="Cambria Math"/>
                      </w:rPr>
                      <m:t>d</m:t>
                    </m:r>
                  </m:e>
                </m:mr>
              </m:m>
            </m:e>
          </m:d>
        </m:oMath>
      </m:oMathPara>
    </w:p>
    <w:p>
      <w:pPr>
        <w:spacing w:before="60" w:after="120"/>
        <w:jc w:val="center"/>
      </w:pPr>
      <m:oMathPara>
        <m:oMath>
          <m:d>
            <m:dPr>
              <m:begChr m:val="{"/>
              <m:endChr m:val=""/>
              <m:grow m:val="1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 w:eastAsia="Cambria Math"/>
                      </w:rPr>
                      <m:t>x</m:t>
                    </m:r>
                  </m:e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 w:eastAsia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 w:eastAsia="Cambria Math"/>
                      </w:rPr>
                      <m:t>≥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 w:eastAsia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 w:eastAsia="Cambria Math"/>
                      </w:rPr>
                      <m:t>−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 w:eastAsia="Cambria Math"/>
                      </w:rPr>
                      <m:t>x</m:t>
                    </m:r>
                  </m:e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 w:eastAsia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 w:eastAsia="Cambria Math"/>
                      </w:rPr>
                      <m:t>&lt;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 w:eastAsia="Cambria Math"/>
                      </w:rPr>
                      <m:t>0</m:t>
                    </m:r>
                  </m:e>
                </m:mr>
              </m:m>
            </m:e>
          </m:d>
        </m:oMath>
      </m:oMathPara>
    </w:p>
    <w:p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cs="Cambria Math" w:eastAsia="Cambria Math"/>
            </w:rPr>
            <m:t>a</m:t>
          </m:r>
          <m:r>
            <m:rPr>
              <m:sty m:val="p"/>
            </m:rPr>
            <w:rPr>
              <w:rFonts w:ascii="Cambria Math" w:hAnsi="Cambria Math" w:cs="Cambria Math" w:eastAsia="Cambria Math"/>
            </w:rPr>
            <m:t>b</m:t>
          </m:r>
          <m:r>
            <m:rPr>
              <m:sty m:val="p"/>
            </m:rPr>
            <w:rPr>
              <w:rFonts w:ascii="Cambria Math" w:hAnsi="Cambria Math" w:cs="Cambria Math" w:eastAsia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 w:eastAsia="Cambria Math"/>
            </w:rPr>
            <m:t>+</m:t>
          </m:r>
          <m:sSup>
            <m:e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 w:eastAsia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="Cambria Math" w:eastAsia="Cambria Math"/>
            </w:rPr>
            <m:t>+</m:t>
          </m:r>
          <m:rad>
            <m:deg>
              <m:r>
                <m:rPr>
                  <m:sty m:val="p"/>
                </m:rPr>
                <w:rPr>
                  <w:rFonts w:ascii="Cambria Math" w:hAnsi="Cambria Math" w:cs="Cambria Math" w:eastAsia="Cambria Math"/>
                </w:rPr>
                <m:t>3</m:t>
              </m:r>
            </m:deg>
            <m:e>
              <m:r>
                <m:rPr>
                  <m:sty m:val="i"/>
                </m:rPr>
                <w:rPr>
                  <w:rFonts w:ascii="Cambria Math" w:hAnsi="Cambria Math" w:cs="Cambria Math" w:eastAsia="Cambria Math"/>
                </w:rPr>
                <m:t>x</m:t>
              </m:r>
            </m:e>
          </m:rad>
        </m:oMath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Table cell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Original value</w:t>
            </w:r>
          </w:p>
        </w:tc>
      </w:tr>
    </w:tbl>
    <w:p>
      <w:r>
        <w:rPr>
          <w:b/>
        </w:rPr>
        <w:t>跨格式</w:t>
      </w:r>
      <w:r>
        <w:rPr>
          <w:i/>
        </w:rPr>
        <w:t>文本</w:t>
      </w:r>
      <m:oMath>
        <m:f>
          <m:num>
            <m:r>
              <m:rPr>
                <m:sty m:val="i"/>
              </m:rPr>
              <w:rPr>
                <w:rFonts w:ascii="Cambria Math" w:hAnsi="Cambria Math" w:cs="Cambria Math" w:eastAsia="Cambria Math"/>
              </w:rPr>
              <m:t>a</m:t>
            </m:r>
          </m:num>
          <m:den>
            <m:r>
              <m:rPr>
                <m:sty m:val="i"/>
              </m:rPr>
              <w:rPr>
                <w:rFonts w:ascii="Cambria Math" w:hAnsi="Cambria Math" w:cs="Cambria Math" w:eastAsia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 w:cs="Cambria Math" w:eastAsia="Cambria Math"/>
          </w:rPr>
          <m:t>+</m:t>
        </m:r>
        <m:acc>
          <m:accPr>
            <m:chr m:val="̂"/>
          </m:accPr>
          <m:e>
            <m:r>
              <m:rPr>
                <m:sty m:val="i"/>
              </m:rPr>
              <w:rPr>
                <w:rFonts w:ascii="Cambria Math" w:hAnsi="Cambria Math" w:cs="Cambria Math" w:eastAsia="Cambria Math"/>
              </w:rPr>
              <m:t>x</m:t>
            </m:r>
          </m:e>
        </m:acc>
      </m:oMath>
      <w:r>
        <w:t>公式后正文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Original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