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2618"/>
        <w:gridCol w:w="284"/>
        <w:gridCol w:w="4050"/>
        <w:gridCol w:w="942"/>
      </w:tblGrid>
      <w:tr w14:paraId="00BF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9" w:hRule="exac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DA0C2">
            <w:pPr>
              <w:pStyle w:val="3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lang w:eastAsia="zh-CN"/>
              </w:rPr>
              <w:drawing>
                <wp:inline distT="0" distB="0" distL="114300" distR="114300">
                  <wp:extent cx="2520315" cy="2483485"/>
                  <wp:effectExtent l="0" t="0" r="3810" b="2540"/>
                  <wp:docPr id="2" name="图片 2" descr="LOGO校名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LOGO校名版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248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D825F">
            <w:pPr>
              <w:pStyle w:val="30"/>
              <w:jc w:val="center"/>
              <w:rPr>
                <w:rFonts w:ascii="Times New Roman"/>
                <w:sz w:val="44"/>
              </w:rPr>
            </w:pPr>
            <w:r>
              <w:rPr>
                <w:rFonts w:ascii="Times New Roman"/>
              </w:rPr>
              <w:pict>
                <v:shape id="文本框 358" o:spid="_x0000_s1033" o:spt="202" type="#_x0000_t202" style="position:absolute;left:0pt;margin-left:23.4pt;margin-top:-17.15pt;height:34.15pt;width:431.7pt;z-index:251665408;mso-width-relative:page;mso-height-relative:page;" filled="f" stroked="f" coordsize="21600,21600" o:gfxdata="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zDeMA2gAAAAkBAAAPAAAAAAAAAAEAIAAA&#10;ACIAAABkcnMvZG93bnJldi54bWxQSwECFAAUAAAACACHTuJAdvNQAUMCAAB4BAAADgAAAAAAAAAB&#10;ACAAAAApAQAAZHJzL2Uyb0RvYy54bWxQSwUGAAAAAAYABgBZAQAA3gUAAAAA&#10;">
                  <v:path/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8D7A1EB"/>
                    </w:txbxContent>
                  </v:textbox>
                </v:shape>
              </w:pict>
            </w:r>
          </w:p>
        </w:tc>
      </w:tr>
      <w:tr w14:paraId="3B6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exac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053B0F9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line="460" w:lineRule="exact"/>
              <w:textAlignment w:val="auto"/>
              <w:rPr>
                <w:rFonts w:hint="default" w:eastAsia="楷体"/>
                <w:b/>
                <w:color w:val="000000"/>
                <w:sz w:val="56"/>
                <w:szCs w:val="56"/>
                <w:lang w:val="en-US" w:eastAsia="zh-CN"/>
              </w:rPr>
            </w:pPr>
            <w:r>
              <w:rPr>
                <w:rFonts w:hint="eastAsia" w:eastAsia="楷体"/>
                <w:b/>
                <w:color w:val="000000"/>
                <w:sz w:val="56"/>
                <w:szCs w:val="56"/>
                <w:lang w:val="en-US" w:eastAsia="zh-CN"/>
              </w:rPr>
              <w:t xml:space="preserve">全栈开发实训</w:t>
            </w:r>
          </w:p>
          <w:p w14:paraId="3ECC36D4">
            <w:pPr>
              <w:pStyle w:val="3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line="460" w:lineRule="exact"/>
              <w:textAlignment w:val="auto"/>
              <w:rPr>
                <w:b/>
                <w:color w:val="000000"/>
                <w:sz w:val="56"/>
                <w:szCs w:val="56"/>
              </w:rPr>
            </w:pPr>
            <w:r>
              <w:rPr>
                <w:rFonts w:hint="eastAsia" w:eastAsia="楷体"/>
                <w:b/>
                <w:color w:val="000000"/>
                <w:sz w:val="56"/>
                <w:szCs w:val="56"/>
              </w:rPr>
              <w:t>课程设计报告</w:t>
            </w:r>
          </w:p>
        </w:tc>
      </w:tr>
      <w:tr w14:paraId="2A117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exac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2F7DE21">
            <w:pPr>
              <w:pStyle w:val="3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/>
              <w:textAlignment w:val="auto"/>
              <w:rPr>
                <w:rFonts w:eastAsia="黑体"/>
                <w:bCs/>
                <w:sz w:val="44"/>
                <w:szCs w:val="44"/>
              </w:rPr>
            </w:pPr>
            <w:r>
              <w:rPr>
                <w:rFonts w:eastAsia="黑体"/>
                <w:bCs/>
                <w:kern w:val="2"/>
                <w:sz w:val="44"/>
                <w:szCs w:val="44"/>
              </w:rPr>
              <w:t xml:space="preserve">智慧农业农产品溯源管理系统的设计与实现</w:t>
            </w:r>
            <w:r>
              <w:rPr>
                <w:rFonts w:hint="eastAsia" w:eastAsia="黑体"/>
                <w:bCs/>
                <w:kern w:val="2"/>
                <w:sz w:val="44"/>
                <w:szCs w:val="44"/>
                <w:lang w:val="en-US" w:eastAsia="zh-CN"/>
              </w:rPr>
              <w:t/>
            </w:r>
            <w:r>
              <w:rPr>
                <w:rFonts w:eastAsia="黑体"/>
                <w:bCs/>
                <w:kern w:val="2"/>
                <w:sz w:val="44"/>
                <w:szCs w:val="44"/>
              </w:rPr>
              <w:t/>
            </w:r>
            <w:r>
              <w:rPr>
                <w:rFonts w:hint="eastAsia" w:eastAsia="黑体"/>
                <w:bCs/>
                <w:kern w:val="2"/>
                <w:sz w:val="44"/>
                <w:szCs w:val="44"/>
                <w:lang w:val="en-US" w:eastAsia="zh-CN"/>
              </w:rPr>
              <w:t/>
            </w:r>
            <w:r>
              <w:rPr>
                <w:rFonts w:eastAsia="黑体"/>
                <w:bCs/>
                <w:kern w:val="2"/>
                <w:sz w:val="44"/>
                <w:szCs w:val="44"/>
              </w:rPr>
              <w:t/>
            </w:r>
          </w:p>
        </w:tc>
      </w:tr>
      <w:tr w14:paraId="759B9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1F596">
            <w:pPr>
              <w:adjustRightInd w:val="0"/>
              <w:snapToGrid w:val="0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78669">
            <w:pPr>
              <w:pStyle w:val="33"/>
              <w:ind w:firstLine="0" w:firstLineChars="0"/>
              <w:rPr>
                <w:rFonts w:eastAsia="楷体"/>
              </w:rPr>
            </w:pPr>
            <w:r>
              <w:rPr>
                <w:rFonts w:eastAsia="楷体"/>
              </w:rPr>
              <w:t>学          院：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C3AFD">
            <w:pPr>
              <w:pStyle w:val="33"/>
              <w:ind w:firstLine="1960"/>
              <w:rPr>
                <w:rFonts w:eastAsia="楷体"/>
              </w:rPr>
            </w:pPr>
            <w:r>
              <w:rPr>
                <w:rFonts w:eastAsia="楷体"/>
              </w:rPr>
              <w:t>：</w:t>
            </w:r>
          </w:p>
        </w:tc>
        <w:tc>
          <w:tcPr>
            <w:tcW w:w="405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545FFBBD">
            <w:pPr>
              <w:pStyle w:val="33"/>
              <w:ind w:firstLine="0" w:firstLineChars="0"/>
              <w:jc w:val="center"/>
              <w:rPr>
                <w:rFonts w:eastAsia="楷体"/>
                <w:spacing w:val="20"/>
              </w:rPr>
            </w:pPr>
            <w:r>
              <w:rPr>
                <w:rFonts w:eastAsia="楷体"/>
                <w:spacing w:val="20"/>
              </w:rPr>
              <w:t>人工智能与</w:t>
            </w:r>
            <w:r>
              <w:rPr>
                <w:rFonts w:hint="eastAsia" w:eastAsia="楷体"/>
                <w:spacing w:val="20"/>
                <w:lang w:val="en-US" w:eastAsia="zh-CN"/>
              </w:rPr>
              <w:t>软件工程</w:t>
            </w:r>
            <w:r>
              <w:rPr>
                <w:rFonts w:eastAsia="楷体"/>
                <w:spacing w:val="20"/>
              </w:rPr>
              <w:t>学院</w:t>
            </w:r>
          </w:p>
        </w:tc>
        <w:tc>
          <w:tcPr>
            <w:tcW w:w="94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95702">
            <w:pPr>
              <w:adjustRightInd w:val="0"/>
              <w:snapToGrid w:val="0"/>
              <w:rPr>
                <w:rFonts w:eastAsia="楷体_GB2312"/>
                <w:color w:val="000000"/>
                <w:sz w:val="52"/>
              </w:rPr>
            </w:pPr>
          </w:p>
        </w:tc>
      </w:tr>
      <w:tr w14:paraId="18A9A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A12EF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5448C">
            <w:pPr>
              <w:pStyle w:val="33"/>
              <w:spacing w:line="360" w:lineRule="auto"/>
              <w:ind w:firstLine="0" w:firstLineChars="0"/>
              <w:rPr>
                <w:rFonts w:eastAsia="楷体"/>
              </w:rPr>
            </w:pPr>
            <w:r>
              <w:rPr>
                <w:rFonts w:eastAsia="楷体"/>
              </w:rPr>
              <w:t>专  业  班  级：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39416">
            <w:pPr>
              <w:pStyle w:val="33"/>
              <w:spacing w:line="460" w:lineRule="exact"/>
              <w:ind w:firstLine="1960"/>
              <w:rPr>
                <w:rFonts w:eastAsia="楷体"/>
              </w:rPr>
            </w:pPr>
            <w:r>
              <w:rPr>
                <w:rFonts w:eastAsia="楷体"/>
              </w:rPr>
              <w:t>：</w:t>
            </w:r>
          </w:p>
        </w:tc>
        <w:tc>
          <w:tcPr>
            <w:tcW w:w="40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6B24F90A">
            <w:pPr>
              <w:pStyle w:val="33"/>
              <w:spacing w:line="460" w:lineRule="exact"/>
              <w:ind w:firstLine="0" w:firstLineChars="0"/>
              <w:jc w:val="center"/>
              <w:rPr>
                <w:rFonts w:hint="default" w:eastAsia="楷体"/>
                <w:lang w:val="en-US" w:eastAsia="zh-CN"/>
              </w:rPr>
            </w:pPr>
            <w:r>
              <w:rPr>
                <w:rFonts w:eastAsia="楷体"/>
              </w:rPr>
              <w:t xml:space="preserve">2025级软件工程</w:t>
            </w:r>
            <w:r>
              <w:rPr>
                <w:rFonts w:hint="eastAsia" w:eastAsia="楷体"/>
                <w:lang w:val="en-US" w:eastAsia="zh-CN"/>
              </w:rPr>
              <w:t/>
            </w:r>
            <w:r>
              <w:rPr>
                <w:rFonts w:eastAsia="楷体"/>
              </w:rPr>
              <w:t/>
            </w:r>
            <w:r>
              <w:rPr>
                <w:rFonts w:hint="eastAsia" w:eastAsia="楷体"/>
                <w:lang w:val="en-US" w:eastAsia="zh-CN"/>
              </w:rPr>
              <w:t/>
            </w:r>
          </w:p>
          <w:p w14:paraId="0472E7CD">
            <w:pPr>
              <w:pStyle w:val="33"/>
              <w:spacing w:line="460" w:lineRule="exact"/>
              <w:ind w:firstLine="0" w:firstLineChars="0"/>
              <w:jc w:val="center"/>
              <w:rPr>
                <w:rFonts w:eastAsia="楷体"/>
              </w:rPr>
            </w:pPr>
            <w:r>
              <w:rPr>
                <w:rFonts w:eastAsia="楷体"/>
              </w:rPr>
              <w:t xml:space="preserve">      班</w:t>
            </w:r>
          </w:p>
        </w:tc>
        <w:tc>
          <w:tcPr>
            <w:tcW w:w="94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35DFE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7D3CC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D1A64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A3969">
            <w:pPr>
              <w:pStyle w:val="33"/>
              <w:spacing w:line="360" w:lineRule="auto"/>
              <w:ind w:firstLine="0" w:firstLineChars="0"/>
              <w:rPr>
                <w:rFonts w:eastAsia="楷体"/>
              </w:rPr>
            </w:pPr>
            <w:r>
              <w:rPr>
                <w:rFonts w:eastAsia="楷体"/>
              </w:rPr>
              <w:t>学          号：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924C4">
            <w:pPr>
              <w:pStyle w:val="33"/>
              <w:ind w:firstLine="1960"/>
              <w:rPr>
                <w:rFonts w:eastAsia="楷体"/>
              </w:rPr>
            </w:pPr>
            <w:r>
              <w:rPr>
                <w:rFonts w:eastAsia="楷体"/>
              </w:rPr>
              <w:t>：</w:t>
            </w:r>
          </w:p>
        </w:tc>
        <w:tc>
          <w:tcPr>
            <w:tcW w:w="40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D74792C">
            <w:pPr>
              <w:pStyle w:val="33"/>
              <w:ind w:firstLine="0" w:firstLineChars="0"/>
              <w:jc w:val="center"/>
              <w:rPr>
                <w:rFonts w:hint="default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 xml:space="preserve"/>
            </w:r>
            <w:bookmarkStart w:id="18" w:name="_GoBack"/>
            <w:bookmarkEnd w:id="18"/>
          </w:p>
        </w:tc>
        <w:tc>
          <w:tcPr>
            <w:tcW w:w="94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9847E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07610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8DC3F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62618">
            <w:pPr>
              <w:pStyle w:val="33"/>
              <w:ind w:firstLine="0" w:firstLineChars="0"/>
              <w:rPr>
                <w:rFonts w:eastAsia="楷体"/>
              </w:rPr>
            </w:pPr>
            <w:r>
              <w:rPr>
                <w:rFonts w:eastAsia="楷体"/>
              </w:rPr>
              <w:t>学  生  姓  名：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02BF5">
            <w:pPr>
              <w:pStyle w:val="33"/>
              <w:ind w:firstLine="1960"/>
              <w:rPr>
                <w:rFonts w:eastAsia="楷体"/>
              </w:rPr>
            </w:pPr>
            <w:r>
              <w:rPr>
                <w:rFonts w:eastAsia="楷体"/>
              </w:rPr>
              <w:t>：</w:t>
            </w:r>
          </w:p>
        </w:tc>
        <w:tc>
          <w:tcPr>
            <w:tcW w:w="40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32830330">
            <w:pPr>
              <w:pStyle w:val="33"/>
              <w:ind w:firstLine="0" w:firstLineChars="0"/>
              <w:jc w:val="center"/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 xml:space="preserve"/>
            </w:r>
          </w:p>
        </w:tc>
        <w:tc>
          <w:tcPr>
            <w:tcW w:w="94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1E1037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74BB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B31F9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8DE1E">
            <w:pPr>
              <w:pStyle w:val="33"/>
              <w:ind w:firstLine="0" w:firstLineChars="0"/>
              <w:rPr>
                <w:rFonts w:eastAsia="楷体"/>
              </w:rPr>
            </w:pPr>
            <w:r>
              <w:rPr>
                <w:rFonts w:hint="eastAsia" w:eastAsia="楷体"/>
                <w:lang w:val="en-US" w:eastAsia="zh-CN"/>
              </w:rPr>
              <w:t>报  告  成  绩</w:t>
            </w:r>
            <w:r>
              <w:rPr>
                <w:rFonts w:eastAsia="楷体"/>
              </w:rPr>
              <w:t>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E1BBC">
            <w:pPr>
              <w:pStyle w:val="33"/>
              <w:ind w:firstLine="1960"/>
              <w:rPr>
                <w:rFonts w:eastAsia="楷体"/>
              </w:rPr>
            </w:pPr>
            <w:r>
              <w:rPr>
                <w:rFonts w:eastAsia="楷体"/>
              </w:rPr>
              <w:t>：</w:t>
            </w:r>
          </w:p>
        </w:tc>
        <w:tc>
          <w:tcPr>
            <w:tcW w:w="40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206AD849">
            <w:pPr>
              <w:pStyle w:val="33"/>
              <w:ind w:firstLine="0" w:firstLineChars="0"/>
              <w:jc w:val="center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94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82BF5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7E24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8" w:hRule="atLeas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924E5CD">
            <w:pPr>
              <w:pStyle w:val="34"/>
              <w:jc w:val="both"/>
              <w:rPr>
                <w:rFonts w:ascii="Times New Roman"/>
              </w:rPr>
            </w:pPr>
          </w:p>
          <w:p w14:paraId="2790BAEC">
            <w:pPr>
              <w:pStyle w:val="34"/>
              <w:jc w:val="both"/>
              <w:rPr>
                <w:rFonts w:ascii="Times New Roman"/>
              </w:rPr>
            </w:pPr>
          </w:p>
          <w:p w14:paraId="765FB437">
            <w:pPr>
              <w:pStyle w:val="34"/>
              <w:rPr>
                <w:rFonts w:ascii="Times New Roman"/>
              </w:rPr>
            </w:pPr>
          </w:p>
          <w:p w14:paraId="5091A2EE">
            <w:pPr>
              <w:pStyle w:val="34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二〇二六年十月</w:t>
            </w:r>
            <w:r>
              <w:rPr>
                <w:rFonts w:hint="eastAsia" w:ascii="Times New Roman"/>
                <w:lang w:val="en-US" w:eastAsia="zh-CN"/>
              </w:rPr>
              <w:t/>
            </w:r>
            <w:r>
              <w:rPr>
                <w:rFonts w:ascii="Times New Roman"/>
              </w:rPr>
              <w:t/>
            </w:r>
            <w:r>
              <w:rPr>
                <w:rFonts w:hint="eastAsia" w:ascii="Times New Roman"/>
                <w:lang w:val="en-US" w:eastAsia="zh-CN"/>
              </w:rPr>
              <w:t/>
            </w:r>
            <w:r>
              <w:rPr>
                <w:rFonts w:ascii="Times New Roman"/>
              </w:rPr>
              <w:t/>
            </w:r>
          </w:p>
        </w:tc>
      </w:tr>
    </w:tbl>
    <w:p w14:paraId="7D3A4CE6">
      <w:pPr>
        <w:spacing w:beforeLines="50" w:afterLines="50" w:line="360" w:lineRule="auto"/>
        <w:jc w:val="both"/>
        <w:rPr>
          <w:rFonts w:hint="eastAsia" w:ascii="黑体" w:eastAsia="黑体"/>
          <w:sz w:val="28"/>
          <w:szCs w:val="28"/>
        </w:rPr>
        <w:sectPr>
          <w:footerReference r:id="rId3" w:type="default"/>
          <w:type w:val="continuous"/>
          <w:pgSz w:w="11907" w:h="16840"/>
          <w:pgMar w:top="1418" w:right="1418" w:bottom="1418" w:left="1701" w:header="851" w:footer="992" w:gutter="0"/>
          <w:cols w:space="720" w:num="1"/>
          <w:docGrid w:linePitch="305" w:charSpace="0"/>
        </w:sectPr>
      </w:pPr>
    </w:p>
    <w:p w14:paraId="4DE67EB4">
      <w:pPr>
        <w:spacing w:beforeLines="50" w:afterLines="50" w:line="360" w:lineRule="auto"/>
        <w:jc w:val="center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目 录</w:t>
      </w:r>
    </w:p>
    <w:p>
      <w:pPr>
        <w:pStyle w:val="16"/>
        <w:tabs>
          <w:tab w:val="right" w:leader="dot" w:pos="8778"/>
        </w:tabs>
        <w:spacing w:before="0" w:after="0" w:line="360" w:lineRule="auto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TOC \o "1-3" \h \z \u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"_Toc90000101"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1.引言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_Toc90000101 \h </w:instrText>
        <w:fldChar w:fldCharType="separate"/>
        <w:t xml:space="preserve">1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"_Toc90000102"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1.1 编写目的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_Toc90000102 \h </w:instrText>
        <w:fldChar w:fldCharType="separate"/>
        <w:t xml:space="preserve">1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"_Toc90000103"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1.2 背景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_Toc90000103 \h </w:instrText>
        <w:fldChar w:fldCharType="separate"/>
        <w:t xml:space="preserve">1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"_Toc90000104"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1.3 开发环境与技术选型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_Toc90000104 \h </w:instrText>
        <w:fldChar w:fldCharType="separate"/>
        <w:t xml:space="preserve">2</w:t>
        <w:fldChar w:fldCharType="end"/>
        <w:fldChar w:fldCharType="end"/>
      </w:r>
    </w:p>
    <w:p>
      <w:pPr>
        <w:pStyle w:val="16"/>
        <w:tabs>
          <w:tab w:val="right" w:leader="dot" w:pos="8778"/>
        </w:tabs>
        <w:spacing w:before="0" w:after="0" w:line="360" w:lineRule="auto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"_Toc90000105"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2.可行性分析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_Toc90000105 \h </w:instrText>
        <w:fldChar w:fldCharType="separate"/>
        <w:t xml:space="preserve">3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"_Toc90000106"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2.1 对现有系统的分析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_Toc90000106 \h </w:instrText>
        <w:fldChar w:fldCharType="separate"/>
        <w:t xml:space="preserve">3</w:t>
        <w:fldChar w:fldCharType="end"/>
        <w:fldChar w:fldCharType="end"/>
      </w:r>
    </w:p>
    <w:p>
      <w:pPr>
        <w:pStyle w:val="11"/>
        <w:tabs>
          <w:tab w:val="right" w:leader="dot" w:pos="8778"/>
        </w:tabs>
        <w:spacing w:line="360" w:lineRule="auto"/>
        <w:ind w:firstLine="400" w:firstLineChars="200"/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"_Toc90000107"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2.1.1 市场调研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_Toc90000107 \h </w:instrText>
        <w:fldChar w:fldCharType="separate"/>
        <w:t xml:space="preserve">3</w:t>
        <w:fldChar w:fldCharType="end"/>
        <w:fldChar w:fldCharType="end"/>
      </w:r>
    </w:p>
    <w:p>
      <w:pPr>
        <w:pStyle w:val="11"/>
        <w:tabs>
          <w:tab w:val="right" w:leader="dot" w:pos="8778"/>
        </w:tabs>
        <w:spacing w:line="360" w:lineRule="auto"/>
        <w:ind w:firstLine="400" w:firstLineChars="200"/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"_Toc90000108"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2.1.2 技术难度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_Toc90000108 \h </w:instrText>
        <w:fldChar w:fldCharType="separate"/>
        <w:t xml:space="preserve">3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"_Toc90000109"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2.2 技术可行性分析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_Toc90000109 \h </w:instrText>
        <w:fldChar w:fldCharType="separate"/>
        <w:t xml:space="preserve">3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"_Toc90000110"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2.3 经济可行性分析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_Toc90000110 \h </w:instrText>
        <w:fldChar w:fldCharType="separate"/>
        <w:t xml:space="preserve">4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"_Toc90000111"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2.4 社会因素可行性分析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_Toc90000111 \h </w:instrText>
        <w:fldChar w:fldCharType="separate"/>
        <w:t xml:space="preserve">4</w:t>
        <w:fldChar w:fldCharType="end"/>
        <w:fldChar w:fldCharType="end"/>
      </w:r>
    </w:p>
    <w:p>
      <w:pPr>
        <w:pStyle w:val="16"/>
        <w:tabs>
          <w:tab w:val="right" w:leader="dot" w:pos="8778"/>
        </w:tabs>
        <w:spacing w:before="0" w:after="0" w:line="360" w:lineRule="auto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"_Toc90000112"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3.需求分析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_Toc90000112 \h </w:instrText>
        <w:fldChar w:fldCharType="separate"/>
        <w:t xml:space="preserve">5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"_Toc90000113"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3.1 用户角色分析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_Toc90000113 \h </w:instrText>
        <w:fldChar w:fldCharType="separate"/>
        <w:t xml:space="preserve">5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"_Toc90000114"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3.2 功能需求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_Toc90000114 \h </w:instrText>
        <w:fldChar w:fldCharType="separate"/>
        <w:t xml:space="preserve">5</w:t>
        <w:fldChar w:fldCharType="end"/>
        <w:fldChar w:fldCharType="end"/>
      </w:r>
    </w:p>
    <w:p>
      <w:pPr>
        <w:pStyle w:val="11"/>
        <w:tabs>
          <w:tab w:val="right" w:leader="dot" w:pos="8778"/>
        </w:tabs>
        <w:spacing w:line="360" w:lineRule="auto"/>
        <w:ind w:firstLine="400" w:firstLineChars="200"/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"_Toc90000115"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3.2.1 基础档案管理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_Toc90000115 \h </w:instrText>
        <w:fldChar w:fldCharType="separate"/>
        <w:t xml:space="preserve">5</w:t>
        <w:fldChar w:fldCharType="end"/>
        <w:fldChar w:fldCharType="end"/>
      </w:r>
    </w:p>
    <w:p>
      <w:pPr>
        <w:pStyle w:val="11"/>
        <w:tabs>
          <w:tab w:val="right" w:leader="dot" w:pos="8778"/>
        </w:tabs>
        <w:spacing w:line="360" w:lineRule="auto"/>
        <w:ind w:firstLine="400" w:firstLineChars="200"/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"_Toc90000116"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3.2.2 生产批次与农事管理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_Toc90000116 \h </w:instrText>
        <w:fldChar w:fldCharType="separate"/>
        <w:t xml:space="preserve">5</w:t>
        <w:fldChar w:fldCharType="end"/>
        <w:fldChar w:fldCharType="end"/>
      </w:r>
    </w:p>
    <w:p>
      <w:pPr>
        <w:pStyle w:val="11"/>
        <w:tabs>
          <w:tab w:val="right" w:leader="dot" w:pos="8778"/>
        </w:tabs>
        <w:spacing w:line="360" w:lineRule="auto"/>
        <w:ind w:firstLine="400" w:firstLineChars="200"/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"_Toc90000117"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3.2.3 质量检测管理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_Toc90000117 \h </w:instrText>
        <w:fldChar w:fldCharType="separate"/>
        <w:t xml:space="preserve">6</w:t>
        <w:fldChar w:fldCharType="end"/>
        <w:fldChar w:fldCharType="end"/>
      </w:r>
    </w:p>
    <w:p>
      <w:pPr>
        <w:pStyle w:val="11"/>
        <w:tabs>
          <w:tab w:val="right" w:leader="dot" w:pos="8778"/>
        </w:tabs>
        <w:spacing w:line="360" w:lineRule="auto"/>
        <w:ind w:firstLine="400" w:firstLineChars="200"/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"_Toc90000118"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3.2.4 物流运输管理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_Toc90000118 \h </w:instrText>
        <w:fldChar w:fldCharType="separate"/>
        <w:t xml:space="preserve">6</w:t>
        <w:fldChar w:fldCharType="end"/>
        <w:fldChar w:fldCharType="end"/>
      </w:r>
    </w:p>
    <w:p>
      <w:pPr>
        <w:pStyle w:val="11"/>
        <w:tabs>
          <w:tab w:val="right" w:leader="dot" w:pos="8778"/>
        </w:tabs>
        <w:spacing w:line="360" w:lineRule="auto"/>
        <w:ind w:firstLine="400" w:firstLineChars="200"/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"_Toc90000119"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3.2.5 溯源码与消费者查询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_Toc90000119 \h </w:instrText>
        <w:fldChar w:fldCharType="separate"/>
        <w:t xml:space="preserve">6</w:t>
        <w:fldChar w:fldCharType="end"/>
        <w:fldChar w:fldCharType="end"/>
      </w:r>
    </w:p>
    <w:p>
      <w:pPr>
        <w:pStyle w:val="11"/>
        <w:tabs>
          <w:tab w:val="right" w:leader="dot" w:pos="8778"/>
        </w:tabs>
        <w:spacing w:line="360" w:lineRule="auto"/>
        <w:ind w:firstLine="400" w:firstLineChars="200"/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"_Toc90000120"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3.2.6 数据看板与系统管理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_Toc90000120 \h </w:instrText>
        <w:fldChar w:fldCharType="separate"/>
        <w:t xml:space="preserve">6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"_Toc90000121"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3.3 业务流程分析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_Toc90000121 \h </w:instrText>
        <w:fldChar w:fldCharType="separate"/>
        <w:t xml:space="preserve">6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"_Toc90000122"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3.4 非功能需求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_Toc90000122 \h </w:instrText>
        <w:fldChar w:fldCharType="separate"/>
        <w:t xml:space="preserve">7</w:t>
        <w:fldChar w:fldCharType="end"/>
        <w:fldChar w:fldCharType="end"/>
      </w:r>
    </w:p>
    <w:p>
      <w:pPr>
        <w:pStyle w:val="16"/>
        <w:tabs>
          <w:tab w:val="right" w:leader="dot" w:pos="8778"/>
        </w:tabs>
        <w:spacing w:before="0" w:after="0" w:line="360" w:lineRule="auto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"_Toc90000123"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4.总体设计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_Toc90000123 \h </w:instrText>
        <w:fldChar w:fldCharType="separate"/>
        <w:t xml:space="preserve">8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"_Toc90000124"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4.1 系统架构设计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_Toc90000124 \h </w:instrText>
        <w:fldChar w:fldCharType="separate"/>
        <w:t xml:space="preserve">8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"_Toc90000125"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4.2 功能模块设计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_Toc90000125 \h </w:instrText>
        <w:fldChar w:fldCharType="separate"/>
        <w:t xml:space="preserve">8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"_Toc90000126"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4.3 数据库设计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_Toc90000126 \h </w:instrText>
        <w:fldChar w:fldCharType="separate"/>
        <w:t xml:space="preserve">9</w:t>
        <w:fldChar w:fldCharType="end"/>
        <w:fldChar w:fldCharType="end"/>
      </w:r>
    </w:p>
    <w:p>
      <w:pPr>
        <w:pStyle w:val="11"/>
        <w:tabs>
          <w:tab w:val="right" w:leader="dot" w:pos="8778"/>
        </w:tabs>
        <w:spacing w:line="360" w:lineRule="auto"/>
        <w:ind w:firstLine="400" w:firstLineChars="200"/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"_Toc90000127"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4.3.1 概念结构设计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_Toc90000127 \h </w:instrText>
        <w:fldChar w:fldCharType="separate"/>
        <w:t xml:space="preserve">9</w:t>
        <w:fldChar w:fldCharType="end"/>
        <w:fldChar w:fldCharType="end"/>
      </w:r>
    </w:p>
    <w:p>
      <w:pPr>
        <w:pStyle w:val="11"/>
        <w:tabs>
          <w:tab w:val="right" w:leader="dot" w:pos="8778"/>
        </w:tabs>
        <w:spacing w:line="360" w:lineRule="auto"/>
        <w:ind w:firstLine="400" w:firstLineChars="200"/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"_Toc90000128"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4.3.2 逻辑结构设计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_Toc90000128 \h </w:instrText>
        <w:fldChar w:fldCharType="separate"/>
        <w:t xml:space="preserve">9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"_Toc90000129"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4.4 接口设计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_Toc90000129 \h </w:instrText>
        <w:fldChar w:fldCharType="separate"/>
        <w:t xml:space="preserve">12</w:t>
        <w:fldChar w:fldCharType="end"/>
        <w:fldChar w:fldCharType="end"/>
      </w:r>
    </w:p>
    <w:p>
      <w:pPr>
        <w:pStyle w:val="16"/>
        <w:tabs>
          <w:tab w:val="right" w:leader="dot" w:pos="8778"/>
        </w:tabs>
        <w:spacing w:before="0" w:after="0" w:line="360" w:lineRule="auto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"_Toc90000130"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5.详细设计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_Toc90000130 \h </w:instrText>
        <w:fldChar w:fldCharType="separate"/>
        <w:t xml:space="preserve">13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"_Toc90000131"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5.1 登录认证与权限控制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_Toc90000131 \h </w:instrText>
        <w:fldChar w:fldCharType="separate"/>
        <w:t xml:space="preserve">13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"_Toc90000132"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5.2 批次状态流转实现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_Toc90000132 \h </w:instrText>
        <w:fldChar w:fldCharType="separate"/>
        <w:t xml:space="preserve">14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"_Toc90000133"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5.3 溯源码生成与扫码查询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_Toc90000133 \h </w:instrText>
        <w:fldChar w:fldCharType="separate"/>
        <w:t xml:space="preserve">14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"_Toc90000134"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5.4 数据看板统计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_Toc90000134 \h </w:instrText>
        <w:fldChar w:fldCharType="separate"/>
        <w:t xml:space="preserve">15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"_Toc90000135"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5.5 前端界面实现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_Toc90000135 \h </w:instrText>
        <w:fldChar w:fldCharType="separate"/>
        <w:t xml:space="preserve">15</w:t>
        <w:fldChar w:fldCharType="end"/>
        <w:fldChar w:fldCharType="end"/>
      </w:r>
    </w:p>
    <w:p>
      <w:pPr>
        <w:pStyle w:val="11"/>
        <w:tabs>
          <w:tab w:val="right" w:leader="dot" w:pos="8778"/>
        </w:tabs>
        <w:spacing w:line="360" w:lineRule="auto"/>
        <w:ind w:firstLine="400" w:firstLineChars="200"/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"_Toc90000136"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5.5.1 界面风格设计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_Toc90000136 \h </w:instrText>
        <w:fldChar w:fldCharType="separate"/>
        <w:t xml:space="preserve">15</w:t>
        <w:fldChar w:fldCharType="end"/>
        <w:fldChar w:fldCharType="end"/>
      </w:r>
    </w:p>
    <w:p>
      <w:pPr>
        <w:pStyle w:val="11"/>
        <w:tabs>
          <w:tab w:val="right" w:leader="dot" w:pos="8778"/>
        </w:tabs>
        <w:spacing w:line="360" w:lineRule="auto"/>
        <w:ind w:firstLine="400" w:firstLineChars="200"/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"_Toc90000137"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5.5.2 主要页面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_Toc90000137 \h </w:instrText>
        <w:fldChar w:fldCharType="separate"/>
        <w:t xml:space="preserve">16</w:t>
        <w:fldChar w:fldCharType="end"/>
        <w:fldChar w:fldCharType="end"/>
      </w:r>
    </w:p>
    <w:p>
      <w:pPr>
        <w:pStyle w:val="16"/>
        <w:tabs>
          <w:tab w:val="right" w:leader="dot" w:pos="8778"/>
        </w:tabs>
        <w:spacing w:before="0" w:after="0" w:line="360" w:lineRule="auto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"_Toc90000138"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6.系统调试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_Toc90000138 \h </w:instrText>
        <w:fldChar w:fldCharType="separate"/>
        <w:t xml:space="preserve">20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"_Toc90000139"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6.1 测试环境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_Toc90000139 \h </w:instrText>
        <w:fldChar w:fldCharType="separate"/>
        <w:t xml:space="preserve">20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"_Toc90000140"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6.2 功能测试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_Toc90000140 \h </w:instrText>
        <w:fldChar w:fldCharType="separate"/>
        <w:t xml:space="preserve">20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"_Toc90000141"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6.3 权限与异常测试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_Toc90000141 \h </w:instrText>
        <w:fldChar w:fldCharType="separate"/>
        <w:t xml:space="preserve">21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"_Toc90000142"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6.4 调试中遇到的问题及解决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_Toc90000142 \h </w:instrText>
        <w:fldChar w:fldCharType="separate"/>
        <w:t xml:space="preserve">21</w:t>
        <w:fldChar w:fldCharType="end"/>
        <w:fldChar w:fldCharType="end"/>
      </w:r>
    </w:p>
    <w:p>
      <w:pPr>
        <w:pStyle w:val="16"/>
        <w:tabs>
          <w:tab w:val="right" w:leader="dot" w:pos="8778"/>
        </w:tabs>
        <w:spacing w:before="0" w:after="0" w:line="360" w:lineRule="auto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"_Toc90000143"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参考文献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_Toc90000143 \h </w:instrText>
        <w:fldChar w:fldCharType="separate"/>
        <w:t xml:space="preserve">23</w:t>
        <w:fldChar w:fldCharType="end"/>
        <w:fldChar w:fldCharType="end"/>
      </w:r>
    </w:p>
    <w:p>
      <w:pPr>
        <w:pStyle w:val="16"/>
        <w:tabs>
          <w:tab w:val="right" w:leader="dot" w:pos="8778"/>
        </w:tabs>
        <w:spacing w:before="0" w:after="0" w:line="360" w:lineRule="auto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"_Toc90000144"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总  结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_Toc90000144 \h </w:instrText>
        <w:fldChar w:fldCharType="separate"/>
        <w:t xml:space="preserve">24</w:t>
        <w:fldChar w:fldCharType="end"/>
        <w:fldChar w:fldCharType="end"/>
      </w:r>
    </w:p>
    <w:p>
      <w:pPr>
        <w:pStyle w:val="16"/>
        <w:tabs>
          <w:tab w:val="right" w:leader="dot" w:pos="8778"/>
        </w:tabs>
        <w:spacing w:before="0" w:after="0" w:line="360" w:lineRule="auto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"_Toc90000145"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附录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_Toc90000145 \h </w:instrText>
        <w:fldChar w:fldCharType="separate"/>
        <w:t xml:space="preserve">25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"_Toc90000146"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附录1 核心代码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_Toc90000146 \h </w:instrText>
        <w:fldChar w:fldCharType="separate"/>
        <w:t xml:space="preserve">25</w:t>
        <w:fldChar w:fldCharType="end"/>
        <w:fldChar w:fldCharType="end"/>
      </w:r>
    </w:p>
    <w:p>
      <w:pPr>
        <w:pStyle w:val="20"/>
        <w:tabs>
          <w:tab w:val="right" w:leader="dot" w:pos="8778"/>
        </w:tabs>
        <w:spacing w:line="360" w:lineRule="auto"/>
        <w:ind w:left="0" w:firstLine="400" w:firstLineChars="200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begin"/>
        <w:instrText xml:space="preserve"> HYPERLINK \l "_Toc90000147" </w:instrText>
        <w:fldChar w:fldCharType="separate"/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 xml:space="preserve">附录2 部署说明与演示账号</w:t>
      </w: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tab/>
        <w:fldChar w:fldCharType="begin"/>
        <w:instrText xml:space="preserve"> PAGEREF _Toc90000147 \h </w:instrText>
        <w:fldChar w:fldCharType="separate"/>
        <w:t xml:space="preserve">25</w:t>
        <w:fldChar w:fldCharType="end"/>
        <w:fldChar w:fldCharType="end"/>
      </w:r>
    </w:p>
    <w:p>
      <w:pPr>
        <w:pStyle w:val="16"/>
        <w:tabs>
          <w:tab w:val="right" w:leader="dot" w:pos="8778"/>
        </w:tabs>
        <w:spacing w:before="0" w:after="0" w:line="360" w:lineRule="auto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caps w:val="0"/>
          <w:smallCaps w:val="0"/>
          <w:sz w:val="24"/>
          <w:szCs w:val="24"/>
        </w:rPr>
        <w:fldChar w:fldCharType="end"/>
      </w:r>
    </w:p>
    <w:p w14:paraId="2EF07FEE">
      <w:pPr>
        <w:sectPr>
          <w:headerReference r:id="rId4" w:type="default"/>
          <w:footerReference r:id="rId5" w:type="default"/>
          <w:pgSz w:w="11907" w:h="16840"/>
          <w:pgMar w:top="1418" w:right="1418" w:bottom="1418" w:left="1701" w:header="851" w:footer="992" w:gutter="0"/>
          <w:pgNumType w:fmt="upperRoman" w:start="1"/>
          <w:cols w:space="720" w:num="1"/>
          <w:docGrid w:linePitch="305" w:charSpace="0"/>
        </w:sectPr>
      </w:pPr>
    </w:p>
    <w:p>
      <w:pPr>
        <w:pStyle w:val="2"/>
      </w:pPr>
      <w:bookmarkStart w:id="101" w:name="_Toc90000101"/>
      <w:r>
        <w:rPr>
          <w:rFonts w:hint="eastAsia"/>
        </w:rPr>
        <w:t xml:space="preserve">1.引言</w:t>
      </w:r>
      <w:bookmarkEnd w:id="101"/>
    </w:p>
    <w:p>
      <w:pPr>
        <w:pStyle w:val="3"/>
        <w:spacing w:before="0" w:after="0" w:beforeLines="25" w:afterLines="25" w:line="360" w:lineRule="auto"/>
        <w:jc w:val="left"/>
      </w:pPr>
      <w:bookmarkStart w:id="102" w:name="_Toc90000102"/>
      <w:r>
        <w:rPr>
          <w:rFonts w:hint="eastAsia"/>
        </w:rPr>
        <w:t xml:space="preserve">1.1 编写目的</w:t>
      </w:r>
      <w:bookmarkEnd w:id="102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报告是《智慧农业农产品溯源管理系统》课程设计的总结文档，按照软件工程的基本过程，对系统的可行性分析、需求分析、总体设计、详细设计和系统调试进行完整记录。编写本报告的目的有三点：一是梳理系统从需求到实现的设计思路，说明各项设计决策的依据；二是为系统的部署、使用和后续维护提供参考资料；三是总结本次全栈开发实训中掌握的 Spring Boot、Vue3、MySQL 等技术，以及在开发与调试过程中遇到的问题和解决办法。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本报告的预期读者包括课程指导教师、参与项目的同学，以及今后需要部署或二次开发本系统的人员。</w:t>
      </w:r>
    </w:p>
    <w:p>
      <w:pPr>
        <w:pStyle w:val="3"/>
        <w:spacing w:before="0" w:after="0" w:beforeLines="25" w:afterLines="25" w:line="360" w:lineRule="auto"/>
        <w:jc w:val="left"/>
      </w:pPr>
      <w:bookmarkStart w:id="103" w:name="_Toc90000103"/>
      <w:r>
        <w:rPr>
          <w:rFonts w:hint="eastAsia"/>
        </w:rPr>
        <w:t xml:space="preserve">1.2 背景</w:t>
      </w:r>
      <w:bookmarkEnd w:id="103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“舌尖上的安全”一直是社会关注的焦点。近年来，农药残留超标、以次充好、产地造假等问题时有发生，消费者在购买农产品时往往无从得知产品产自哪里、种植过程中用过哪些农药化肥、是否经过检测。2022 年修订的《中华人民共和国农产品质量安全法》明确提出建立健全农产品质量安全追溯制度，各地也在大力推进“一品一码”的追溯体系建设。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重庆是农业大市，拥有奉节脐橙、江津花椒、永川秀芽、涪陵青菜头等一批国家地理标志农产品。这些特色产品单价高、品牌价值大，更需要可信的溯源手段来证明“正宗”。然而，很多中小型合作社和种植基地仍以纸质台账记录生产过程，信息分散在生产、检测、物流各个环节，出现质量问题时难以快速追查，消费者也无法直观看到产品的来龙去脉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基于以上背景，本课题设计并实现了一套 B/S 架构的“智慧农业农产品溯源管理系统”。系统以“生产批次”为核心，把种植基地、农事作业、质量检测、物流运输等环节的数据串成一条完整的溯源链；质检合格的批次生成唯一的溯源码并打印成二维码标签，消费者用手机扫码即可查看产品从田间到餐桌的全过程。</w:t>
      </w:r>
    </w:p>
    <w:p>
      <w:pPr>
        <w:pStyle w:val="3"/>
        <w:spacing w:before="0" w:after="0" w:beforeLines="25" w:afterLines="25" w:line="360" w:lineRule="auto"/>
        <w:jc w:val="left"/>
      </w:pPr>
      <w:bookmarkStart w:id="104" w:name="_Toc90000104"/>
      <w:r>
        <w:rPr>
          <w:rFonts w:hint="eastAsia"/>
        </w:rPr>
        <w:t xml:space="preserve">1.3 开发环境与技术选型</w:t>
      </w:r>
      <w:bookmarkEnd w:id="104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系统采用前后端分离架构，后端基于 Spring Boot 提供 RESTful 接口，前端基于 Vue3 构建单页应用，数据存储使用 MySQL。主要开发环境与技术选型如表 1-1 所示。</w:t>
      </w:r>
    </w:p>
    <w:p>
      <w:pPr>
        <w:keepNext/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表1-1 开发环境与技术选型</w:t>
      </w:r>
    </w:p>
    <w:tbl>
      <w:tblPr>
        <w:tblW w:w="8788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/>
      </w:tblPr>
      <w:tblGrid>
        <w:gridCol w:w="1757"/>
        <w:gridCol w:w="3264"/>
        <w:gridCol w:w="3767"/>
      </w:tblGrid>
      <w:tr>
        <w:trPr>
          <w:tblHeader/>
          <w:cantSplit/>
        </w:trPr>
        <w:tc>
          <w:tcPr>
            <w:tcW w:w="1757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w="3264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名称及版本</w:t>
            </w:r>
          </w:p>
        </w:tc>
        <w:tc>
          <w:tcPr>
            <w:tcW w:w="3767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w="1757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操作系统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Windows 11 / Ubuntu 24.04</w:t>
            </w:r>
          </w:p>
        </w:tc>
        <w:tc>
          <w:tcPr>
            <w:tcW w:w="3767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开发与部署环境</w:t>
            </w:r>
          </w:p>
        </w:tc>
      </w:tr>
      <w:tr>
        <w:trPr>
          <w:cantSplit/>
        </w:trPr>
        <w:tc>
          <w:tcPr>
            <w:tcW w:w="1757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后端语言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Java 17（JDK 17 及以上）</w:t>
            </w:r>
          </w:p>
        </w:tc>
        <w:tc>
          <w:tcPr>
            <w:tcW w:w="3767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后端开发语言</w:t>
            </w:r>
          </w:p>
        </w:tc>
      </w:tr>
      <w:tr>
        <w:trPr>
          <w:cantSplit/>
        </w:trPr>
        <w:tc>
          <w:tcPr>
            <w:tcW w:w="1757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后端框架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Spring Boot 3.3.5</w:t>
            </w:r>
          </w:p>
        </w:tc>
        <w:tc>
          <w:tcPr>
            <w:tcW w:w="3767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Web 服务、依赖注入、参数校验</w:t>
            </w:r>
          </w:p>
        </w:tc>
      </w:tr>
      <w:tr>
        <w:trPr>
          <w:cantSplit/>
        </w:trPr>
        <w:tc>
          <w:tcPr>
            <w:tcW w:w="1757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持久层框架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MyBatis-Plus 3.5.7</w:t>
            </w:r>
          </w:p>
        </w:tc>
        <w:tc>
          <w:tcPr>
            <w:tcW w:w="3767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单表增删改查、条件构造器、分页插件</w:t>
            </w:r>
          </w:p>
        </w:tc>
      </w:tr>
      <w:tr>
        <w:trPr>
          <w:cantSplit/>
        </w:trPr>
        <w:tc>
          <w:tcPr>
            <w:tcW w:w="1757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安全认证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JJWT 0.12.6、BCrypt</w:t>
            </w:r>
          </w:p>
        </w:tc>
        <w:tc>
          <w:tcPr>
            <w:tcW w:w="3767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登录令牌签发与校验、密码加密</w:t>
            </w:r>
          </w:p>
        </w:tc>
      </w:tr>
      <w:tr>
        <w:trPr>
          <w:cantSplit/>
        </w:trPr>
        <w:tc>
          <w:tcPr>
            <w:tcW w:w="1757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数据库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MySQL 8.0</w:t>
            </w:r>
          </w:p>
        </w:tc>
        <w:tc>
          <w:tcPr>
            <w:tcW w:w="3767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业务数据存储</w:t>
            </w:r>
          </w:p>
        </w:tc>
      </w:tr>
      <w:tr>
        <w:trPr>
          <w:cantSplit/>
        </w:trPr>
        <w:tc>
          <w:tcPr>
            <w:tcW w:w="1757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前端框架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Vue 3.5、Vue Router 4、Pinia</w:t>
            </w:r>
          </w:p>
        </w:tc>
        <w:tc>
          <w:tcPr>
            <w:tcW w:w="3767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单页应用、路由、状态管理</w:t>
            </w:r>
          </w:p>
        </w:tc>
      </w:tr>
      <w:tr>
        <w:trPr>
          <w:cantSplit/>
        </w:trPr>
        <w:tc>
          <w:tcPr>
            <w:tcW w:w="1757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UI 与图表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Element Plus 2.8、ECharts 5.5</w:t>
            </w:r>
          </w:p>
        </w:tc>
        <w:tc>
          <w:tcPr>
            <w:tcW w:w="3767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界面组件、数据可视化</w:t>
            </w:r>
          </w:p>
        </w:tc>
      </w:tr>
      <w:tr>
        <w:trPr>
          <w:cantSplit/>
        </w:trPr>
        <w:tc>
          <w:tcPr>
            <w:tcW w:w="1757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其他前端库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Axios、qrcode、dayjs</w:t>
            </w:r>
          </w:p>
        </w:tc>
        <w:tc>
          <w:tcPr>
            <w:tcW w:w="3767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网络请求、二维码生成、日期处理</w:t>
            </w:r>
          </w:p>
        </w:tc>
      </w:tr>
      <w:tr>
        <w:trPr>
          <w:cantSplit/>
        </w:trPr>
        <w:tc>
          <w:tcPr>
            <w:tcW w:w="1757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构建与部署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Maven 3.9、Vite 5、Nginx、Docker Compose</w:t>
            </w:r>
          </w:p>
        </w:tc>
        <w:tc>
          <w:tcPr>
            <w:tcW w:w="3767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打包构建、反向代理、一键部署</w:t>
            </w:r>
          </w:p>
        </w:tc>
      </w:tr>
      <w:tr>
        <w:trPr>
          <w:cantSplit/>
        </w:trPr>
        <w:tc>
          <w:tcPr>
            <w:tcW w:w="1757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开发工具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IntelliJ IDEA、VS Code、Navicat</w:t>
            </w:r>
          </w:p>
        </w:tc>
        <w:tc>
          <w:tcPr>
            <w:tcW w:w="3767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编码、调试、数据库管理</w:t>
            </w:r>
          </w:p>
        </w:tc>
      </w:tr>
    </w:tbl>
    <w:p>
      <w:pPr>
        <w:spacing w:before="0" w:after="0" w:line="240" w:lineRule="auto"/>
        <w:ind w:left="0" w:firstLine="0"/>
      </w:pPr>
    </w:p>
    <w:p>
      <w:pPr>
        <w:pStyle w:val="2"/>
        <w:pageBreakBefore/>
      </w:pPr>
      <w:bookmarkStart w:id="105" w:name="_Toc90000105"/>
      <w:r>
        <w:rPr>
          <w:rFonts w:hint="eastAsia"/>
        </w:rPr>
        <w:t xml:space="preserve">2.可行性分析</w:t>
      </w:r>
      <w:bookmarkEnd w:id="105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可行性分析的目的是在投入开发之前，从市场现状、技术、经济和社会因素等方面判断项目是否值得做、能否做成。本章分别从这几个方面展开分析。</w:t>
      </w:r>
    </w:p>
    <w:p>
      <w:pPr>
        <w:pStyle w:val="3"/>
        <w:spacing w:before="0" w:after="0" w:beforeLines="25" w:afterLines="25" w:line="360" w:lineRule="auto"/>
        <w:jc w:val="left"/>
      </w:pPr>
      <w:bookmarkStart w:id="106" w:name="_Toc90000106"/>
      <w:r>
        <w:rPr>
          <w:rFonts w:hint="eastAsia"/>
        </w:rPr>
        <w:t xml:space="preserve">2.1 对现有系统的分析</w:t>
      </w:r>
      <w:bookmarkEnd w:id="106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目前农产品溯源的实现方式大致有三类：第一类是纸质台账加人工抽查，成本低但信息分散、容易遗失，也无法向消费者公开；第二类是大型企业或政府平台建设的追溯系统，如国家农产品质量安全追溯管理信息平台，功能完善但接入门槛较高，对小型合作社而言流程复杂；第三类是电商平台自带的商品溯源页面，只覆盖在该平台销售的商品，数据由商家单方面填写，可信度有限。</w:t>
      </w:r>
    </w:p>
    <w:p>
      <w:pPr>
        <w:pStyle w:val="4"/>
        <w:spacing w:before="0" w:after="0" w:line="360" w:lineRule="auto"/>
        <w:ind w:firstLine="482" w:firstLineChars="200"/>
      </w:pPr>
      <w:bookmarkStart w:id="107" w:name="_Toc90000107"/>
      <w:r>
        <w:rPr>
          <w:rFonts w:hint="eastAsia"/>
        </w:rPr>
        <w:t xml:space="preserve">2.1.1 市场调研</w:t>
      </w:r>
      <w:bookmarkEnd w:id="107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通过查阅资料和走访调研发现，中小型种植基地对溯源系统的需求集中在以下几点：（1）操作要简单，种植户能在手机或电脑上直接登记农事；（2）检测、物流环节的信息要能和生产信息关联起来，而不是各记各的；（3）能低成本地生成二维码标签贴在包装上，提升产品的品牌溢价；（4）管理者希望看到汇总的数据，例如各批次进行到哪个环节、哪些产品被扫码最多。现有的大型平台在灵活性和成本上难以满足这些需求，这为轻量级溯源系统留出了空间。</w:t>
      </w:r>
    </w:p>
    <w:p>
      <w:pPr>
        <w:pStyle w:val="4"/>
        <w:spacing w:before="0" w:after="0" w:line="360" w:lineRule="auto"/>
        <w:ind w:firstLine="482" w:firstLineChars="200"/>
      </w:pPr>
      <w:bookmarkStart w:id="108" w:name="_Toc90000108"/>
      <w:r>
        <w:rPr>
          <w:rFonts w:hint="eastAsia"/>
        </w:rPr>
        <w:t xml:space="preserve">2.1.2 技术难度</w:t>
      </w:r>
      <w:bookmarkEnd w:id="108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系统的核心难点不在于单个功能的实现，而在于把多个环节的数据组织成一条“可信”的链：批次状态要随业务自动推进，不允许跳过质检直接发运；进入下一环节后，上一环节的记录要锁定，防止事后篡改；溯源码要唯一、不易猜测，并能统计扫码情况；不同角色只能操作自己负责的环节。这些规则需要在后端统一校验，而不能只依赖前端界面的限制。整体来看，这些难点均可通过合理的数据库设计和服务层规则实现，技术难度适中，适合作为全栈课程设计的题目。</w:t>
      </w:r>
    </w:p>
    <w:p>
      <w:pPr>
        <w:pStyle w:val="3"/>
        <w:spacing w:before="0" w:after="0" w:beforeLines="25" w:afterLines="25" w:line="360" w:lineRule="auto"/>
        <w:jc w:val="left"/>
      </w:pPr>
      <w:bookmarkStart w:id="109" w:name="_Toc90000109"/>
      <w:r>
        <w:rPr>
          <w:rFonts w:hint="eastAsia"/>
        </w:rPr>
        <w:t xml:space="preserve">2.2 技术可行性分析</w:t>
      </w:r>
      <w:bookmarkEnd w:id="109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后端采用的 Spring Boot 是目前 Java 领域最主流的 Web 开发框架，自动配置和起步依赖大大降低了搭建成本；MyBatis-Plus 在 MyBatis 的基础上提供了通用 Mapper 和条件构造器，单表操作几乎不需要手写 SQL，同时保留了编写复杂统计 SQL 的能力；JWT 无状态令牌适合前后端分离的认证场景。前端采用 Vue3 组合式 API 配合 Element Plus 组件库，可以快速搭建后台管理界面，ECharts 用于数据可视化，qrcode 库可以在浏览器端直接生成二维码。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以上技术均为开源、成熟且文档完善的技术，课程中也进行了系统学习，开发团队具备相应的技术基础。系统运行只需要 JDK、MySQL 和 Nginx，普通的云服务器或实验室电脑即可满足要求，因此在技术上是可行的。</w:t>
      </w:r>
    </w:p>
    <w:p>
      <w:pPr>
        <w:pStyle w:val="3"/>
        <w:spacing w:before="0" w:after="0" w:beforeLines="25" w:afterLines="25" w:line="360" w:lineRule="auto"/>
        <w:jc w:val="left"/>
      </w:pPr>
      <w:bookmarkStart w:id="110" w:name="_Toc90000110"/>
      <w:r>
        <w:rPr>
          <w:rFonts w:hint="eastAsia"/>
        </w:rPr>
        <w:t xml:space="preserve">2.3 经济可行性分析</w:t>
      </w:r>
      <w:bookmarkEnd w:id="110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开发成本方面，系统使用的 JDK、Spring Boot、Vue、MySQL、Nginx 等全部为开源免费软件，开发工具使用 IntelliJ IDEA 社区版或教育版、VS Code，无需购买商业授权；开发工作由学生在课程学时内完成，没有额外的人力成本。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运行成本方面，系统对硬件要求较低，2 核 4G 内存的云服务器即可流畅运行，年费用在数百元量级；溯源二维码由系统生成后用普通打印机或标签机打印即可，不需要购买专用的防伪码服务。对于合作社而言，用较低的成本就能为产品附加可查询的溯源信息，提升品牌信任度和售价，经济上是可行的。</w:t>
      </w:r>
    </w:p>
    <w:p>
      <w:pPr>
        <w:pStyle w:val="3"/>
        <w:spacing w:before="0" w:after="0" w:beforeLines="25" w:afterLines="25" w:line="360" w:lineRule="auto"/>
        <w:jc w:val="left"/>
      </w:pPr>
      <w:bookmarkStart w:id="111" w:name="_Toc90000111"/>
      <w:r>
        <w:rPr>
          <w:rFonts w:hint="eastAsia"/>
        </w:rPr>
        <w:t xml:space="preserve">2.4 社会因素可行性分析</w:t>
      </w:r>
      <w:bookmarkEnd w:id="111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从政策层面看，国家和地方持续推动农产品质量安全追溯体系建设，《农产品质量安全法》对生产记录、承诺达标合格证、追溯管理都提出了明确要求，本系统的方向与政策导向一致。从使用者层面看，智能手机和微信扫码已经十分普及，消费者扫码查看信息没有使用门槛。从法律层面看，系统只记录生产经营环节的业务数据，对外展示时对手机号等个人信息做了脱敏处理，不涉及侵犯隐私和知识产权的问题。综上，本项目在社会因素方面是可行的。</w:t>
      </w:r>
    </w:p>
    <w:p>
      <w:pPr>
        <w:pStyle w:val="2"/>
        <w:pageBreakBefore/>
      </w:pPr>
      <w:bookmarkStart w:id="112" w:name="_Toc90000112"/>
      <w:r>
        <w:rPr>
          <w:rFonts w:hint="eastAsia"/>
        </w:rPr>
        <w:t xml:space="preserve">3.需求分析</w:t>
      </w:r>
      <w:bookmarkEnd w:id="112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需求分析阶段通过梳理农产品从种植到上市的业务流程，明确系统的使用者、需要实现的功能以及性能、安全等方面的要求。</w:t>
      </w:r>
    </w:p>
    <w:p>
      <w:pPr>
        <w:pStyle w:val="3"/>
        <w:spacing w:before="0" w:after="0" w:beforeLines="25" w:afterLines="25" w:line="360" w:lineRule="auto"/>
        <w:jc w:val="left"/>
      </w:pPr>
      <w:bookmarkStart w:id="113" w:name="_Toc90000113"/>
      <w:r>
        <w:rPr>
          <w:rFonts w:hint="eastAsia"/>
        </w:rPr>
        <w:t xml:space="preserve">3.1 用户角色分析</w:t>
      </w:r>
      <w:bookmarkEnd w:id="113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根据溯源链上各环节的分工，系统设置四类后台用户，另有无需登录的消费者，各角色的职责如表 3-1 所示。</w:t>
      </w:r>
    </w:p>
    <w:p>
      <w:pPr>
        <w:keepNext/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表3-1 系统用户角色</w:t>
      </w:r>
    </w:p>
    <w:tbl>
      <w:tblPr>
        <w:tblW w:w="8788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/>
      </w:tblPr>
      <w:tblGrid>
        <w:gridCol w:w="2008"/>
        <w:gridCol w:w="2259"/>
        <w:gridCol w:w="4521"/>
      </w:tblGrid>
      <w:tr>
        <w:trPr>
          <w:tblHeader/>
          <w:cantSplit/>
        </w:trPr>
        <w:tc>
          <w:tcPr>
            <w:tcW w:w="2008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w="2259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典型使用者</w:t>
            </w:r>
          </w:p>
        </w:tc>
        <w:tc>
          <w:tcPr>
            <w:tcW w:w="4521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主要职责</w:t>
            </w:r>
          </w:p>
        </w:tc>
      </w:tr>
      <w:tr>
        <w:trPr>
          <w:cantSplit/>
        </w:trPr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管理员（ADMIN）</w:t>
            </w:r>
          </w:p>
        </w:tc>
        <w:tc>
          <w:tcPr>
            <w:tcW w:w="2259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合作社管理人员</w:t>
            </w:r>
          </w:p>
        </w:tc>
        <w:tc>
          <w:tcPr>
            <w:tcW w:w="452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拥有全部权限；管理用户账号；删除数据、作废溯源码、纠正批次状态</w:t>
            </w:r>
          </w:p>
        </w:tc>
      </w:tr>
      <w:tr>
        <w:trPr>
          <w:cantSplit/>
        </w:trPr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生产者（FARMER）</w:t>
            </w:r>
          </w:p>
        </w:tc>
        <w:tc>
          <w:tcPr>
            <w:tcW w:w="2259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基地负责人、种植户</w:t>
            </w:r>
          </w:p>
        </w:tc>
        <w:tc>
          <w:tcPr>
            <w:tcW w:w="452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维护种植基地和农产品档案；创建生产批次；登记农事记录；为合格批次生成溯源码</w:t>
            </w:r>
          </w:p>
        </w:tc>
      </w:tr>
      <w:tr>
        <w:trPr>
          <w:cantSplit/>
        </w:trPr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质检员（INSPECTOR）</w:t>
            </w:r>
          </w:p>
        </w:tc>
        <w:tc>
          <w:tcPr>
            <w:tcW w:w="2259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检测机构人员</w:t>
            </w:r>
          </w:p>
        </w:tc>
        <w:tc>
          <w:tcPr>
            <w:tcW w:w="452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对已采收的批次录入质量检测结果</w:t>
            </w:r>
          </w:p>
        </w:tc>
      </w:tr>
      <w:tr>
        <w:trPr>
          <w:cantSplit/>
        </w:trPr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物流员（LOGISTICS）</w:t>
            </w:r>
          </w:p>
        </w:tc>
        <w:tc>
          <w:tcPr>
            <w:tcW w:w="2259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承运单位人员</w:t>
            </w:r>
          </w:p>
        </w:tc>
        <w:tc>
          <w:tcPr>
            <w:tcW w:w="452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为质检合格的批次登记发运信息，确认到达</w:t>
            </w:r>
          </w:p>
        </w:tc>
      </w:tr>
      <w:tr>
        <w:trPr>
          <w:cantSplit/>
        </w:trPr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消费者</w:t>
            </w:r>
          </w:p>
        </w:tc>
        <w:tc>
          <w:tcPr>
            <w:tcW w:w="2259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购买农产品的普通用户</w:t>
            </w:r>
          </w:p>
        </w:tc>
        <w:tc>
          <w:tcPr>
            <w:tcW w:w="452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无需登录，扫描包装上的二维码或输入溯源码查询产品来源</w:t>
            </w:r>
          </w:p>
        </w:tc>
      </w:tr>
    </w:tbl>
    <w:p>
      <w:pPr>
        <w:spacing w:before="0" w:after="0" w:line="240" w:lineRule="auto"/>
        <w:ind w:left="0" w:firstLine="0"/>
      </w:pPr>
    </w:p>
    <w:p>
      <w:pPr>
        <w:pStyle w:val="3"/>
        <w:spacing w:before="0" w:after="0" w:beforeLines="25" w:afterLines="25" w:line="360" w:lineRule="auto"/>
        <w:jc w:val="left"/>
      </w:pPr>
      <w:bookmarkStart w:id="114" w:name="_Toc90000114"/>
      <w:r>
        <w:rPr>
          <w:rFonts w:hint="eastAsia"/>
        </w:rPr>
        <w:t xml:space="preserve">3.2 功能需求</w:t>
      </w:r>
      <w:bookmarkEnd w:id="114"/>
    </w:p>
    <w:p>
      <w:pPr>
        <w:pStyle w:val="4"/>
        <w:spacing w:before="0" w:after="0" w:line="360" w:lineRule="auto"/>
        <w:ind w:firstLine="482" w:firstLineChars="200"/>
      </w:pPr>
      <w:bookmarkStart w:id="115" w:name="_Toc90000115"/>
      <w:r>
        <w:rPr>
          <w:rFonts w:hint="eastAsia"/>
        </w:rPr>
        <w:t xml:space="preserve">3.2.1 基础档案管理</w:t>
      </w:r>
      <w:bookmarkEnd w:id="115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1）种植基地管理：登记基地编号、名称、地址、面积、负责人、联系电话、产地环境（土壤、水源、气候）等信息，支持按名称、编号、地址模糊查询，支持启用和停用。已经产生生产批次的基地不能删除，只能停用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（2）农产品管理：维护产品名称、类别（蔬菜、水果、粮油、茶叶、调味品等）、品种、计量单位、保质期、储存方式和简介。已有生产批次的产品不能删除。</w:t>
      </w:r>
    </w:p>
    <w:p>
      <w:pPr>
        <w:pStyle w:val="4"/>
        <w:spacing w:before="0" w:after="0" w:line="360" w:lineRule="auto"/>
        <w:ind w:firstLine="482" w:firstLineChars="200"/>
      </w:pPr>
      <w:bookmarkStart w:id="116" w:name="_Toc90000116"/>
      <w:r>
        <w:rPr>
          <w:rFonts w:hint="eastAsia"/>
        </w:rPr>
        <w:t xml:space="preserve">3.2.2 生产批次与农事管理</w:t>
      </w:r>
      <w:bookmarkEnd w:id="116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1）生产批次管理：批次是溯源的基本单位，代表同一基地同一季收获的同一种产品。创建批次时选择产品和基地，填写种植日期、采收日期、产量等信息，批次号可手工填写，留空时由系统按“B+日期+流水号”自动生成。批次列表支持按批次号、产品名、状态、产品、基地组合查询。批次详情页集中展示批次信息、流程进度、溯源时间线和溯源码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2）农事记录管理：记录播种/定植、施肥、灌溉、病虫害防治、除草、采收等田间作业，包括作业日期、作业人、投入品名称和用量。登记“采收”时，处于“种植中”的批次自动变为“已采收”并写入采收日期。批次进入质检环节后，农事记录锁定，不能再增删改。</w:t>
      </w:r>
    </w:p>
    <w:p>
      <w:pPr>
        <w:pStyle w:val="4"/>
        <w:spacing w:before="0" w:after="0" w:line="360" w:lineRule="auto"/>
        <w:ind w:firstLine="482" w:firstLineChars="200"/>
      </w:pPr>
      <w:bookmarkStart w:id="117" w:name="_Toc90000117"/>
      <w:r>
        <w:rPr>
          <w:rFonts w:hint="eastAsia"/>
        </w:rPr>
        <w:t xml:space="preserve">3.2.3 质量检测管理</w:t>
      </w:r>
      <w:bookmarkEnd w:id="117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质检员对已采收的批次录入检测报告，包括报告编号（可自动生成）、检测日期、检测机构、检测人、农药残留、重金属、其他检测项目以及合格/不合格结论。系统以最近一次检测结论更新批次状态：合格则变为“质检合格”，不合格则变为“质检不合格”。批次发运后，质检记录锁定。</w:t>
      </w:r>
    </w:p>
    <w:p>
      <w:pPr>
        <w:pStyle w:val="4"/>
        <w:spacing w:before="0" w:after="0" w:line="360" w:lineRule="auto"/>
        <w:ind w:firstLine="482" w:firstLineChars="200"/>
      </w:pPr>
      <w:bookmarkStart w:id="118" w:name="_Toc90000118"/>
      <w:r>
        <w:rPr>
          <w:rFonts w:hint="eastAsia"/>
        </w:rPr>
        <w:t xml:space="preserve">3.2.4 物流运输管理</w:t>
      </w:r>
      <w:bookmarkEnd w:id="118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物流员只能为质检合格的批次登记发运，记录运单号、承运单位、车牌号、司机、起运地、目的地、发车时间、运输温度等信息。批次存在在途运单时状态为“运输中”；物流员确认到达后，全部运单到达的批次自动变为“已上市”。</w:t>
      </w:r>
    </w:p>
    <w:p>
      <w:pPr>
        <w:pStyle w:val="4"/>
        <w:spacing w:before="0" w:after="0" w:line="360" w:lineRule="auto"/>
        <w:ind w:firstLine="482" w:firstLineChars="200"/>
      </w:pPr>
      <w:bookmarkStart w:id="119" w:name="_Toc90000119"/>
      <w:r>
        <w:rPr>
          <w:rFonts w:hint="eastAsia"/>
        </w:rPr>
        <w:t xml:space="preserve">3.2.5 溯源码与消费者查询</w:t>
      </w:r>
      <w:bookmarkEnd w:id="119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（1）溯源码管理：质检合格的批次可以生成溯源码，一个批次只对应一个溯源码。系统提供二维码标签预览和 PNG 下载，便于打印后贴在包装上；记录每个溯源码的扫码次数和最近扫码时间；管理员可以作废或重新启用溯源码。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2）消费者查询：消费者扫描二维码或在查询页输入溯源码后，无需登录即可查看产品信息、产地信息以及按时间排序的种植、质检、物流全过程。对于质检不合格的批次要给出明显的警示，对已作废或不存在的溯源码给出提示。每次查询都记入扫码日志。</w:t>
      </w:r>
    </w:p>
    <w:p>
      <w:pPr>
        <w:pStyle w:val="4"/>
        <w:spacing w:before="0" w:after="0" w:line="360" w:lineRule="auto"/>
        <w:ind w:firstLine="482" w:firstLineChars="200"/>
      </w:pPr>
      <w:bookmarkStart w:id="120" w:name="_Toc90000120"/>
      <w:r>
        <w:rPr>
          <w:rFonts w:hint="eastAsia"/>
        </w:rPr>
        <w:t xml:space="preserve">3.2.6 数据看板与系统管理</w:t>
      </w:r>
      <w:bookmarkEnd w:id="120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（1）数据看板：展示基地数、产品数、批次数、溯源码数、累计扫码量、在途运单数等核心指标，以及批次生命周期分布、近 30 天扫码趋势、质检合格率、各类别批次数、扫码最多的产品和最新业务动态。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（2）系统管理：管理员可以新增、编辑、删除用户，分配角色，启用或停用账号，重置密码；所有用户可以在个人中心修改姓名、电话和登录密码。</w:t>
      </w:r>
    </w:p>
    <w:p>
      <w:pPr>
        <w:pStyle w:val="3"/>
        <w:spacing w:before="0" w:after="0" w:beforeLines="25" w:afterLines="25" w:line="360" w:lineRule="auto"/>
        <w:jc w:val="left"/>
      </w:pPr>
      <w:bookmarkStart w:id="121" w:name="_Toc90000121"/>
      <w:r>
        <w:rPr>
          <w:rFonts w:hint="eastAsia"/>
        </w:rPr>
        <w:t xml:space="preserve">3.3 业务流程分析</w:t>
      </w:r>
      <w:bookmarkEnd w:id="121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农产品从种植到上市需要经过多个环节，每个环节由不同的角色负责。系统用批次状态来表示批次所处的环节，状态只能由业务操作推进，不能随意修改（管理员纠错除外），批次状态流转如图 3-1 所示。</w:t>
      </w:r>
    </w:p>
    <w:p xmlns:a="http://schemas.openxmlformats.org/drawingml/2006/main" xmlns:pic="http://schemas.openxmlformats.org/drawingml/2006/picture">
      <w:pPr>
        <w:keepNext/>
        <w:spacing w:before="120" w:after="0" w:line="240" w:lineRule="auto"/>
        <w:ind w:left="0" w:firstLine="0"/>
        <w:jc w:val="center"/>
      </w:pPr>
      <w:r>
        <w:drawing>
          <wp:inline distT="0" distB="0" distL="0" distR="0">
            <wp:extent cx="5580000" cy="1851842"/>
            <wp:docPr id="1001" name="图片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rpt1001.png"/>
                    <pic:cNvPicPr/>
                  </pic:nvPicPr>
                  <pic:blipFill>
                    <a:blip r:embed="rIdRpt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5184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图3-1 批次状态流转图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具体而言：新建批次处于“种植中”；生产者登记“采收”后变为“已采收”；质检员录入检测结果后，根据结论变为“质检合格”或“质检不合格”，不合格的批次可以复检；物流员登记发运后变为“运输中”，确认到达后变为“已上市”。只有质检合格之后的批次才能发运和生成溯源码，这条规则保证了贴码上市的产品一定经过检测。</w:t>
      </w:r>
    </w:p>
    <w:p>
      <w:pPr>
        <w:pStyle w:val="3"/>
        <w:spacing w:before="0" w:after="0" w:beforeLines="25" w:afterLines="25" w:line="360" w:lineRule="auto"/>
        <w:jc w:val="left"/>
      </w:pPr>
      <w:bookmarkStart w:id="122" w:name="_Toc90000122"/>
      <w:r>
        <w:rPr>
          <w:rFonts w:hint="eastAsia"/>
        </w:rPr>
        <w:t xml:space="preserve">3.4 非功能需求</w:t>
      </w:r>
      <w:bookmarkEnd w:id="122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（1）安全性：用户密码使用 BCrypt 加密存储；除登录和消费者查询外，所有接口都必须携带有效的登录令牌；接口按角色控制权限，越权访问返回 403；消费者页面对基地负责人和司机的手机号做脱敏处理。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（2）数据一致性：业务规则统一在后端服务层校验，涉及多表修改的操作（如删除批次、录入质检并更新状态）使用事务保证一致性；已进入后续环节的记录不可修改，保证溯源数据可信。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（3）易用性：界面简洁统一，常用操作不超过三次点击；编号类字段支持自动生成；消费者查询页面适配手机屏幕；支持日间和夜间两种主题。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（4）性能与可维护性：列表查询均采用分页，单页数据量可控；代码按控制层、业务层、持久层分层组织；提供 Docker Compose 一键部署和部署手册，便于迁移和维护。</w:t>
      </w:r>
    </w:p>
    <w:p>
      <w:pPr>
        <w:pStyle w:val="2"/>
        <w:pageBreakBefore/>
      </w:pPr>
      <w:bookmarkStart w:id="123" w:name="_Toc90000123"/>
      <w:r>
        <w:rPr>
          <w:rFonts w:hint="eastAsia"/>
        </w:rPr>
        <w:t xml:space="preserve">4.总体设计</w:t>
      </w:r>
      <w:bookmarkEnd w:id="123"/>
    </w:p>
    <w:p>
      <w:pPr>
        <w:pStyle w:val="3"/>
        <w:spacing w:before="0" w:after="0" w:beforeLines="25" w:afterLines="25" w:line="360" w:lineRule="auto"/>
        <w:jc w:val="left"/>
      </w:pPr>
      <w:bookmarkStart w:id="124" w:name="_Toc90000124"/>
      <w:r>
        <w:rPr>
          <w:rFonts w:hint="eastAsia"/>
        </w:rPr>
        <w:t xml:space="preserve">4.1 系统架构设计</w:t>
      </w:r>
      <w:bookmarkEnd w:id="124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系统采用前后端分离的 B/S 架构，自上而下分为表现层、接入层、业务层和数据层，如图 4-1 所示。</w:t>
      </w:r>
    </w:p>
    <w:p xmlns:a="http://schemas.openxmlformats.org/drawingml/2006/main" xmlns:pic="http://schemas.openxmlformats.org/drawingml/2006/picture">
      <w:pPr>
        <w:keepNext/>
        <w:spacing w:before="120" w:after="0" w:line="240" w:lineRule="auto"/>
        <w:ind w:left="0" w:firstLine="0"/>
        <w:jc w:val="center"/>
      </w:pPr>
      <w:r>
        <w:drawing>
          <wp:inline distT="0" distB="0" distL="0" distR="0">
            <wp:extent cx="5400000" cy="3414982"/>
            <wp:docPr id="1002" name="图片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rpt1002.png"/>
                    <pic:cNvPicPr/>
                  </pic:nvPicPr>
                  <pic:blipFill>
                    <a:blip r:embed="rIdRpt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498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图4-1 系统架构图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表现层包括后台管理端、消费者扫码页和溯源码标签，均由 Vue3 单页应用实现，通过 Axios 以 JSON 格式调用后端接口，登录后的请求在请求头中携带 JWT 令牌。接入层由 Nginx 承担，负责托管前端打包后的静态资源，并把以 /api 开头的请求反向代理到后端服务。业务层是 Spring Boot 应用，请求先经过认证拦截器完成令牌校验和角色判断，再由 Controller 接收参数、Service 执行业务规则、Mapper 通过 MyBatis-Plus 访问数据库，所有异常由全局异常处理器统一转换为 {code, msg, data} 格式的响应。数据层使用 MySQL 8.0 存储全部业务数据。</w:t>
      </w:r>
    </w:p>
    <w:p>
      <w:pPr>
        <w:pStyle w:val="3"/>
        <w:spacing w:before="0" w:after="0" w:beforeLines="25" w:afterLines="25" w:line="360" w:lineRule="auto"/>
        <w:jc w:val="left"/>
      </w:pPr>
      <w:bookmarkStart w:id="125" w:name="_Toc90000125"/>
      <w:r>
        <w:rPr>
          <w:rFonts w:hint="eastAsia"/>
        </w:rPr>
        <w:t xml:space="preserve">4.2 功能模块设计</w:t>
      </w:r>
      <w:bookmarkEnd w:id="125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根据需求分析，系统划分为数据看板、档案管理、溯源链管理、系统管理和消费者查询五大模块，功能模块结构如图 4-2 所示。其中溯源链管理是系统的核心，包含生产批次、农事记录、质量检测、物流运输和溯源码五个子模块，各子模块之间通过批次关联并由批次状态串联起来。</w:t>
      </w:r>
    </w:p>
    <w:p xmlns:a="http://schemas.openxmlformats.org/drawingml/2006/main" xmlns:pic="http://schemas.openxmlformats.org/drawingml/2006/picture">
      <w:pPr>
        <w:keepNext/>
        <w:spacing w:before="120" w:after="0" w:line="240" w:lineRule="auto"/>
        <w:ind w:left="0" w:firstLine="0"/>
        <w:jc w:val="center"/>
      </w:pPr>
      <w:r>
        <w:drawing>
          <wp:inline distT="0" distB="0" distL="0" distR="0">
            <wp:extent cx="5580000" cy="1832562"/>
            <wp:docPr id="1003" name="图片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rpt1003.png"/>
                    <pic:cNvPicPr/>
                  </pic:nvPicPr>
                  <pic:blipFill>
                    <a:blip r:embed="rIdRpt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3256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图4-2 系统功能模块图</w:t>
      </w:r>
    </w:p>
    <w:p>
      <w:pPr>
        <w:pStyle w:val="3"/>
        <w:spacing w:before="0" w:after="0" w:beforeLines="25" w:afterLines="25" w:line="360" w:lineRule="auto"/>
        <w:jc w:val="left"/>
      </w:pPr>
      <w:bookmarkStart w:id="126" w:name="_Toc90000126"/>
      <w:r>
        <w:rPr>
          <w:rFonts w:hint="eastAsia"/>
        </w:rPr>
        <w:t xml:space="preserve">4.3 数据库设计</w:t>
      </w:r>
      <w:bookmarkEnd w:id="126"/>
    </w:p>
    <w:p>
      <w:pPr>
        <w:pStyle w:val="4"/>
        <w:spacing w:before="0" w:after="0" w:line="360" w:lineRule="auto"/>
        <w:ind w:firstLine="482" w:firstLineChars="200"/>
      </w:pPr>
      <w:bookmarkStart w:id="127" w:name="_Toc90000127"/>
      <w:r>
        <w:rPr>
          <w:rFonts w:hint="eastAsia"/>
        </w:rPr>
        <w:t xml:space="preserve">4.3.1 概念结构设计</w:t>
      </w:r>
      <w:bookmarkEnd w:id="127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系统的核心实体是生产批次：一个种植基地可以种植多个批次，一种农产品可以有多个批次，一个用户可以创建多个批次；一个批次有多条农事记录、多条质检记录和多条物流记录；一个批次对应一个溯源码，一个溯源码可以产生多条扫码日志。系统 E-R 图如图 4-3 所示（为使图面清晰，实体属性在表 4-1 至表 4-5 中列出）。</w:t>
      </w:r>
    </w:p>
    <w:p xmlns:a="http://schemas.openxmlformats.org/drawingml/2006/main" xmlns:pic="http://schemas.openxmlformats.org/drawingml/2006/picture">
      <w:pPr>
        <w:keepNext/>
        <w:spacing w:before="120" w:after="0" w:line="240" w:lineRule="auto"/>
        <w:ind w:left="0" w:firstLine="0"/>
        <w:jc w:val="center"/>
      </w:pPr>
      <w:r>
        <w:drawing>
          <wp:inline distT="0" distB="0" distL="0" distR="0">
            <wp:extent cx="5220000" cy="3152136"/>
            <wp:docPr id="1004" name="图片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rpt1004.png"/>
                    <pic:cNvPicPr/>
                  </pic:nvPicPr>
                  <pic:blipFill>
                    <a:blip r:embed="rIdRpt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5213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图4-3 系统 E-R 图</w:t>
      </w:r>
    </w:p>
    <w:p>
      <w:pPr>
        <w:pStyle w:val="4"/>
        <w:spacing w:before="0" w:after="0" w:line="360" w:lineRule="auto"/>
        <w:ind w:firstLine="482" w:firstLineChars="200"/>
      </w:pPr>
      <w:bookmarkStart w:id="128" w:name="_Toc90000128"/>
      <w:r>
        <w:rPr>
          <w:rFonts w:hint="eastAsia"/>
        </w:rPr>
        <w:t xml:space="preserve">4.3.2 逻辑结构设计</w:t>
      </w:r>
      <w:bookmarkEnd w:id="128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根据 E-R 图，系统共设计 9 张数据表，统一使用 InnoDB 引擎和 utf8mb4 字符集，主键均为自增 BIGINT，各表概况如表 4-1 所示。</w:t>
      </w:r>
    </w:p>
    <w:p>
      <w:pPr>
        <w:keepNext/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表4-1 数据表一览</w:t>
      </w:r>
    </w:p>
    <w:tbl>
      <w:tblPr>
        <w:tblW w:w="8788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/>
      </w:tblPr>
      <w:tblGrid>
        <w:gridCol w:w="2385"/>
        <w:gridCol w:w="1883"/>
        <w:gridCol w:w="4520"/>
      </w:tblGrid>
      <w:tr>
        <w:trPr>
          <w:tblHeader/>
          <w:cantSplit/>
        </w:trPr>
        <w:tc>
          <w:tcPr>
            <w:tcW w:w="2385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表名</w:t>
            </w:r>
          </w:p>
        </w:tc>
        <w:tc>
          <w:tcPr>
            <w:tcW w:w="1883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中文名</w:t>
            </w:r>
          </w:p>
        </w:tc>
        <w:tc>
          <w:tcPr>
            <w:tcW w:w="4520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sys_user</w:t>
            </w:r>
          </w:p>
        </w:tc>
        <w:tc>
          <w:tcPr>
            <w:tcW w:w="1883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用户表</w:t>
            </w:r>
          </w:p>
        </w:tc>
        <w:tc>
          <w:tcPr>
            <w:tcW w:w="452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登录名唯一，密码为 BCrypt 密文，role 区分四种角色</w:t>
            </w:r>
          </w:p>
        </w:tc>
      </w:tr>
      <w:tr>
        <w:trPr>
          <w:cantSplit/>
        </w:trPr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farm_base</w:t>
            </w:r>
          </w:p>
        </w:tc>
        <w:tc>
          <w:tcPr>
            <w:tcW w:w="1883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种植基地表</w:t>
            </w:r>
          </w:p>
        </w:tc>
        <w:tc>
          <w:tcPr>
            <w:tcW w:w="452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基地编号唯一，status 表示使用中/停用</w:t>
            </w:r>
          </w:p>
        </w:tc>
      </w:tr>
      <w:tr>
        <w:trPr>
          <w:cantSplit/>
        </w:trPr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product</w:t>
            </w:r>
          </w:p>
        </w:tc>
        <w:tc>
          <w:tcPr>
            <w:tcW w:w="1883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农产品表</w:t>
            </w:r>
          </w:p>
        </w:tc>
        <w:tc>
          <w:tcPr>
            <w:tcW w:w="452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品类档案：类别、品种、单位、保质期、储存方式</w:t>
            </w:r>
          </w:p>
        </w:tc>
      </w:tr>
      <w:tr>
        <w:trPr>
          <w:cantSplit/>
        </w:trPr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batch</w:t>
            </w:r>
          </w:p>
        </w:tc>
        <w:tc>
          <w:tcPr>
            <w:tcW w:w="1883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生产批次表</w:t>
            </w:r>
          </w:p>
        </w:tc>
        <w:tc>
          <w:tcPr>
            <w:tcW w:w="452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批次号唯一，关联产品和基地，status 记录生命周期状态</w:t>
            </w:r>
          </w:p>
        </w:tc>
      </w:tr>
      <w:tr>
        <w:trPr>
          <w:cantSplit/>
        </w:trPr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farming_record</w:t>
            </w:r>
          </w:p>
        </w:tc>
        <w:tc>
          <w:tcPr>
            <w:tcW w:w="1883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农事记录表</w:t>
            </w:r>
          </w:p>
        </w:tc>
        <w:tc>
          <w:tcPr>
            <w:tcW w:w="452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关联批次，type 表示农事类型</w:t>
            </w:r>
          </w:p>
        </w:tc>
      </w:tr>
      <w:tr>
        <w:trPr>
          <w:cantSplit/>
        </w:trPr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inspection</w:t>
            </w:r>
          </w:p>
        </w:tc>
        <w:tc>
          <w:tcPr>
            <w:tcW w:w="1883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质检记录表</w:t>
            </w:r>
          </w:p>
        </w:tc>
        <w:tc>
          <w:tcPr>
            <w:tcW w:w="452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报告编号唯一，result 为 PASS/FAIL</w:t>
            </w:r>
          </w:p>
        </w:tc>
      </w:tr>
      <w:tr>
        <w:trPr>
          <w:cantSplit/>
        </w:trPr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logistics</w:t>
            </w:r>
          </w:p>
        </w:tc>
        <w:tc>
          <w:tcPr>
            <w:tcW w:w="1883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物流记录表</w:t>
            </w:r>
          </w:p>
        </w:tc>
        <w:tc>
          <w:tcPr>
            <w:tcW w:w="452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运单号唯一，status 为 IN_TRANSIT/ARRIVED</w:t>
            </w:r>
          </w:p>
        </w:tc>
      </w:tr>
      <w:tr>
        <w:trPr>
          <w:cantSplit/>
        </w:trPr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trace_code</w:t>
            </w:r>
          </w:p>
        </w:tc>
        <w:tc>
          <w:tcPr>
            <w:tcW w:w="1883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溯源码表</w:t>
            </w:r>
          </w:p>
        </w:tc>
        <w:tc>
          <w:tcPr>
            <w:tcW w:w="452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溯源码唯一，batch_id 唯一（一批一码），记录扫码次数</w:t>
            </w:r>
          </w:p>
        </w:tc>
      </w:tr>
      <w:tr>
        <w:trPr>
          <w:cantSplit/>
        </w:trPr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trace_scan_log</w:t>
            </w:r>
          </w:p>
        </w:tc>
        <w:tc>
          <w:tcPr>
            <w:tcW w:w="1883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扫码日志表</w:t>
            </w:r>
          </w:p>
        </w:tc>
        <w:tc>
          <w:tcPr>
            <w:tcW w:w="452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记录每次扫码的时间、IP，用于统计扫码趋势</w:t>
            </w:r>
          </w:p>
        </w:tc>
      </w:tr>
    </w:tbl>
    <w:p>
      <w:pPr>
        <w:spacing w:before="0" w:after="0" w:line="240" w:lineRule="auto"/>
        <w:ind w:left="0" w:firstLine="0"/>
      </w:pP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其中生产批次表、质检记录表、物流记录表和溯源码表是溯源链的关键数据，其结构分别如表 4-2 至表 4-5 所示。</w:t>
      </w:r>
    </w:p>
    <w:p>
      <w:pPr>
        <w:keepNext/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表4-2 生产批次表（batch）</w:t>
      </w:r>
    </w:p>
    <w:tbl>
      <w:tblPr>
        <w:tblW w:w="8788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/>
      </w:tblPr>
      <w:tblGrid>
        <w:gridCol w:w="2636"/>
        <w:gridCol w:w="2008"/>
        <w:gridCol w:w="2134"/>
        <w:gridCol w:w="2010"/>
      </w:tblGrid>
      <w:tr>
        <w:trPr>
          <w:tblHeader/>
          <w:cantSplit/>
        </w:trPr>
        <w:tc>
          <w:tcPr>
            <w:tcW w:w="2636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w="2008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w="2134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w="2010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id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主键，自增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批次 ID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batch_no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VARCHAR(40)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非空，唯一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批次号，如 B20251208-001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product_id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非空，索引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所属农产品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base_id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非空，索引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种植基地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plant_date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种植日期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harvest_date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采收日期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quantity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DECIMAL(12,2)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产量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status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VARCHAR(20)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非空，默认 GROWING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批次状态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remark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VARCHAR(500)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created_by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创建人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created_at / updated_at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默认当前时间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创建、更新时间</w:t>
            </w:r>
          </w:p>
        </w:tc>
      </w:tr>
    </w:tbl>
    <w:p>
      <w:pPr>
        <w:spacing w:before="0" w:after="0" w:line="240" w:lineRule="auto"/>
        <w:ind w:left="0" w:firstLine="0"/>
      </w:pPr>
    </w:p>
    <w:p>
      <w:pPr>
        <w:keepNext/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表4-3 质检记录表（inspection）</w:t>
      </w:r>
    </w:p>
    <w:tbl>
      <w:tblPr>
        <w:tblW w:w="8788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/>
      </w:tblPr>
      <w:tblGrid>
        <w:gridCol w:w="2636"/>
        <w:gridCol w:w="2008"/>
        <w:gridCol w:w="2134"/>
        <w:gridCol w:w="2010"/>
      </w:tblGrid>
      <w:tr>
        <w:trPr>
          <w:tblHeader/>
          <w:cantSplit/>
        </w:trPr>
        <w:tc>
          <w:tcPr>
            <w:tcW w:w="2636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w="2008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w="2134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w="2010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id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主键，自增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记录 ID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batch_id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非空，索引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被检批次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report_no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VARCHAR(40)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非空，唯一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检测报告编号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inspect_date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检测日期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agency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VARCHAR(100)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检测机构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inspector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VARCHAR(50)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检测人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pesticide_residue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VARCHAR(50)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农药残留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heavy_metal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VARCHAR(50)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重金属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other_items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VARCHAR(300)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其他检测项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result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VARCHAR(10)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PASS 合格 / FAIL 不合格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conclusion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VARCHAR(500)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结论说明</w:t>
            </w:r>
          </w:p>
        </w:tc>
      </w:tr>
    </w:tbl>
    <w:p>
      <w:pPr>
        <w:spacing w:before="0" w:after="0" w:line="240" w:lineRule="auto"/>
        <w:ind w:left="0" w:firstLine="0"/>
      </w:pPr>
    </w:p>
    <w:p>
      <w:pPr>
        <w:keepNext/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表4-4 物流记录表（logistics）</w:t>
      </w:r>
    </w:p>
    <w:tbl>
      <w:tblPr>
        <w:tblW w:w="8788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/>
      </w:tblPr>
      <w:tblGrid>
        <w:gridCol w:w="2636"/>
        <w:gridCol w:w="2008"/>
        <w:gridCol w:w="2134"/>
        <w:gridCol w:w="2010"/>
      </w:tblGrid>
      <w:tr>
        <w:trPr>
          <w:tblHeader/>
          <w:cantSplit/>
        </w:trPr>
        <w:tc>
          <w:tcPr>
            <w:tcW w:w="2636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w="2008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w="2134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w="2010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id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主键，自增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记录 ID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batch_id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非空，索引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运输批次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waybill_no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VARCHAR(40)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非空，唯一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运单号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carrier / vehicle_no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承运单位、车牌号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driver / driver_phone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司机、司机电话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from_addr / to_addr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VARCHAR(200)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起运地、目的地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depart_time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发车时间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arrive_time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到达时间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temperature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VARCHAR(30)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运输温度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status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VARCHAR(20)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IN_TRANSIT 运输中 / ARRIVED 已到达</w:t>
            </w:r>
          </w:p>
        </w:tc>
      </w:tr>
    </w:tbl>
    <w:p>
      <w:pPr>
        <w:spacing w:before="0" w:after="0" w:line="240" w:lineRule="auto"/>
        <w:ind w:left="0" w:firstLine="0"/>
      </w:pPr>
    </w:p>
    <w:p>
      <w:pPr>
        <w:keepNext/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表4-5 溯源码表（trace_code）</w:t>
      </w:r>
    </w:p>
    <w:tbl>
      <w:tblPr>
        <w:tblW w:w="8788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/>
      </w:tblPr>
      <w:tblGrid>
        <w:gridCol w:w="2636"/>
        <w:gridCol w:w="2008"/>
        <w:gridCol w:w="2134"/>
        <w:gridCol w:w="2010"/>
      </w:tblGrid>
      <w:tr>
        <w:trPr>
          <w:tblHeader/>
          <w:cantSplit/>
        </w:trPr>
        <w:tc>
          <w:tcPr>
            <w:tcW w:w="2636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w="2008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w="2134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w="2010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id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主键，自增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记录 ID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code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VARCHAR(32)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非空，唯一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溯源码，如 T6QK8M3NXA2P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batch_id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非空，唯一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对应批次（一批一码）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scan_count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INT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非空，默认 0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累计扫码次数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last_scan_at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/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最近扫码时间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status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TINYINT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非空，默认 1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1 有效 / 0 作废</w:t>
            </w:r>
          </w:p>
        </w:tc>
      </w:tr>
      <w:tr>
        <w:trPr>
          <w:cantSplit/>
        </w:trPr>
        <w:tc>
          <w:tcPr>
            <w:tcW w:w="2636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created_at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213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默认当前时间</w:t>
            </w:r>
          </w:p>
        </w:tc>
        <w:tc>
          <w:tcPr>
            <w:tcW w:w="2010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生成时间</w:t>
            </w:r>
          </w:p>
        </w:tc>
      </w:tr>
    </w:tbl>
    <w:p>
      <w:pPr>
        <w:spacing w:before="0" w:after="0" w:line="240" w:lineRule="auto"/>
        <w:ind w:left="0" w:firstLine="0"/>
      </w:pPr>
    </w:p>
    <w:p>
      <w:pPr>
        <w:pStyle w:val="3"/>
        <w:spacing w:before="0" w:after="0" w:beforeLines="25" w:afterLines="25" w:line="360" w:lineRule="auto"/>
        <w:jc w:val="left"/>
      </w:pPr>
      <w:bookmarkStart w:id="129" w:name="_Toc90000129"/>
      <w:r>
        <w:rPr>
          <w:rFonts w:hint="eastAsia"/>
        </w:rPr>
        <w:t xml:space="preserve">4.4 接口设计</w:t>
      </w:r>
      <w:bookmarkEnd w:id="129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后端接口遵循 RESTful 风格，统一以 /api 为前缀，使用 GET 查询、POST 新增、PUT 修改、DELETE 删除。所有接口返回统一的 JSON 结构 {code, msg, data}：code 为 200 表示成功，401 表示未登录或登录过期，403 表示无权限，400 表示业务校验失败，msg 为可直接展示给用户的提示信息。列表接口统一支持 page、size 分页参数，返回 {records, total}。主要接口如表 4-6 所示。</w:t>
      </w:r>
    </w:p>
    <w:p>
      <w:pPr>
        <w:keepNext/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表4-6 主要接口列表</w:t>
      </w:r>
    </w:p>
    <w:tbl>
      <w:tblPr>
        <w:tblW w:w="8788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/>
      </w:tblPr>
      <w:tblGrid>
        <w:gridCol w:w="2968"/>
        <w:gridCol w:w="1781"/>
        <w:gridCol w:w="2375"/>
        <w:gridCol w:w="1664"/>
      </w:tblGrid>
      <w:tr>
        <w:trPr>
          <w:tblHeader/>
          <w:cantSplit/>
        </w:trPr>
        <w:tc>
          <w:tcPr>
            <w:tcW w:w="2968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接口路径</w:t>
            </w:r>
          </w:p>
        </w:tc>
        <w:tc>
          <w:tcPr>
            <w:tcW w:w="1781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w="2375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w="1664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权限</w:t>
            </w:r>
          </w:p>
        </w:tc>
      </w:tr>
      <w:tr>
        <w:trPr>
          <w:cantSplit/>
        </w:trPr>
        <w:tc>
          <w:tcPr>
            <w:tcW w:w="296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/api/auth/login</w:t>
            </w:r>
          </w:p>
        </w:tc>
        <w:tc>
          <w:tcPr>
            <w:tcW w:w="178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POST</w:t>
            </w:r>
          </w:p>
        </w:tc>
        <w:tc>
          <w:tcPr>
            <w:tcW w:w="237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用户登录，返回令牌和用户信息</w:t>
            </w:r>
          </w:p>
        </w:tc>
        <w:tc>
          <w:tcPr>
            <w:tcW w:w="16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公开</w:t>
            </w:r>
          </w:p>
        </w:tc>
      </w:tr>
      <w:tr>
        <w:trPr>
          <w:cantSplit/>
        </w:trPr>
        <w:tc>
          <w:tcPr>
            <w:tcW w:w="296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/api/auth/me、/profile、/password</w:t>
            </w:r>
          </w:p>
        </w:tc>
        <w:tc>
          <w:tcPr>
            <w:tcW w:w="178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GET/PUT</w:t>
            </w:r>
          </w:p>
        </w:tc>
        <w:tc>
          <w:tcPr>
            <w:tcW w:w="237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当前用户信息、修改资料、修改密码</w:t>
            </w:r>
          </w:p>
        </w:tc>
        <w:tc>
          <w:tcPr>
            <w:tcW w:w="16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登录用户</w:t>
            </w:r>
          </w:p>
        </w:tc>
      </w:tr>
      <w:tr>
        <w:trPr>
          <w:cantSplit/>
        </w:trPr>
        <w:tc>
          <w:tcPr>
            <w:tcW w:w="296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/api/users</w:t>
            </w:r>
          </w:p>
        </w:tc>
        <w:tc>
          <w:tcPr>
            <w:tcW w:w="178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GET/POST/PUT/DELETE</w:t>
            </w:r>
          </w:p>
        </w:tc>
        <w:tc>
          <w:tcPr>
            <w:tcW w:w="237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用户管理、重置密码</w:t>
            </w:r>
          </w:p>
        </w:tc>
        <w:tc>
          <w:tcPr>
            <w:tcW w:w="16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管理员</w:t>
            </w:r>
          </w:p>
        </w:tc>
      </w:tr>
      <w:tr>
        <w:trPr>
          <w:cantSplit/>
        </w:trPr>
        <w:tc>
          <w:tcPr>
            <w:tcW w:w="296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/api/bases、/api/products</w:t>
            </w:r>
          </w:p>
        </w:tc>
        <w:tc>
          <w:tcPr>
            <w:tcW w:w="178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GET/POST/PUT/DELETE</w:t>
            </w:r>
          </w:p>
        </w:tc>
        <w:tc>
          <w:tcPr>
            <w:tcW w:w="237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基地、产品档案管理</w:t>
            </w:r>
          </w:p>
        </w:tc>
        <w:tc>
          <w:tcPr>
            <w:tcW w:w="16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查询：登录用户；维护：生产者</w:t>
            </w:r>
          </w:p>
        </w:tc>
      </w:tr>
      <w:tr>
        <w:trPr>
          <w:cantSplit/>
        </w:trPr>
        <w:tc>
          <w:tcPr>
            <w:tcW w:w="296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/api/batches</w:t>
            </w:r>
          </w:p>
        </w:tc>
        <w:tc>
          <w:tcPr>
            <w:tcW w:w="178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GET/POST/PUT/DELETE</w:t>
            </w:r>
          </w:p>
        </w:tc>
        <w:tc>
          <w:tcPr>
            <w:tcW w:w="237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批次管理；/{id} 返回批次全链路详情</w:t>
            </w:r>
          </w:p>
        </w:tc>
        <w:tc>
          <w:tcPr>
            <w:tcW w:w="16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维护：生产者</w:t>
            </w:r>
          </w:p>
        </w:tc>
      </w:tr>
      <w:tr>
        <w:trPr>
          <w:cantSplit/>
        </w:trPr>
        <w:tc>
          <w:tcPr>
            <w:tcW w:w="296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/api/farming-records</w:t>
            </w:r>
          </w:p>
        </w:tc>
        <w:tc>
          <w:tcPr>
            <w:tcW w:w="178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GET/POST/PUT/DELETE</w:t>
            </w:r>
          </w:p>
        </w:tc>
        <w:tc>
          <w:tcPr>
            <w:tcW w:w="237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农事记录</w:t>
            </w:r>
          </w:p>
        </w:tc>
        <w:tc>
          <w:tcPr>
            <w:tcW w:w="16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维护：生产者</w:t>
            </w:r>
          </w:p>
        </w:tc>
      </w:tr>
      <w:tr>
        <w:trPr>
          <w:cantSplit/>
        </w:trPr>
        <w:tc>
          <w:tcPr>
            <w:tcW w:w="296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/api/inspections</w:t>
            </w:r>
          </w:p>
        </w:tc>
        <w:tc>
          <w:tcPr>
            <w:tcW w:w="178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GET/POST/PUT/DELETE</w:t>
            </w:r>
          </w:p>
        </w:tc>
        <w:tc>
          <w:tcPr>
            <w:tcW w:w="237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质检记录</w:t>
            </w:r>
          </w:p>
        </w:tc>
        <w:tc>
          <w:tcPr>
            <w:tcW w:w="16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维护：质检员</w:t>
            </w:r>
          </w:p>
        </w:tc>
      </w:tr>
      <w:tr>
        <w:trPr>
          <w:cantSplit/>
        </w:trPr>
        <w:tc>
          <w:tcPr>
            <w:tcW w:w="296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/api/logistics</w:t>
            </w:r>
          </w:p>
        </w:tc>
        <w:tc>
          <w:tcPr>
            <w:tcW w:w="178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GET/POST/PUT/DELETE</w:t>
            </w:r>
          </w:p>
        </w:tc>
        <w:tc>
          <w:tcPr>
            <w:tcW w:w="237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物流记录；/{id}/arrive 确认到达</w:t>
            </w:r>
          </w:p>
        </w:tc>
        <w:tc>
          <w:tcPr>
            <w:tcW w:w="16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维护：物流员</w:t>
            </w:r>
          </w:p>
        </w:tc>
      </w:tr>
      <w:tr>
        <w:trPr>
          <w:cantSplit/>
        </w:trPr>
        <w:tc>
          <w:tcPr>
            <w:tcW w:w="296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/api/trace-codes</w:t>
            </w:r>
          </w:p>
        </w:tc>
        <w:tc>
          <w:tcPr>
            <w:tcW w:w="178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GET/POST/PUT</w:t>
            </w:r>
          </w:p>
        </w:tc>
        <w:tc>
          <w:tcPr>
            <w:tcW w:w="237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溯源码列表、生成、作废/启用</w:t>
            </w:r>
          </w:p>
        </w:tc>
        <w:tc>
          <w:tcPr>
            <w:tcW w:w="16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生成：生产者；作废：管理员</w:t>
            </w:r>
          </w:p>
        </w:tc>
      </w:tr>
      <w:tr>
        <w:trPr>
          <w:cantSplit/>
        </w:trPr>
        <w:tc>
          <w:tcPr>
            <w:tcW w:w="296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/api/dashboard/overview</w:t>
            </w:r>
          </w:p>
        </w:tc>
        <w:tc>
          <w:tcPr>
            <w:tcW w:w="178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GET</w:t>
            </w:r>
          </w:p>
        </w:tc>
        <w:tc>
          <w:tcPr>
            <w:tcW w:w="237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数据看板统计</w:t>
            </w:r>
          </w:p>
        </w:tc>
        <w:tc>
          <w:tcPr>
            <w:tcW w:w="16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登录用户</w:t>
            </w:r>
          </w:p>
        </w:tc>
      </w:tr>
      <w:tr>
        <w:trPr>
          <w:cantSplit/>
        </w:trPr>
        <w:tc>
          <w:tcPr>
            <w:tcW w:w="2968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/api/public/trace/{code}</w:t>
            </w:r>
          </w:p>
        </w:tc>
        <w:tc>
          <w:tcPr>
            <w:tcW w:w="178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GET</w:t>
            </w:r>
          </w:p>
        </w:tc>
        <w:tc>
          <w:tcPr>
            <w:tcW w:w="237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消费者扫码查询并记录扫码</w:t>
            </w:r>
          </w:p>
        </w:tc>
        <w:tc>
          <w:tcPr>
            <w:tcW w:w="16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公开</w:t>
            </w:r>
          </w:p>
        </w:tc>
      </w:tr>
    </w:tbl>
    <w:p>
      <w:pPr>
        <w:spacing w:before="0" w:after="0" w:line="240" w:lineRule="auto"/>
        <w:ind w:left="0" w:firstLine="0"/>
      </w:pPr>
    </w:p>
    <w:p>
      <w:pPr>
        <w:pStyle w:val="2"/>
        <w:pageBreakBefore/>
      </w:pPr>
      <w:bookmarkStart w:id="130" w:name="_Toc90000130"/>
      <w:r>
        <w:rPr>
          <w:rFonts w:hint="eastAsia"/>
        </w:rPr>
        <w:t xml:space="preserve">5.详细设计</w:t>
      </w:r>
      <w:bookmarkEnd w:id="130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本章选取系统中最关键的几个功能，说明其实现思路和核心代码，并展示主要的界面。</w:t>
      </w:r>
    </w:p>
    <w:p>
      <w:pPr>
        <w:pStyle w:val="3"/>
        <w:spacing w:before="0" w:after="0" w:beforeLines="25" w:afterLines="25" w:line="360" w:lineRule="auto"/>
        <w:jc w:val="left"/>
      </w:pPr>
      <w:bookmarkStart w:id="131" w:name="_Toc90000131"/>
      <w:r>
        <w:rPr>
          <w:rFonts w:hint="eastAsia"/>
        </w:rPr>
        <w:t xml:space="preserve">5.1 登录认证与权限控制</w:t>
      </w:r>
      <w:bookmarkEnd w:id="131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用户登录时，后端根据用户名查询用户，用 BCryptPasswordEncoder 校验密码，并检查账号是否被停用；校验通过后，使用 JJWT 签发令牌，令牌中保存用户 ID、用户名、姓名和角色，默认有效期 24 小时。前端把令牌保存在 localStorage 中，Axios 请求拦截器自动在每个请求头中加入“Authorization: Bearer 令牌”，响应拦截器在收到 401 时清除令牌并跳转到登录页。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后端通过 Spring MVC 拦截器 AuthInterceptor 统一校验令牌，登录、消费者查询和健康检查接口被排除在外。权限控制使用自定义注解 @RequireRole，可以加在 Controller 类或方法上，方法上的注解优先；管理员总是放行。拦截器的核心逻辑如下：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12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public boolean preHandle(HttpServletRequest req, HttpServletResponse resp, Object handler) throws IOException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if ("OPTIONS".equalsIgnoreCase(req.getMethod()) || !(handler instanceof HandlerMethod hm))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return true;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String header = req.getHeader("Authorization");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if (header == null || !header.startsWith("Bearer "))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return deny(resp, 401, "请先登录");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LoginUser user;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try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user = jwtUtil.parse(header.substring(7));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} catch (JwtException | IllegalArgumentException e)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return deny(resp, 401, "登录已过期，请重新登录");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RequireRole rr = hm.getMethodAnnotation(RequireRole.class);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if (rr == null)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rr = hm.getBeanType().getAnnotation(RequireRole.class);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if (rr != null &amp;&amp; !Roles.ADMIN.equals(user.role()) &amp;&amp; Arrays.stream(rr.value()).noneMatch(user.role()::equals))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return deny(resp, 403, "没有权限执行该操作");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UserContext.set(user);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return true;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12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这种“注解 + 拦截器”的方式不需要引入完整的 Spring Security，配置简单，权限声明直接写在接口上，一目了然。例如质检接口的新增方法上标注 @RequireRole(Roles.INSPECTOR)，生产者调用时就会得到“没有权限执行该操作”的 403 响应。前端同样根据角色控制菜单和按钮的显示，但真正的权限校验以后端为准。</w:t>
      </w:r>
    </w:p>
    <w:p>
      <w:pPr>
        <w:pStyle w:val="3"/>
        <w:spacing w:before="0" w:after="0" w:beforeLines="25" w:afterLines="25" w:line="360" w:lineRule="auto"/>
        <w:jc w:val="left"/>
      </w:pPr>
      <w:bookmarkStart w:id="132" w:name="_Toc90000132"/>
      <w:r>
        <w:rPr>
          <w:rFonts w:hint="eastAsia"/>
        </w:rPr>
        <w:t xml:space="preserve">5.2 批次状态流转实现</w:t>
      </w:r>
      <w:bookmarkEnd w:id="132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批次状态不允许通过普通的编辑接口修改，而是在农事、质检、物流的服务层中，根据业务数据重新计算。这样做的好处是状态永远和业务记录保持一致，例如删除了唯一一条质检记录，批次会自动退回“已采收”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质检服务在新增、修改、删除质检记录后调用 refreshBatchStatus，以最近一次检测结论为准更新批次状态：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12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private void refreshBatchStatus(Long batchId)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Inspection latest = getOne(new LambdaQueryWrapper&lt;Inspection&gt;().eq(Inspection::getBatchId, batchId)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    .orderByDesc(Inspection::getInspectDate).orderByDesc(Inspection::getId).last("LIMIT 1"));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String status = latest == null ? BatchStatus.HARVESTED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    : "PASS".equals(latest.getResult()) ? BatchStatus.INSPECTED : BatchStatus.REJECTED;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batchService.setStatus(batchId, status);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12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物流服务的规则是：存在在途运单时批次为“运输中”，运单全部到达时为“已上市”，没有运单时退回“质检合格”：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12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private void refreshBatchStatus(Long batchId)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Batch b = batchService.mustGet(batchId);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if (!BatchStatus.PASSED.contains(b.getStatus()))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return;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boolean inTransit = exists(new LambdaQueryWrapper&lt;Logistics&gt;()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    .eq(Logistics::getBatchId, batchId).eq(Logistics::getStatus, IN_TRANSIT));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boolean any = exists(new LambdaQueryWrapper&lt;Logistics&gt;().eq(Logistics::getBatchId, batchId));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batchService.setStatus(batchId, inTransit ? BatchStatus.SHIPPING : any ? BatchStatus.ON_SALE : BatchStatus.INSPECTED);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12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除了自动推进状态，各服务还负责“锁定”已完成环节的数据：农事服务只允许在“种植中、已采收”的批次上增删改记录；质检服务只允许对“已采收、质检合格、质检不合格”的批次操作；物流服务只接受质检合格之后的批次。所有违反规则的操作都会抛出 BusinessException，由全局异常处理器转换为带提示信息的响应，例如“批次 B20260601-001 已进入质检/流通环节，农事记录已锁定”。</w:t>
      </w:r>
    </w:p>
    <w:p>
      <w:pPr>
        <w:pStyle w:val="3"/>
        <w:spacing w:before="0" w:after="0" w:beforeLines="25" w:afterLines="25" w:line="360" w:lineRule="auto"/>
        <w:jc w:val="left"/>
      </w:pPr>
      <w:bookmarkStart w:id="133" w:name="_Toc90000133"/>
      <w:r>
        <w:rPr>
          <w:rFonts w:hint="eastAsia"/>
        </w:rPr>
        <w:t xml:space="preserve">5.3 溯源码生成与扫码查询</w:t>
      </w:r>
      <w:bookmarkEnd w:id="133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溯源码由字母“T”加 11 位随机字符组成，字符表去掉了 0/O、1/I 等容易混淆的字符，方便消费者手工输入；随机数使用 SecureRandom 生成，生成后检查数据库中是否重复，重复则重新生成。trace_code 表对 batch_id 建立唯一索引，从数据库层面保证一批一码；如果批次已有溯源码，生成接口直接返回已有的码。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前端使用 qrcode 库把“站点地址/trace/溯源码”编码成二维码，并在 Canvas 上绘制带产品名称、溯源码和批次号的标签，提供 PNG 下载，可直接打印后贴在包装上。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消费者访问 /trace/溯源码 页面时，前端调用公开接口 /api/public/trace/{code}。后端在一个事务中完成三件事：用“scan_count = scan_count + 1”的 SQL 原子地累加扫码次数并更新最近扫码时间；向 trace_scan_log 写入一条扫码日志（记录真实 IP，经过 Nginx 转发时从 X-Forwarded-For 头中获取）；查询批次全链路详情并对手机号做脱敏后返回。溯源码不存在或已作废时分别返回对应的提示。</w:t>
      </w:r>
    </w:p>
    <w:p>
      <w:pPr>
        <w:pStyle w:val="3"/>
        <w:spacing w:before="0" w:after="0" w:beforeLines="25" w:afterLines="25" w:line="360" w:lineRule="auto"/>
        <w:jc w:val="left"/>
      </w:pPr>
      <w:bookmarkStart w:id="134" w:name="_Toc90000134"/>
      <w:r>
        <w:rPr>
          <w:rFonts w:hint="eastAsia"/>
        </w:rPr>
        <w:t xml:space="preserve">5.4 数据看板统计</w:t>
      </w:r>
      <w:bookmarkEnd w:id="134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看板接口 /api/dashboard/overview 一次返回全部统计数据，减少前端请求次数。简单计数使用 MyBatis-Plus 的 selectCount；分组统计（批次状态分布、各类别批次数、质检结果分布、扫码最多的产品、近 30 天每日扫码次数）通过在 DashboardMapper 中用 @Select 注解编写 GROUP BY 聚合 SQL 实现。由于某些日期可能没有扫码，服务层会把近 30 天的每一天补齐，没有数据的日期补 0，保证折线图横轴连续。“最新动态”分别取农事、质检、物流最近的几条记录，按时间合并排序后返回。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前端使用 ECharts 绘制图表。图表颜色从 CSS 变量中读取，并监听主题切换事件重新绘制，使日间、夜间模式下的图表配色都清晰可读；条形图在条尾直接标注数值，折线图提供悬停十字线和数值提示。</w:t>
      </w:r>
    </w:p>
    <w:p>
      <w:pPr>
        <w:pStyle w:val="3"/>
        <w:spacing w:before="0" w:after="0" w:beforeLines="25" w:afterLines="25" w:line="360" w:lineRule="auto"/>
        <w:jc w:val="left"/>
      </w:pPr>
      <w:bookmarkStart w:id="135" w:name="_Toc90000135"/>
      <w:r>
        <w:rPr>
          <w:rFonts w:hint="eastAsia"/>
        </w:rPr>
        <w:t xml:space="preserve">5.5 前端界面实现</w:t>
      </w:r>
      <w:bookmarkEnd w:id="135"/>
    </w:p>
    <w:p>
      <w:pPr>
        <w:pStyle w:val="4"/>
        <w:spacing w:before="0" w:after="0" w:line="360" w:lineRule="auto"/>
        <w:ind w:firstLine="482" w:firstLineChars="200"/>
      </w:pPr>
      <w:bookmarkStart w:id="136" w:name="_Toc90000136"/>
      <w:r>
        <w:rPr>
          <w:rFonts w:hint="eastAsia"/>
        </w:rPr>
        <w:t xml:space="preserve">5.5.1 界面风格设计</w:t>
      </w:r>
      <w:bookmarkEnd w:id="136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界面采用“布面”风格：页面底色为米色纸面，侧边栏和重点卡片使用带细密布纹的田野绿色，强调文字使用麦穗金色，呼应农业主题。所有颜色定义为 CSS 变量，并覆盖 Element Plus 的主题变量，夜间模式只需切换一组变量即可。字体只使用系统自带的中文字体，避免加载网络字体导致的等待。后台采用左侧导航、右侧内容的布局，屏幕宽度小于 960 像素时侧边栏收起为抽屉，消费者页面则按手机屏幕单独设计。</w:t>
      </w:r>
    </w:p>
    <w:p>
      <w:pPr>
        <w:pStyle w:val="4"/>
        <w:spacing w:before="0" w:after="0" w:line="360" w:lineRule="auto"/>
        <w:ind w:firstLine="482" w:firstLineChars="200"/>
      </w:pPr>
      <w:bookmarkStart w:id="137" w:name="_Toc90000137"/>
      <w:r>
        <w:rPr>
          <w:rFonts w:hint="eastAsia"/>
        </w:rPr>
        <w:t xml:space="preserve">5.5.2 主要页面</w:t>
      </w:r>
      <w:bookmarkEnd w:id="137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系统登录页如图 5-1 所示，左侧展示系统名称和溯源流程，右侧为登录表单，并提供四个演示账号的快捷填入。</w:t>
      </w:r>
    </w:p>
    <w:p xmlns:a="http://schemas.openxmlformats.org/drawingml/2006/main" xmlns:pic="http://schemas.openxmlformats.org/drawingml/2006/picture">
      <w:pPr>
        <w:keepNext/>
        <w:spacing w:before="120" w:after="0" w:line="240" w:lineRule="auto"/>
        <w:ind w:left="0" w:firstLine="0"/>
        <w:jc w:val="center"/>
      </w:pPr>
      <w:r>
        <w:drawing>
          <wp:inline distT="0" distB="0" distL="0" distR="0">
            <wp:extent cx="5400000" cy="3225000"/>
            <wp:docPr id="1005" name="图片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rpt1005.png"/>
                    <pic:cNvPicPr/>
                  </pic:nvPicPr>
                  <pic:blipFill>
                    <a:blip r:embed="rIdRpt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5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图5-1 登录页面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登录后进入数据看板，如图 5-2 所示，顶部为核心指标，中间为批次生命周期分布，点击某一状态可直接跳转到对应的批次列表。</w:t>
      </w:r>
    </w:p>
    <w:p xmlns:a="http://schemas.openxmlformats.org/drawingml/2006/main" xmlns:pic="http://schemas.openxmlformats.org/drawingml/2006/picture">
      <w:pPr>
        <w:keepNext/>
        <w:spacing w:before="120" w:after="0" w:line="240" w:lineRule="auto"/>
        <w:ind w:left="0" w:firstLine="0"/>
        <w:jc w:val="center"/>
      </w:pPr>
      <w:r>
        <w:drawing>
          <wp:inline distT="0" distB="0" distL="0" distR="0">
            <wp:extent cx="5400000" cy="3225000"/>
            <wp:docPr id="1006" name="图片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rpt1006.png"/>
                    <pic:cNvPicPr/>
                  </pic:nvPicPr>
                  <pic:blipFill>
                    <a:blip r:embed="rIdRpt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5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图5-2 数据看板页面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生产批次列表如图 5-3 所示，支持多条件组合查询，状态以带颜色圆点和文字的标签显示。</w:t>
      </w:r>
    </w:p>
    <w:p xmlns:a="http://schemas.openxmlformats.org/drawingml/2006/main" xmlns:pic="http://schemas.openxmlformats.org/drawingml/2006/picture">
      <w:pPr>
        <w:keepNext/>
        <w:spacing w:before="120" w:after="0" w:line="240" w:lineRule="auto"/>
        <w:ind w:left="0" w:firstLine="0"/>
        <w:jc w:val="center"/>
      </w:pPr>
      <w:r>
        <w:drawing>
          <wp:inline distT="0" distB="0" distL="0" distR="0">
            <wp:extent cx="5400000" cy="3225000"/>
            <wp:docPr id="1007" name="图片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rpt1007.png"/>
                    <pic:cNvPicPr/>
                  </pic:nvPicPr>
                  <pic:blipFill>
                    <a:blip r:embed="rIdRpt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5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图5-3 生产批次列表页面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批次详情页如图 5-4 所示，顶部显示产品名称、批次号和当前状态，下方为流程进度条、批次信息和按时间排列的溯源时间线，右侧为溯源码标签。根据当前用户角色和批次状态，页面上会出现“记录农事”“录入质检”“登记发运”等快捷按钮。</w:t>
      </w:r>
    </w:p>
    <w:p xmlns:a="http://schemas.openxmlformats.org/drawingml/2006/main" xmlns:pic="http://schemas.openxmlformats.org/drawingml/2006/picture">
      <w:pPr>
        <w:keepNext/>
        <w:spacing w:before="120" w:after="0" w:line="240" w:lineRule="auto"/>
        <w:ind w:left="0" w:firstLine="0"/>
        <w:jc w:val="center"/>
      </w:pPr>
      <w:r>
        <w:drawing>
          <wp:inline distT="0" distB="0" distL="0" distR="0">
            <wp:extent cx="5400000" cy="3225000"/>
            <wp:docPr id="1008" name="图片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rpt1008.png"/>
                    <pic:cNvPicPr/>
                  </pic:nvPicPr>
                  <pic:blipFill>
                    <a:blip r:embed="rIdRpt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5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图5-4 批次详情页面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质检员录入检测结果的表单如图 5-5 所示，批次下拉框只列出可以送检的批次，报告编号留空时自动生成。</w:t>
      </w:r>
    </w:p>
    <w:p xmlns:a="http://schemas.openxmlformats.org/drawingml/2006/main" xmlns:pic="http://schemas.openxmlformats.org/drawingml/2006/picture">
      <w:pPr>
        <w:keepNext/>
        <w:spacing w:before="120" w:after="0" w:line="240" w:lineRule="auto"/>
        <w:ind w:left="0" w:firstLine="0"/>
        <w:jc w:val="center"/>
      </w:pPr>
      <w:r>
        <w:drawing>
          <wp:inline distT="0" distB="0" distL="0" distR="0">
            <wp:extent cx="5400000" cy="3225000"/>
            <wp:docPr id="1009" name="图片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rpt1009.png"/>
                    <pic:cNvPicPr/>
                  </pic:nvPicPr>
                  <pic:blipFill>
                    <a:blip r:embed="rIdRpt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5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图5-5 录入质检结果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溯源码管理页面可以预览和下载二维码标签，如图 5-6 所示。</w:t>
      </w:r>
    </w:p>
    <w:p xmlns:a="http://schemas.openxmlformats.org/drawingml/2006/main" xmlns:pic="http://schemas.openxmlformats.org/drawingml/2006/picture">
      <w:pPr>
        <w:keepNext/>
        <w:spacing w:before="120" w:after="0" w:line="240" w:lineRule="auto"/>
        <w:ind w:left="0" w:firstLine="0"/>
        <w:jc w:val="center"/>
      </w:pPr>
      <w:r>
        <w:drawing>
          <wp:inline distT="0" distB="0" distL="0" distR="0">
            <wp:extent cx="5400000" cy="3225000"/>
            <wp:docPr id="1010" name="图片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rpt1010.png"/>
                    <pic:cNvPicPr/>
                  </pic:nvPicPr>
                  <pic:blipFill>
                    <a:blip r:embed="rIdRpt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5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图5-6 溯源码标签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消费者扫码后看到的页面如图 5-7 所示，顶部给出“质检合格·来源可查”的结论和查询次数，下方依次为产品信息、产地信息和从田间到餐桌的时间线。</w:t>
      </w:r>
    </w:p>
    <w:p xmlns:a="http://schemas.openxmlformats.org/drawingml/2006/main" xmlns:pic="http://schemas.openxmlformats.org/drawingml/2006/picture">
      <w:pPr>
        <w:keepNext/>
        <w:spacing w:before="120" w:after="0" w:line="240" w:lineRule="auto"/>
        <w:ind w:left="0" w:firstLine="0"/>
        <w:jc w:val="center"/>
      </w:pPr>
      <w:r>
        <w:drawing>
          <wp:inline distT="0" distB="0" distL="0" distR="0">
            <wp:extent cx="2015999" cy="4362828"/>
            <wp:docPr id="1011" name="图片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rpt1011.png"/>
                    <pic:cNvPicPr/>
                  </pic:nvPicPr>
                  <pic:blipFill>
                    <a:blip r:embed="rIdRpt11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436282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distT="0" distB="0" distL="0" distR="0">
            <wp:extent cx="2015999" cy="4362828"/>
            <wp:docPr id="1012" name="图片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rpt1012.png"/>
                    <pic:cNvPicPr/>
                  </pic:nvPicPr>
                  <pic:blipFill>
                    <a:blip r:embed="rIdRpt12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436282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图5-7 消费者扫码查询页面（手机端）</w:t>
      </w:r>
    </w:p>
    <w:p>
      <w:pPr>
        <w:pStyle w:val="2"/>
        <w:pageBreakBefore/>
      </w:pPr>
      <w:bookmarkStart w:id="138" w:name="_Toc90000138"/>
      <w:r>
        <w:rPr>
          <w:rFonts w:hint="eastAsia"/>
        </w:rPr>
        <w:t xml:space="preserve">6.系统调试</w:t>
      </w:r>
      <w:bookmarkEnd w:id="138"/>
    </w:p>
    <w:p>
      <w:pPr>
        <w:pStyle w:val="3"/>
        <w:spacing w:before="0" w:after="0" w:beforeLines="25" w:afterLines="25" w:line="360" w:lineRule="auto"/>
        <w:jc w:val="left"/>
      </w:pPr>
      <w:bookmarkStart w:id="139" w:name="_Toc90000139"/>
      <w:r>
        <w:rPr>
          <w:rFonts w:hint="eastAsia"/>
        </w:rPr>
        <w:t xml:space="preserve">6.1 测试环境</w:t>
      </w:r>
      <w:bookmarkEnd w:id="139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测试环境为：后端运行于 JDK 21（兼容 Java 17 编译目标），数据库为 MariaDB 10.11（与 MySQL 8.0 语法兼容），前端在 Chromium 浏览器中测试，分别模拟 1440×900 的电脑屏幕和 390×844 的手机屏幕；生产部署方式使用 Nginx 托管前端并反向代理后端接口。测试数据使用 sql/data.sql 中的演示数据，包括 6 个基地、6 种产品、8 个处于不同状态的批次及相应的农事、质检、物流记录。</w:t>
      </w:r>
    </w:p>
    <w:p>
      <w:pPr>
        <w:pStyle w:val="3"/>
        <w:spacing w:before="0" w:after="0" w:beforeLines="25" w:afterLines="25" w:line="360" w:lineRule="auto"/>
        <w:jc w:val="left"/>
      </w:pPr>
      <w:bookmarkStart w:id="140" w:name="_Toc90000140"/>
      <w:r>
        <w:rPr>
          <w:rFonts w:hint="eastAsia"/>
        </w:rPr>
        <w:t xml:space="preserve">6.2 功能测试</w:t>
      </w:r>
      <w:bookmarkEnd w:id="140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功能测试采用黑盒测试方法，按照批次从创建到上市的完整业务流程设计测试用例，同时覆盖各项业务规则的边界情况。主要测试用例及结果如表 6-1 所示。</w:t>
      </w:r>
    </w:p>
    <w:p>
      <w:pPr>
        <w:keepNext/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表6-1 功能测试用例</w:t>
      </w:r>
    </w:p>
    <w:tbl>
      <w:tblPr>
        <w:tblW w:w="8788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/>
      </w:tblPr>
      <w:tblGrid>
        <w:gridCol w:w="878"/>
        <w:gridCol w:w="1506"/>
        <w:gridCol w:w="2385"/>
        <w:gridCol w:w="3013"/>
        <w:gridCol w:w="1006"/>
      </w:tblGrid>
      <w:tr>
        <w:trPr>
          <w:tblHeader/>
          <w:cantSplit/>
        </w:trPr>
        <w:tc>
          <w:tcPr>
            <w:tcW w:w="878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编号</w:t>
            </w:r>
          </w:p>
        </w:tc>
        <w:tc>
          <w:tcPr>
            <w:tcW w:w="1506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测试内容</w:t>
            </w:r>
          </w:p>
        </w:tc>
        <w:tc>
          <w:tcPr>
            <w:tcW w:w="2385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操作步骤 / 输入</w:t>
            </w:r>
          </w:p>
        </w:tc>
        <w:tc>
          <w:tcPr>
            <w:tcW w:w="3013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预期结果</w:t>
            </w:r>
          </w:p>
        </w:tc>
        <w:tc>
          <w:tcPr>
            <w:tcW w:w="1006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T01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用户登录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输入 admin / 123456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登录成功，进入数据看板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T02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错误密码登录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输入 admin / 错误密码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提示“用户名或密码错误”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T03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新建批次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选择产品和基地，批次号留空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自动生成批次号 B20260601-001，状态为种植中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T04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未采收送检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对种植中的批次录入质检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提示“还未采收，不能送检”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T05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登记采收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为批次登记“采收”农事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批次变为已采收，写入采收日期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T06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质检合格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录入检测结论为合格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自动生成报告编号，批次变为质检合格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T07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农事记录锁定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对已质检批次追加农事记录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提示“农事记录已锁定”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T08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生成溯源码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为质检合格批次生成溯源码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生成 12 位溯源码，可预览下载标签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T09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登记发运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为该批次登记运单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自动生成运单号，批次变为运输中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T10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确认到达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确认运单到达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运单变为已到达，批次变为已上市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T11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消费者查询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访问 /trace/T6QK8M3NXA2P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展示完整时间线，扫码次数加 1，手机号脱敏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T12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无效溯源码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查询不存在的溯源码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提示“没有找到这个溯源码”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T13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组合查询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按关键字“脐橙”查询批次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返回 2 个奉节脐橙批次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T14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删除批次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管理员删除测试批次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批次及其农事、质检、物流、溯源码一并删除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87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T15</w:t>
            </w:r>
          </w:p>
        </w:tc>
        <w:tc>
          <w:tcPr>
            <w:tcW w:w="15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数据看板</w:t>
            </w:r>
          </w:p>
        </w:tc>
        <w:tc>
          <w:tcPr>
            <w:tcW w:w="238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打开数据看板</w:t>
            </w:r>
          </w:p>
        </w:tc>
        <w:tc>
          <w:tcPr>
            <w:tcW w:w="3013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指标、图表、最新动态与数据库一致</w:t>
            </w:r>
          </w:p>
        </w:tc>
        <w:tc>
          <w:tcPr>
            <w:tcW w:w="1006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</w:tbl>
    <w:p>
      <w:pPr>
        <w:spacing w:before="0" w:after="0" w:line="240" w:lineRule="auto"/>
        <w:ind w:left="0" w:firstLine="0"/>
      </w:pPr>
    </w:p>
    <w:p>
      <w:pPr>
        <w:pStyle w:val="3"/>
        <w:spacing w:before="0" w:after="0" w:beforeLines="25" w:afterLines="25" w:line="360" w:lineRule="auto"/>
        <w:jc w:val="left"/>
      </w:pPr>
      <w:bookmarkStart w:id="141" w:name="_Toc90000141"/>
      <w:r>
        <w:rPr>
          <w:rFonts w:hint="eastAsia"/>
        </w:rPr>
        <w:t xml:space="preserve">6.3 权限与异常测试</w:t>
      </w:r>
      <w:bookmarkEnd w:id="141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权限与异常测试主要验证接口在非法访问和异常输入下的表现，测试结果如表 6-2 所示。</w:t>
      </w:r>
    </w:p>
    <w:p>
      <w:pPr>
        <w:keepNext/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表6-2 权限与异常测试用例</w:t>
      </w:r>
    </w:p>
    <w:tbl>
      <w:tblPr>
        <w:tblW w:w="8788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/>
      </w:tblPr>
      <w:tblGrid>
        <w:gridCol w:w="1004"/>
        <w:gridCol w:w="3264"/>
        <w:gridCol w:w="3515"/>
        <w:gridCol w:w="1005"/>
      </w:tblGrid>
      <w:tr>
        <w:trPr>
          <w:tblHeader/>
          <w:cantSplit/>
        </w:trPr>
        <w:tc>
          <w:tcPr>
            <w:tcW w:w="1004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编号</w:t>
            </w:r>
          </w:p>
        </w:tc>
        <w:tc>
          <w:tcPr>
            <w:tcW w:w="3264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测试内容</w:t>
            </w:r>
          </w:p>
        </w:tc>
        <w:tc>
          <w:tcPr>
            <w:tcW w:w="3515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预期结果</w:t>
            </w:r>
          </w:p>
        </w:tc>
        <w:tc>
          <w:tcPr>
            <w:tcW w:w="1005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w="100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E01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不带令牌访问 /api/batches</w:t>
            </w:r>
          </w:p>
        </w:tc>
        <w:tc>
          <w:tcPr>
            <w:tcW w:w="351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返回 401“请先登录”</w:t>
            </w:r>
          </w:p>
        </w:tc>
        <w:tc>
          <w:tcPr>
            <w:tcW w:w="1005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100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E02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质检员调用新建批次接口</w:t>
            </w:r>
          </w:p>
        </w:tc>
        <w:tc>
          <w:tcPr>
            <w:tcW w:w="351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返回 403“没有权限执行该操作”</w:t>
            </w:r>
          </w:p>
        </w:tc>
        <w:tc>
          <w:tcPr>
            <w:tcW w:w="1005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100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E03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质检员登录后查看侧边栏</w:t>
            </w:r>
          </w:p>
        </w:tc>
        <w:tc>
          <w:tcPr>
            <w:tcW w:w="351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不显示“用户管理”菜单</w:t>
            </w:r>
          </w:p>
        </w:tc>
        <w:tc>
          <w:tcPr>
            <w:tcW w:w="1005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100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E04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访问不存在的接口</w:t>
            </w:r>
          </w:p>
        </w:tc>
        <w:tc>
          <w:tcPr>
            <w:tcW w:w="351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返回 404“接口不存在”</w:t>
            </w:r>
          </w:p>
        </w:tc>
        <w:tc>
          <w:tcPr>
            <w:tcW w:w="1005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100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E05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未质检合格的批次登记发运</w:t>
            </w:r>
          </w:p>
        </w:tc>
        <w:tc>
          <w:tcPr>
            <w:tcW w:w="351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提示“还没有质检合格，不能发运”</w:t>
            </w:r>
          </w:p>
        </w:tc>
        <w:tc>
          <w:tcPr>
            <w:tcW w:w="1005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100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E06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到达时间早于发车时间</w:t>
            </w:r>
          </w:p>
        </w:tc>
        <w:tc>
          <w:tcPr>
            <w:tcW w:w="351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提示“到达时间不能早于发车时间”</w:t>
            </w:r>
          </w:p>
        </w:tc>
        <w:tc>
          <w:tcPr>
            <w:tcW w:w="1005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100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E07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删除仍有批次的基地</w:t>
            </w:r>
          </w:p>
        </w:tc>
        <w:tc>
          <w:tcPr>
            <w:tcW w:w="351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提示“该基地下还有生产批次，不能删除”</w:t>
            </w:r>
          </w:p>
        </w:tc>
        <w:tc>
          <w:tcPr>
            <w:tcW w:w="1005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w="1004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E08</w:t>
            </w:r>
          </w:p>
        </w:tc>
        <w:tc>
          <w:tcPr>
            <w:tcW w:w="3264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刷新消费者页面 /trace/xxx</w:t>
            </w:r>
          </w:p>
        </w:tc>
        <w:tc>
          <w:tcPr>
            <w:tcW w:w="3515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Nginx 回落到 index.html，页面正常显示</w:t>
            </w:r>
          </w:p>
        </w:tc>
        <w:tc>
          <w:tcPr>
            <w:tcW w:w="1005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通过</w:t>
            </w:r>
          </w:p>
        </w:tc>
      </w:tr>
    </w:tbl>
    <w:p>
      <w:pPr>
        <w:spacing w:before="0" w:after="0" w:line="240" w:lineRule="auto"/>
        <w:ind w:left="0" w:firstLine="0"/>
      </w:pPr>
    </w:p>
    <w:p>
      <w:pPr>
        <w:pStyle w:val="3"/>
        <w:spacing w:before="0" w:after="0" w:beforeLines="25" w:afterLines="25" w:line="360" w:lineRule="auto"/>
        <w:jc w:val="left"/>
      </w:pPr>
      <w:bookmarkStart w:id="142" w:name="_Toc90000142"/>
      <w:r>
        <w:rPr>
          <w:rFonts w:hint="eastAsia"/>
        </w:rPr>
        <w:t xml:space="preserve">6.4 调试中遇到的问题及解决</w:t>
      </w:r>
      <w:bookmarkEnd w:id="142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（1）撤销到达时间无效。物流员编辑运单、清空到达时间后保存，数据库中的到达时间并没有被清空。原因是 MyBatis-Plus 的 updateById 默认跳过值为 null 的字段。解决办法是在检测到需要清空时，额外使用 LambdaUpdateWrapper 的 set(Logistics::getArriveTime, null) 显式更新该字段。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（2）时间格式不统一。LocalDateTime 默认按 ISO 格式序列化为“2025-12-12T06:00:00”，与前端日期组件的格式不一致。通过 Jackson2ObjectMapperBuilderCustomizer 全局配置序列化和反序列化格式为“yyyy-MM-dd HH:mm:ss”，并设置时区为 Asia/Shanghai 后解决。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（3）中文查询参数报 400 错误。用命令行直接请求带中文关键字的地址时，Tomcat 返回 400。原因是 URL 中的中文没有经过编码。前端 Axios 会自动对 params 编码，不受影响；命令行测试改用 --data-urlencode 后恢复正常。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（4）刷新页面出现 404。前端使用 history 路由，部署到 Nginx 后直接刷新“/trace/溯源码”等地址时 Nginx 找不到对应文件。在 Nginx 配置中加入 try_files $uri $uri/ /index.html，把未匹配的地址交给前端路由处理后解决。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（5）样式被覆盖。看板中“批次生命周期”卡片同时使用了 .card 和 .cloth 两个类，.card 中 background 简写属性覆盖了 .cloth 的布纹背景，导致卡片变成白底、文字看不清。增加 .card.cloth 组合选择器单独设置背景后解决。通过 Playwright 自动截图逐页检查界面，还发现并修正了表格列宽不足导致日期换行、状态标签被截断的问题。</w:t>
      </w:r>
    </w:p>
    <w:p>
      <w:pPr>
        <w:pStyle w:val="2"/>
        <w:pageBreakBefore/>
      </w:pPr>
      <w:bookmarkStart w:id="143" w:name="_Toc90000143"/>
      <w:r>
        <w:rPr>
          <w:rFonts w:hint="eastAsia"/>
        </w:rPr>
        <w:t xml:space="preserve">参考文献</w:t>
      </w:r>
      <w:bookmarkEnd w:id="143"/>
    </w:p>
    <w:p>
      <w:pPr>
        <w:pStyle w:val="19"/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[1] 张海藩, 牟永敏. 软件工程导论（第6版）[M]. 北京: 清华大学出版社, 2013.</w:t>
      </w:r>
    </w:p>
    <w:p>
      <w:pPr>
        <w:pStyle w:val="19"/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[2] 王珊, 萨师煊. 数据库系统概论（第5版）[M]. 北京: 高等教育出版社, 2014.</w:t>
      </w:r>
    </w:p>
    <w:p>
      <w:pPr>
        <w:pStyle w:val="19"/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[3] Craig Walls. Spring Boot实战[M]. 丁雪丰, 译. 北京: 人民邮电出版社, 2016.</w:t>
      </w:r>
    </w:p>
    <w:p>
      <w:pPr>
        <w:pStyle w:val="19"/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[4] 霍春阳. Vue.js设计与实现[M]. 北京: 人民邮电出版社, 2022.</w:t>
      </w:r>
    </w:p>
    <w:p>
      <w:pPr>
        <w:pStyle w:val="19"/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[5] 全国人民代表大会常务委员会. 中华人民共和国农产品质量安全法（2022年修订）[Z]. 2022.</w:t>
      </w:r>
    </w:p>
    <w:p>
      <w:pPr>
        <w:pStyle w:val="19"/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[6] 国家卫生健康委员会, 农业农村部, 国家市场监督管理总局. GB 2763—2021 食品安全国家标准 食品中农药最大残留限量[S]. 北京: 中国标准出版社, 2021.</w:t>
      </w:r>
    </w:p>
    <w:p>
      <w:pPr>
        <w:pStyle w:val="19"/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[7] 全国物品编码标准化技术委员会. GB/T 29373—2012 农产品追溯要求 果蔬[S]. 北京: 中国标准出版社, 2012.</w:t>
      </w:r>
    </w:p>
    <w:p>
      <w:pPr>
        <w:pStyle w:val="19"/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[8] Jones M, Bradley J, Sakimura N. RFC 7519: JSON Web Token (JWT)[S]. IETF, 2015.</w:t>
      </w:r>
    </w:p>
    <w:p>
      <w:pPr>
        <w:pStyle w:val="19"/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[9] Spring Boot Reference Documentation[EB/OL]. https://docs.spring.io/spring-boot/.</w:t>
      </w:r>
    </w:p>
    <w:p>
      <w:pPr>
        <w:pStyle w:val="19"/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[10] MyBatis-Plus 官方文档[EB/OL]. https://baomidou.com/.</w:t>
      </w:r>
    </w:p>
    <w:p>
      <w:pPr>
        <w:pStyle w:val="19"/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[11] Vue.js 官方文档[EB/OL]. https://cn.vuejs.org/.</w:t>
      </w:r>
    </w:p>
    <w:p>
      <w:pPr>
        <w:pStyle w:val="19"/>
        <w:spacing w:before="0" w:after="0" w:line="360" w:lineRule="auto"/>
        <w:ind w:left="480" w:hanging="48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[12] Element Plus 官方文档[EB/OL]. https://element-plus.org/zh-CN/.</w:t>
      </w:r>
    </w:p>
    <w:p>
      <w:pPr>
        <w:pStyle w:val="2"/>
        <w:pageBreakBefore/>
      </w:pPr>
      <w:bookmarkStart w:id="144" w:name="_Toc90000144"/>
      <w:r>
        <w:rPr>
          <w:rFonts w:hint="eastAsia"/>
        </w:rPr>
        <w:t xml:space="preserve">总  结</w:t>
      </w:r>
      <w:bookmarkEnd w:id="144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本次课程设计完成了一套基于 Spring Boot、Vue3 和 MySQL 的智慧农业农产品溯源管理系统。系统实现了种植基地和农产品档案管理、生产批次管理、农事记录、质量检测、物流运输、溯源码生成与打印、消费者扫码查询、数据看板和用户权限管理等功能，覆盖了农产品从田间到餐桌的主要环节，并通过 Docker Compose 和 Nginx 两种方式完成了部署验证。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设计上，我体会最深的是“规则要放在后端”。最初只在前端界面上隐藏不该出现的按钮，后来意识到这样很容易被绕过，于是把批次状态的推进、各环节记录的锁定、角色权限全部放到服务层和拦截器中统一校验，前端只负责更友好的展示。批次状态也不再允许直接修改，而是根据农事、质检、物流记录重新计算，这让状态和数据始终一致，溯源结果也更加可信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在技术上，我系统地实践了前后端分离的开发流程：后端掌握了 Spring Boot 的分层结构、MyBatis-Plus 的条件构造器和分页插件、JWT 认证、全局异常处理和事务；前端掌握了 Vue3 组合式 API、Pinia 状态管理、路由守卫、Axios 拦截器以及 ECharts 图表的使用，并学会用 CSS 变量实现主题切换。调试过程中遇到的 null 字段不更新、时间格式不一致、刷新 404 等问题，也让我对框架的默认行为有了更具体的认识。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系统目前仍有可以改进的地方：例如溯源数据保存在中心化数据库中，今后可以考虑引入区块链存证进一步防篡改；农事记录可以支持上传现场照片，环境数据可以接入物联网传感器自动采集；消费者页面可以增加投诉反馈功能。通过这次课程设计，我对软件工程从需求分析到部署上线的完整过程有了切身体会，也提高了独立解决问题的能力。</w:t>
      </w:r>
    </w:p>
    <w:p>
      <w:pPr>
        <w:spacing w:before="0" w:after="0" w:line="240" w:lineRule="auto"/>
        <w:sectPr>
          <w:headerReference r:id="rId6" w:type="default"/>
          <w:footerReference r:id="rId7" w:type="default"/>
          <w:pgSz w:w="11907" w:h="16840"/>
          <w:pgMar w:top="1418" w:right="1418" w:bottom="1418" w:left="1701" w:header="851" w:footer="992" w:gutter="0"/>
          <w:pgNumType w:start="1"/>
          <w:cols w:space="720" w:num="1"/>
          <w:docGrid w:linePitch="305" w:charSpace="0"/>
        </w:sectPr>
      </w:pPr>
    </w:p>
    <w:p>
      <w:pPr>
        <w:pStyle w:val="2"/>
      </w:pPr>
      <w:bookmarkStart w:id="145" w:name="_Toc90000145"/>
      <w:r>
        <w:rPr>
          <w:rFonts w:hint="eastAsia"/>
        </w:rPr>
        <w:t xml:space="preserve">附录</w:t>
      </w:r>
      <w:bookmarkEnd w:id="145"/>
    </w:p>
    <w:p>
      <w:pPr>
        <w:pStyle w:val="3"/>
        <w:spacing w:before="0" w:after="0" w:beforeLines="25" w:afterLines="25" w:line="360" w:lineRule="auto"/>
        <w:jc w:val="left"/>
      </w:pPr>
      <w:bookmarkStart w:id="146" w:name="_Toc90000146"/>
      <w:r>
        <w:rPr>
          <w:rFonts w:hint="eastAsia"/>
        </w:rPr>
        <w:t xml:space="preserve">附录1 核心代码</w:t>
      </w:r>
      <w:bookmarkEnd w:id="146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（1）溯源码生成（TraceCodeService.java 节选）：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12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/** 给批次生成溯源码；已有就直接返回，保证一批一码 */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public TraceCode generate(Long batchId)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Batch b = batchService.mustGet(batchId);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TraceCode exist = getOne(new LambdaQueryWrapper&lt;TraceCode&gt;().eq(TraceCode::getBatchId, batchId));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if (exist != null)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return exist;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if (!BatchStatus.PASSED.contains(b.getStatus()))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throw new BusinessException("批次 " + b.getBatchNo() + " 质检合格后才能生成溯源码");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TraceCode c = new TraceCode();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c.setBatchId(batchId);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c.setScanCount(0);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c.setStatus(1);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do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c.setCode(randomCode());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} while (exists(new LambdaQueryWrapper&lt;TraceCode&gt;().eq(TraceCode::getCode, c.getCode())));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save(c);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return c;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/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private static String randomCode()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StringBuilder sb = new StringBuilder("T");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for (int i = 0; i &lt; 11; i++) {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sb.append(ALPHABET.charAt(RANDOM.nextInt(ALPHABET.length())));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return sb.toString();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12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（2）看板扫码趋势统计 SQL（DashboardMapper.java 节选）：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12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@Select("SELECT DATE_FORMAT(scanned_at, '%Y-%m-%d') AS day, COUNT(*) AS value FROM trace_scan_log " +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        "WHERE scanned_at &gt;= #{since} GROUP BY DATE_FORMAT(scanned_at, '%Y-%m-%d')")</w:t>
      </w:r>
    </w:p>
    <w:p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5F5F5"/>
        <w:spacing w:before="0" w:after="120" w:line="240" w:lineRule="auto"/>
        <w:ind w:left="120" w:right="120" w:firstLine="0"/>
        <w:jc w:val="left"/>
      </w:pPr>
      <w:r>
        <w:rPr>
          <w:rFonts w:ascii="Consolas" w:hAnsi="Consolas" w:eastAsia="宋体" w:cs="Consolas"/>
          <w:sz w:val="18"/>
          <w:szCs w:val="18"/>
        </w:rPr>
        <w:t xml:space="preserve">List&lt;Map&lt;String, Object&gt;&gt; scanTrend(@Param("since") LocalDateTime since);</w:t>
      </w:r>
    </w:p>
    <w:p>
      <w:pPr>
        <w:pStyle w:val="3"/>
        <w:spacing w:before="0" w:after="0" w:beforeLines="25" w:afterLines="25" w:line="360" w:lineRule="auto"/>
        <w:jc w:val="left"/>
      </w:pPr>
      <w:bookmarkStart w:id="147" w:name="_Toc90000147"/>
      <w:r>
        <w:rPr>
          <w:rFonts w:hint="eastAsia"/>
        </w:rPr>
        <w:t xml:space="preserve">附录2 部署说明与演示账号</w:t>
      </w:r>
      <w:bookmarkEnd w:id="147"/>
    </w:p>
    <w:p>
      <w:pPr>
        <w:pStyle w:val="19"/>
        <w:spacing w:before="0" w:after="0" w:line="360" w:lineRule="auto"/>
        <w:ind w:left="0" w:firstLine="480" w:firstLineChars="20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项目源码目录为 backend（后端）、frontend（前端）、sql（建表脚本与演示数据）、deploy（Nginx 与 systemd 配置）。推荐使用 Docker Compose 部署：复制 .env.example 为 .env 并修改数据库密码和 JWT 密钥，执行 docker compose up -d --build 即可启动 MySQL、后端和前端三个容器，浏览器访问服务器地址即可使用。手动部署时依次执行 sql/schema.sql 和 sql/data.sql 初始化数据库，用 mvn package 打包后端并以 java -jar 运行，用 npm run build 构建前端并由 Nginx 托管，详细步骤见项目根目录的 DEPLOY.md。</w:t>
      </w:r>
    </w:p>
    <w:p>
      <w:pPr>
        <w:keepNext/>
        <w:spacing w:before="60" w:after="120" w:line="300" w:lineRule="auto"/>
        <w:ind w:left="0" w:firstLine="0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表A-1 演示账号（初始密码均为 123456）</w:t>
      </w:r>
    </w:p>
    <w:tbl>
      <w:tblPr>
        <w:tblW w:w="8788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/>
      </w:tblPr>
      <w:tblGrid>
        <w:gridCol w:w="2259"/>
        <w:gridCol w:w="2008"/>
        <w:gridCol w:w="4521"/>
      </w:tblGrid>
      <w:tr>
        <w:trPr>
          <w:tblHeader/>
          <w:cantSplit/>
        </w:trPr>
        <w:tc>
          <w:tcPr>
            <w:tcW w:w="2259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账号</w:t>
            </w:r>
          </w:p>
        </w:tc>
        <w:tc>
          <w:tcPr>
            <w:tcW w:w="2008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w="4521" w:type="dxa"/>
            <w:shd w:val="clear" w:color="auto" w:fill="E7E6E6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admin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管理员</w:t>
            </w:r>
          </w:p>
        </w:tc>
        <w:tc>
          <w:tcPr>
            <w:tcW w:w="452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全部功能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farmer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生产者</w:t>
            </w:r>
          </w:p>
        </w:tc>
        <w:tc>
          <w:tcPr>
            <w:tcW w:w="452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基地、产品、批次、农事、生成溯源码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inspector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质检员</w:t>
            </w:r>
          </w:p>
        </w:tc>
        <w:tc>
          <w:tcPr>
            <w:tcW w:w="452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质量检测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logistics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物流员</w:t>
            </w:r>
          </w:p>
        </w:tc>
        <w:tc>
          <w:tcPr>
            <w:tcW w:w="452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物流运输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（无需登录）</w:t>
            </w:r>
          </w:p>
        </w:tc>
        <w:tc>
          <w:tcPr>
            <w:tcW w:w="2008" w:type="dxa"/>
            <w:vAlign w:val="center"/>
          </w:tcPr>
          <w:p>
            <w:pPr>
              <w:spacing w:before="20" w:after="20" w:line="280" w:lineRule="auto"/>
              <w:ind w:left="0"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消费者</w:t>
            </w:r>
          </w:p>
        </w:tc>
        <w:tc>
          <w:tcPr>
            <w:tcW w:w="4521" w:type="dxa"/>
            <w:vAlign w:val="center"/>
          </w:tcPr>
          <w:p>
            <w:pPr>
              <w:spacing w:before="20" w:after="20" w:line="280" w:lineRule="auto"/>
              <w:ind w:left="0"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访问 /trace，演示溯源码 T6QK8M3NXA2P</w:t>
            </w:r>
          </w:p>
        </w:tc>
      </w:tr>
    </w:tbl>
    <w:p>
      <w:pPr>
        <w:spacing w:before="0" w:after="0" w:line="240" w:lineRule="auto"/>
        <w:ind w:left="0" w:firstLine="0"/>
      </w:pPr>
    </w:p>
    <w:sectPr>
      <w:headerReference r:id="rId8" w:type="default"/>
      <w:pgSz w:w="11907" w:h="16840"/>
      <w:pgMar w:top="1418" w:right="1418" w:bottom="1418" w:left="1701" w:header="851" w:footer="992" w:gutter="0"/>
      <w:cols w:space="720" w:num="1"/>
      <w:docGrid w:linePitch="30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modern"/>
    <w:pitch w:val="default"/>
    <w:sig w:usb0="00000000" w:usb1="00000000" w:usb2="00000010" w:usb3="00000000" w:csb0="000401FF" w:csb1="00000000"/>
  </w:font>
  <w:font w:name="楷体_GB2312">
    <w:altName w:val="楷体"/>
    <w:panose1 w:val="00000000000000000000"/>
    <w:charset w:val="00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BFD22">
    <w:pPr>
      <w:pStyle w:val="1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82880">
    <w:pPr>
      <w:pStyle w:val="1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</w:t>
    </w:r>
    <w:r>
      <w:rPr>
        <w:lang w:val="zh-CN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53085">
    <w:pPr>
      <w:pStyle w:val="1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9</w:t>
    </w:r>
    <w:r>
      <w:rPr>
        <w:lang w:val="zh-CN"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56161">
    <w:pPr>
      <w:pStyle w:val="15"/>
      <w:jc w:val="both"/>
      <w:rPr>
        <w:rFonts w:hint="eastAsia"/>
      </w:rPr>
    </w:pPr>
    <w:r>
      <w:drawing>
        <wp:inline distT="0" distB="0" distL="114300" distR="114300">
          <wp:extent cx="2148840" cy="266700"/>
          <wp:effectExtent l="0" t="0" r="0" b="7620"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884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44"/>
      </w:rPr>
      <w:t xml:space="preserve">                </w:t>
    </w:r>
    <w:r>
      <w:rPr>
        <w:rFonts w:hint="eastAsia"/>
        <w:sz w:val="44"/>
        <w:lang w:val="en-US" w:eastAsia="zh-CN"/>
      </w:rPr>
      <w:t xml:space="preserve">    </w:t>
    </w:r>
    <w:r>
      <w:rPr>
        <w:rFonts w:hint="eastAsia"/>
        <w:sz w:val="44"/>
      </w:rPr>
      <w:t xml:space="preserve"> </w:t>
    </w:r>
    <w:r>
      <w:rPr>
        <w:rFonts w:hint="eastAsia"/>
        <w:sz w:val="21"/>
        <w:szCs w:val="21"/>
      </w:rPr>
      <w:t>目录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2C856">
    <w:pPr>
      <w:pStyle w:val="15"/>
      <w:jc w:val="both"/>
      <w:rPr>
        <w:rFonts w:hint="eastAsia"/>
        <w:sz w:val="21"/>
        <w:szCs w:val="21"/>
      </w:rPr>
    </w:pPr>
    <w:r>
      <w:drawing>
        <wp:inline distT="0" distB="0" distL="114300" distR="114300">
          <wp:extent cx="2148840" cy="266700"/>
          <wp:effectExtent l="0" t="0" r="0" b="7620"/>
          <wp:docPr id="1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884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</w:t>
    </w:r>
    <w:r>
      <w:rPr>
        <w:rFonts w:hint="eastAsia"/>
        <w:sz w:val="44"/>
      </w:rPr>
      <w:t xml:space="preserve">     </w:t>
    </w:r>
    <w:r>
      <w:rPr>
        <w:rFonts w:hint="eastAsia"/>
        <w:sz w:val="21"/>
        <w:szCs w:val="21"/>
      </w:rPr>
      <w:t xml:space="preserve">                          正文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C2600">
    <w:pPr>
      <w:pStyle w:val="15"/>
      <w:jc w:val="both"/>
    </w:pPr>
    <w:r>
      <w:drawing>
        <wp:inline distT="0" distB="0" distL="114300" distR="114300">
          <wp:extent cx="2148840" cy="266700"/>
          <wp:effectExtent l="0" t="0" r="0" b="7620"/>
          <wp:docPr id="1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884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44"/>
      </w:rPr>
      <w:t xml:space="preserve">              </w:t>
    </w:r>
    <w:r>
      <w:rPr>
        <w:rFonts w:hint="eastAsia"/>
        <w:sz w:val="44"/>
        <w:lang w:val="en-US" w:eastAsia="zh-CN"/>
      </w:rPr>
      <w:t xml:space="preserve">     </w:t>
    </w:r>
    <w:r>
      <w:rPr>
        <w:rFonts w:hint="eastAsia"/>
        <w:sz w:val="44"/>
      </w:rPr>
      <w:t xml:space="preserve">   </w:t>
    </w:r>
    <w:r>
      <w:rPr>
        <w:rFonts w:hint="eastAsia"/>
        <w:sz w:val="20"/>
        <w:szCs w:val="20"/>
      </w:rPr>
      <w:t>附录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305"/>
  <w:displayHorizontalDrawingGridEvery w:val="0"/>
  <w:characterSpacingControl w:val="compressPunctuation"/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ViY2JkMjU3NGYzZTEwMzZmMGFkZWViYmNkYWU3NDIifQ=="/>
  </w:docVars>
  <w:rsids>
    <w:rsidRoot w:val="004E4B03"/>
    <w:rsid w:val="000006CC"/>
    <w:rsid w:val="000326C8"/>
    <w:rsid w:val="00065A8C"/>
    <w:rsid w:val="00072484"/>
    <w:rsid w:val="000943C6"/>
    <w:rsid w:val="00131589"/>
    <w:rsid w:val="00170D34"/>
    <w:rsid w:val="001F2806"/>
    <w:rsid w:val="00201D11"/>
    <w:rsid w:val="00220244"/>
    <w:rsid w:val="002E7F18"/>
    <w:rsid w:val="002F30E5"/>
    <w:rsid w:val="00315688"/>
    <w:rsid w:val="003251EC"/>
    <w:rsid w:val="00343EFA"/>
    <w:rsid w:val="0035667F"/>
    <w:rsid w:val="00385E01"/>
    <w:rsid w:val="00455F3E"/>
    <w:rsid w:val="004961AD"/>
    <w:rsid w:val="004D19FB"/>
    <w:rsid w:val="004E4B03"/>
    <w:rsid w:val="0054003A"/>
    <w:rsid w:val="005A14ED"/>
    <w:rsid w:val="00611F21"/>
    <w:rsid w:val="006950F3"/>
    <w:rsid w:val="006A4862"/>
    <w:rsid w:val="00712DD4"/>
    <w:rsid w:val="00733DB3"/>
    <w:rsid w:val="00745720"/>
    <w:rsid w:val="00777B08"/>
    <w:rsid w:val="00806E4D"/>
    <w:rsid w:val="00814F49"/>
    <w:rsid w:val="00823924"/>
    <w:rsid w:val="00835BF0"/>
    <w:rsid w:val="00856F09"/>
    <w:rsid w:val="008C3372"/>
    <w:rsid w:val="008D2DF2"/>
    <w:rsid w:val="008E4854"/>
    <w:rsid w:val="009070A2"/>
    <w:rsid w:val="009A4AEC"/>
    <w:rsid w:val="00A133A4"/>
    <w:rsid w:val="00A13FF7"/>
    <w:rsid w:val="00A74785"/>
    <w:rsid w:val="00A76BB9"/>
    <w:rsid w:val="00A77179"/>
    <w:rsid w:val="00AB481C"/>
    <w:rsid w:val="00AB4DBE"/>
    <w:rsid w:val="00B8761C"/>
    <w:rsid w:val="00BA63F0"/>
    <w:rsid w:val="00BD0D3A"/>
    <w:rsid w:val="00C064BA"/>
    <w:rsid w:val="00C55B13"/>
    <w:rsid w:val="00CB38EA"/>
    <w:rsid w:val="00D140AA"/>
    <w:rsid w:val="00D171B8"/>
    <w:rsid w:val="00D85816"/>
    <w:rsid w:val="00DE26DC"/>
    <w:rsid w:val="00DF276E"/>
    <w:rsid w:val="00E5168C"/>
    <w:rsid w:val="00E65596"/>
    <w:rsid w:val="00ED1258"/>
    <w:rsid w:val="00EF0142"/>
    <w:rsid w:val="00F03D36"/>
    <w:rsid w:val="00F2538D"/>
    <w:rsid w:val="00F91A3E"/>
    <w:rsid w:val="088077DF"/>
    <w:rsid w:val="09F2455E"/>
    <w:rsid w:val="0B7E63EB"/>
    <w:rsid w:val="0BCF1192"/>
    <w:rsid w:val="0DFE6300"/>
    <w:rsid w:val="15B63161"/>
    <w:rsid w:val="1CB74FA6"/>
    <w:rsid w:val="2AFA4BEC"/>
    <w:rsid w:val="2FE01CCE"/>
    <w:rsid w:val="31654C04"/>
    <w:rsid w:val="37AC1E09"/>
    <w:rsid w:val="437A54AC"/>
    <w:rsid w:val="43C972E9"/>
    <w:rsid w:val="43FA78CD"/>
    <w:rsid w:val="44162F63"/>
    <w:rsid w:val="44734F4A"/>
    <w:rsid w:val="46F83D16"/>
    <w:rsid w:val="5EDF7ABC"/>
    <w:rsid w:val="60146312"/>
    <w:rsid w:val="6A8F4AE5"/>
    <w:rsid w:val="73CC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100" w:afterLines="50" w:line="360" w:lineRule="auto"/>
      <w:jc w:val="center"/>
      <w:outlineLvl w:val="0"/>
    </w:pPr>
    <w:rPr>
      <w:rFonts w:ascii="宋体" w:hAnsi="宋体" w:eastAsia="黑体"/>
      <w:b/>
      <w:bCs/>
      <w:kern w:val="44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00" w:lineRule="exact"/>
      <w:outlineLvl w:val="1"/>
    </w:pPr>
    <w:rPr>
      <w:rFonts w:ascii="黑体" w:hAnsi="黑体" w:eastAsia="黑体"/>
      <w:b/>
      <w:bCs/>
      <w:sz w:val="24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360" w:lineRule="auto"/>
      <w:outlineLvl w:val="2"/>
    </w:pPr>
    <w:rPr>
      <w:rFonts w:ascii="宋体" w:hAnsi="宋体"/>
      <w:b/>
      <w:bCs/>
      <w:sz w:val="24"/>
    </w:rPr>
  </w:style>
  <w:style w:type="character" w:default="1" w:styleId="24">
    <w:name w:val="Default Paragraph Font"/>
    <w:semiHidden/>
    <w:qFormat/>
    <w:uiPriority w:val="0"/>
  </w:style>
  <w:style w:type="table" w:default="1" w:styleId="2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semiHidden/>
    <w:qFormat/>
    <w:uiPriority w:val="0"/>
    <w:pPr>
      <w:ind w:left="1260"/>
      <w:jc w:val="left"/>
    </w:pPr>
    <w:rPr>
      <w:rFonts w:ascii="Calibri" w:hAnsi="Calibri"/>
      <w:sz w:val="18"/>
      <w:szCs w:val="18"/>
    </w:rPr>
  </w:style>
  <w:style w:type="paragraph" w:styleId="6">
    <w:name w:val="caption"/>
    <w:basedOn w:val="1"/>
    <w:next w:val="1"/>
    <w:semiHidden/>
    <w:unhideWhenUsed/>
    <w:qFormat/>
    <w:uiPriority w:val="0"/>
    <w:rPr>
      <w:rFonts w:ascii="Cambria" w:hAnsi="Cambria" w:eastAsia="黑体"/>
      <w:sz w:val="20"/>
      <w:szCs w:val="20"/>
    </w:r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Body Text"/>
    <w:basedOn w:val="1"/>
    <w:qFormat/>
    <w:uiPriority w:val="0"/>
    <w:pPr>
      <w:spacing w:line="360" w:lineRule="auto"/>
    </w:pPr>
    <w:rPr>
      <w:sz w:val="24"/>
    </w:rPr>
  </w:style>
  <w:style w:type="paragraph" w:styleId="9">
    <w:name w:val="Body Text Indent"/>
    <w:basedOn w:val="1"/>
    <w:qFormat/>
    <w:uiPriority w:val="0"/>
    <w:pPr>
      <w:spacing w:after="120"/>
      <w:ind w:left="420" w:leftChars="200"/>
    </w:pPr>
  </w:style>
  <w:style w:type="paragraph" w:styleId="10">
    <w:name w:val="toc 5"/>
    <w:basedOn w:val="1"/>
    <w:next w:val="1"/>
    <w:semiHidden/>
    <w:qFormat/>
    <w:uiPriority w:val="0"/>
    <w:pPr>
      <w:ind w:left="840"/>
      <w:jc w:val="left"/>
    </w:pPr>
    <w:rPr>
      <w:rFonts w:ascii="Calibri" w:hAnsi="Calibri"/>
      <w:sz w:val="18"/>
      <w:szCs w:val="18"/>
    </w:rPr>
  </w:style>
  <w:style w:type="paragraph" w:styleId="11">
    <w:name w:val="toc 3"/>
    <w:basedOn w:val="1"/>
    <w:next w:val="1"/>
    <w:qFormat/>
    <w:uiPriority w:val="39"/>
    <w:pPr>
      <w:ind w:left="420"/>
      <w:jc w:val="left"/>
    </w:pPr>
    <w:rPr>
      <w:rFonts w:ascii="Calibri" w:hAnsi="Calibri"/>
      <w:i/>
      <w:iCs/>
      <w:sz w:val="20"/>
      <w:szCs w:val="20"/>
    </w:rPr>
  </w:style>
  <w:style w:type="paragraph" w:styleId="12">
    <w:name w:val="toc 8"/>
    <w:basedOn w:val="1"/>
    <w:next w:val="1"/>
    <w:semiHidden/>
    <w:qFormat/>
    <w:uiPriority w:val="0"/>
    <w:pPr>
      <w:ind w:left="1470"/>
      <w:jc w:val="left"/>
    </w:pPr>
    <w:rPr>
      <w:rFonts w:ascii="Calibri" w:hAnsi="Calibri"/>
      <w:sz w:val="18"/>
      <w:szCs w:val="18"/>
    </w:rPr>
  </w:style>
  <w:style w:type="paragraph" w:styleId="13">
    <w:name w:val="Body Text Indent 2"/>
    <w:basedOn w:val="1"/>
    <w:qFormat/>
    <w:uiPriority w:val="0"/>
    <w:pPr>
      <w:spacing w:line="400" w:lineRule="exact"/>
      <w:ind w:left="648" w:leftChars="200" w:hanging="228" w:hangingChars="95"/>
    </w:pPr>
    <w:rPr>
      <w:sz w:val="24"/>
    </w:rPr>
  </w:style>
  <w:style w:type="paragraph" w:styleId="14">
    <w:name w:val="footer"/>
    <w:basedOn w:val="1"/>
    <w:link w:val="2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39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17">
    <w:name w:val="toc 4"/>
    <w:basedOn w:val="1"/>
    <w:next w:val="1"/>
    <w:semiHidden/>
    <w:qFormat/>
    <w:uiPriority w:val="0"/>
    <w:pPr>
      <w:ind w:left="630"/>
      <w:jc w:val="left"/>
    </w:pPr>
    <w:rPr>
      <w:rFonts w:ascii="Calibri" w:hAnsi="Calibri"/>
      <w:sz w:val="18"/>
      <w:szCs w:val="18"/>
    </w:rPr>
  </w:style>
  <w:style w:type="paragraph" w:styleId="18">
    <w:name w:val="toc 6"/>
    <w:basedOn w:val="1"/>
    <w:next w:val="1"/>
    <w:semiHidden/>
    <w:qFormat/>
    <w:uiPriority w:val="0"/>
    <w:pPr>
      <w:ind w:left="1050"/>
      <w:jc w:val="left"/>
    </w:pPr>
    <w:rPr>
      <w:rFonts w:ascii="Calibri" w:hAnsi="Calibri"/>
      <w:sz w:val="18"/>
      <w:szCs w:val="18"/>
    </w:rPr>
  </w:style>
  <w:style w:type="paragraph" w:styleId="19">
    <w:name w:val="Body Text Indent 3"/>
    <w:basedOn w:val="1"/>
    <w:qFormat/>
    <w:uiPriority w:val="0"/>
    <w:pPr>
      <w:tabs>
        <w:tab w:val="left" w:pos="1260"/>
        <w:tab w:val="left" w:pos="1440"/>
        <w:tab w:val="left" w:pos="6480"/>
      </w:tabs>
      <w:ind w:left="420"/>
    </w:pPr>
    <w:rPr>
      <w:rFonts w:ascii="宋体" w:hAnsi="宋体"/>
      <w:sz w:val="24"/>
    </w:rPr>
  </w:style>
  <w:style w:type="paragraph" w:styleId="20">
    <w:name w:val="toc 2"/>
    <w:basedOn w:val="1"/>
    <w:next w:val="1"/>
    <w:qFormat/>
    <w:uiPriority w:val="39"/>
    <w:pPr>
      <w:ind w:left="210"/>
      <w:jc w:val="left"/>
    </w:pPr>
    <w:rPr>
      <w:rFonts w:ascii="Calibri" w:hAnsi="Calibri"/>
      <w:smallCaps/>
      <w:sz w:val="20"/>
      <w:szCs w:val="20"/>
    </w:rPr>
  </w:style>
  <w:style w:type="paragraph" w:styleId="21">
    <w:name w:val="toc 9"/>
    <w:basedOn w:val="1"/>
    <w:next w:val="1"/>
    <w:semiHidden/>
    <w:qFormat/>
    <w:uiPriority w:val="0"/>
    <w:pPr>
      <w:ind w:left="1680"/>
      <w:jc w:val="left"/>
    </w:pPr>
    <w:rPr>
      <w:rFonts w:ascii="Calibri" w:hAnsi="Calibri"/>
      <w:sz w:val="18"/>
      <w:szCs w:val="18"/>
    </w:rPr>
  </w:style>
  <w:style w:type="paragraph" w:styleId="22">
    <w:name w:val="Title"/>
    <w:basedOn w:val="1"/>
    <w:next w:val="1"/>
    <w:link w:val="29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25">
    <w:name w:val="page number"/>
    <w:basedOn w:val="24"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customStyle="1" w:styleId="27">
    <w:name w:val="访问过的超链接"/>
    <w:qFormat/>
    <w:uiPriority w:val="0"/>
    <w:rPr>
      <w:color w:val="800080"/>
      <w:u w:val="single"/>
    </w:rPr>
  </w:style>
  <w:style w:type="character" w:customStyle="1" w:styleId="28">
    <w:name w:val="页脚 Char"/>
    <w:link w:val="14"/>
    <w:qFormat/>
    <w:uiPriority w:val="99"/>
    <w:rPr>
      <w:kern w:val="2"/>
      <w:sz w:val="18"/>
      <w:szCs w:val="18"/>
    </w:rPr>
  </w:style>
  <w:style w:type="character" w:customStyle="1" w:styleId="29">
    <w:name w:val="标题 Char"/>
    <w:link w:val="22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30">
    <w:name w:val="分类号"/>
    <w:basedOn w:val="1"/>
    <w:qFormat/>
    <w:uiPriority w:val="0"/>
    <w:rPr>
      <w:rFonts w:ascii="仿宋_GB2312" w:eastAsia="仿宋_GB2312"/>
      <w:sz w:val="28"/>
      <w:szCs w:val="28"/>
    </w:rPr>
  </w:style>
  <w:style w:type="paragraph" w:customStyle="1" w:styleId="31">
    <w:name w:val="硕士学位论文"/>
    <w:basedOn w:val="1"/>
    <w:qFormat/>
    <w:uiPriority w:val="0"/>
    <w:pPr>
      <w:spacing w:before="240"/>
      <w:jc w:val="center"/>
    </w:pPr>
    <w:rPr>
      <w:sz w:val="44"/>
      <w:szCs w:val="44"/>
    </w:rPr>
  </w:style>
  <w:style w:type="paragraph" w:customStyle="1" w:styleId="32">
    <w:name w:val="论文标题"/>
    <w:basedOn w:val="1"/>
    <w:qFormat/>
    <w:uiPriority w:val="0"/>
    <w:pPr>
      <w:jc w:val="center"/>
    </w:pPr>
    <w:rPr>
      <w:rFonts w:eastAsia="楷体_GB2312"/>
      <w:b/>
      <w:kern w:val="36"/>
      <w:sz w:val="52"/>
      <w:szCs w:val="52"/>
    </w:rPr>
  </w:style>
  <w:style w:type="paragraph" w:customStyle="1" w:styleId="33">
    <w:name w:val="研究生姓名"/>
    <w:basedOn w:val="1"/>
    <w:qFormat/>
    <w:uiPriority w:val="0"/>
    <w:pPr>
      <w:ind w:firstLine="700" w:firstLineChars="700"/>
    </w:pPr>
    <w:rPr>
      <w:sz w:val="28"/>
      <w:szCs w:val="28"/>
    </w:rPr>
  </w:style>
  <w:style w:type="paragraph" w:customStyle="1" w:styleId="34">
    <w:name w:val="封面日期"/>
    <w:basedOn w:val="1"/>
    <w:qFormat/>
    <w:uiPriority w:val="0"/>
    <w:pPr>
      <w:jc w:val="center"/>
    </w:pPr>
    <w:rPr>
      <w:rFonts w:ascii="黑体" w:eastAsia="黑体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Relationship Id="rIdRpt1" Type="http://schemas.openxmlformats.org/officeDocument/2006/relationships/image" Target="media/rpt1.png"/><Relationship Id="rIdRpt2" Type="http://schemas.openxmlformats.org/officeDocument/2006/relationships/image" Target="media/rpt2.png"/><Relationship Id="rIdRpt3" Type="http://schemas.openxmlformats.org/officeDocument/2006/relationships/image" Target="media/rpt3.png"/><Relationship Id="rIdRpt4" Type="http://schemas.openxmlformats.org/officeDocument/2006/relationships/image" Target="media/rpt4.png"/><Relationship Id="rIdRpt5" Type="http://schemas.openxmlformats.org/officeDocument/2006/relationships/image" Target="media/rpt5.png"/><Relationship Id="rIdRpt6" Type="http://schemas.openxmlformats.org/officeDocument/2006/relationships/image" Target="media/rpt6.png"/><Relationship Id="rIdRpt7" Type="http://schemas.openxmlformats.org/officeDocument/2006/relationships/image" Target="media/rpt7.png"/><Relationship Id="rIdRpt8" Type="http://schemas.openxmlformats.org/officeDocument/2006/relationships/image" Target="media/rpt8.png"/><Relationship Id="rIdRpt9" Type="http://schemas.openxmlformats.org/officeDocument/2006/relationships/image" Target="media/rpt9.png"/><Relationship Id="rIdRpt10" Type="http://schemas.openxmlformats.org/officeDocument/2006/relationships/image" Target="media/rpt10.png"/><Relationship Id="rIdRpt11" Type="http://schemas.openxmlformats.org/officeDocument/2006/relationships/image" Target="media/rpt11.png"/><Relationship Id="rIdRpt12" Type="http://schemas.openxmlformats.org/officeDocument/2006/relationships/image" Target="media/rpt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BA7030-784C-6B49-84E8-35CA7A7096D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cqu</Company>
  <Pages>11</Pages>
  <Words>418</Words>
  <Characters>489</Characters>
  <Lines>14</Lines>
  <Paragraphs>4</Paragraphs>
  <TotalTime>1</TotalTime>
  <ScaleCrop>false</ScaleCrop>
  <LinksUpToDate>false</LinksUpToDate>
  <CharactersWithSpaces>807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2021-09-06T00:34:00Z</dcterms:created>
  <dc:creator>Joliver</dc:creator>
  <cp:lastModifiedBy>翊晓萱</cp:lastModifiedBy>
  <cp:lastPrinted>2005-06-23T03:58:00Z</cp:lastPrinted>
  <dcterms:modified xsi:type="dcterms:W3CDTF">2026-09-15T12:06:32Z</dcterms:modified>
  <dc:title>设 计 任 务 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24D35E1FC7F34339A390EEC35A38E46D</vt:lpwstr>
  </property>
  <property fmtid="{D5CDD505-2E9C-101B-9397-08002B2CF9AE}" pid="4" name="KSOTemplateDocerSaveRecord">
    <vt:lpwstr>eyJoZGlkIjoiMzEwNTM5NzYwMDRjMzkwZTVkZjY2ODkwMGIxNGU0OTUiLCJ1c2VySWQiOiIyNzMyNzM1ODYifQ==</vt:lpwstr>
  </property>
</Properties>
</file>