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黑体"/>
          <w:b/>
          <w:color w:val="000000"/>
          <w:sz w:val="36"/>
        </w:rPr>
        <w:t>产业链风控系统</w:t>
      </w:r>
    </w:p>
    <w:p>
      <w:pPr>
        <w:spacing w:after="120"/>
        <w:jc w:val="center"/>
      </w:pPr>
      <w:r>
        <w:rPr>
          <w:rFonts w:ascii="Times New Roman" w:hAnsi="Times New Roman" w:eastAsia="黑体"/>
          <w:b/>
          <w:color w:val="000000"/>
          <w:sz w:val="28"/>
        </w:rPr>
        <w:t>2D 先行 + 3D 迭代 · 完整规格文档</w:t>
      </w:r>
    </w:p>
    <w:p>
      <w:pPr>
        <w:ind w:firstLineChars="0" w:firstLine="0"/>
      </w:pPr>
      <w:r>
        <w:rPr>
          <w:rFonts w:ascii="Times New Roman" w:hAnsi="Times New Roman" w:eastAsia="宋体"/>
          <w:b/>
          <w:color w:val="000000"/>
          <w:sz w:val="24"/>
        </w:rPr>
        <w:t>版本：</w:t>
      </w:r>
      <w:r>
        <w:rPr>
          <w:rFonts w:ascii="Times New Roman" w:hAnsi="Times New Roman" w:eastAsia="宋体"/>
          <w:b w:val="0"/>
          <w:color w:val="000000"/>
          <w:sz w:val="24"/>
        </w:rPr>
        <w:t>v3.0（简约现代 UI · 2D 先行 · 3D 迭代）</w:t>
      </w:r>
    </w:p>
    <w:p>
      <w:pPr>
        <w:ind w:firstLineChars="0" w:firstLine="0"/>
      </w:pPr>
      <w:r>
        <w:rPr>
          <w:rFonts w:ascii="Times New Roman" w:hAnsi="Times New Roman" w:eastAsia="宋体"/>
          <w:b/>
          <w:color w:val="000000"/>
          <w:sz w:val="24"/>
        </w:rPr>
        <w:t>定位：</w:t>
      </w:r>
      <w:r>
        <w:rPr>
          <w:rFonts w:ascii="Times New Roman" w:hAnsi="Times New Roman" w:eastAsia="宋体"/>
          <w:b w:val="0"/>
          <w:color w:val="000000"/>
          <w:sz w:val="24"/>
        </w:rPr>
        <w:t>课程核心作品，规则驱动 + 模糊推理 + D-S 证据理论的产业链风险推演与辅助决策工作台</w:t>
      </w:r>
    </w:p>
    <w:p>
      <w:pPr>
        <w:ind w:firstLineChars="0" w:firstLine="0"/>
      </w:pPr>
      <w:r>
        <w:rPr>
          <w:rFonts w:ascii="Times New Roman" w:hAnsi="Times New Roman" w:eastAsia="宋体"/>
          <w:b/>
          <w:color w:val="000000"/>
          <w:sz w:val="24"/>
        </w:rPr>
        <w:t>开发策略：</w:t>
      </w:r>
      <w:r>
        <w:rPr>
          <w:rFonts w:ascii="Times New Roman" w:hAnsi="Times New Roman" w:eastAsia="宋体"/>
          <w:b w:val="0"/>
          <w:color w:val="000000"/>
          <w:sz w:val="24"/>
        </w:rPr>
        <w:t>先完成 2D 全功能闭环并留证，再迭代 3D 分层沙盘</w:t>
      </w:r>
    </w:p>
    <w:p>
      <w:pPr>
        <w:ind w:firstLineChars="0" w:firstLine="0"/>
      </w:pPr>
      <w:r>
        <w:rPr>
          <w:rFonts w:ascii="Times New Roman" w:hAnsi="Times New Roman" w:eastAsia="宋体"/>
          <w:b/>
          <w:color w:val="000000"/>
          <w:sz w:val="24"/>
        </w:rPr>
        <w:t>UI 原则：</w:t>
      </w:r>
      <w:r>
        <w:rPr>
          <w:rFonts w:ascii="Times New Roman" w:hAnsi="Times New Roman" w:eastAsia="宋体"/>
          <w:b w:val="0"/>
          <w:color w:val="000000"/>
          <w:sz w:val="24"/>
        </w:rPr>
        <w:t>简约、现代、高识别；放弃水墨风格；建模区黑色背景；企业色固定 #82C9E0</w:t>
      </w:r>
    </w:p>
    <w:p>
      <w:pPr>
        <w:pStyle w:val="Heading1"/>
      </w:pPr>
      <w:r>
        <w:rPr>
          <w:rFonts w:ascii="Times New Roman" w:hAnsi="Times New Roman" w:eastAsia="黑体"/>
          <w:b/>
          <w:color w:val="000000"/>
          <w:sz w:val="32"/>
        </w:rPr>
        <w:t>一、总体架构与开发策略</w:t>
      </w:r>
    </w:p>
    <w:p>
      <w:pPr>
        <w:pStyle w:val="Heading2"/>
      </w:pPr>
      <w:r>
        <w:rPr>
          <w:rFonts w:ascii="Times New Roman" w:hAnsi="Times New Roman" w:eastAsia="黑体"/>
          <w:b/>
          <w:color w:val="000000"/>
          <w:sz w:val="28"/>
        </w:rPr>
        <w:t>1.1 分层架构（2D/3D 共用非渲染层）</w:t>
      </w:r>
    </w:p>
    <w:p>
      <w:pPr>
        <w:spacing w:line="240" w:lineRule="auto" w:before="80" w:after="120"/>
        <w:ind w:firstLineChars="0" w:firstLine="0" w:left="180"/>
        <w:shd w:val="clear" w:fill="F5F5F5"/>
      </w:pPr>
      <w:r>
        <w:rPr>
          <w:rFonts w:ascii="Consolas" w:hAnsi="Consolas"/>
          <w:rFonts w:ascii="Consolas" w:hAnsi="Consolas" w:eastAsia="Consolas"/>
          <w:sz w:val="18"/>
        </w:rPr>
        <w:t>┌─────────────────────────────────────┐</w:t>
        <w:br/>
      </w:r>
      <w:r>
        <w:rPr>
          <w:rFonts w:ascii="Consolas" w:hAnsi="Consolas"/>
          <w:rFonts w:ascii="Consolas" w:hAnsi="Consolas" w:eastAsia="Consolas"/>
          <w:sz w:val="18"/>
        </w:rPr>
        <w:t>│  UI 层（左右功能区、面板、图例、控件）  │  ← 2D/3D 共用</w:t>
        <w:br/>
      </w:r>
      <w:r>
        <w:rPr>
          <w:rFonts w:ascii="Consolas" w:hAnsi="Consolas"/>
          <w:rFonts w:ascii="Consolas" w:hAnsi="Consolas" w:eastAsia="Consolas"/>
          <w:sz w:val="18"/>
        </w:rPr>
        <w:t>├─────────────────────────────────────┤</w:t>
        <w:br/>
      </w:r>
      <w:r>
        <w:rPr>
          <w:rFonts w:ascii="Consolas" w:hAnsi="Consolas"/>
          <w:rFonts w:ascii="Consolas" w:hAnsi="Consolas" w:eastAsia="Consolas"/>
          <w:sz w:val="18"/>
        </w:rPr>
        <w:t>│  交互层（聚焦/筛选/反选/图层/工作区）  │  ← 2D/3D 共用逻辑</w:t>
        <w:br/>
      </w:r>
      <w:r>
        <w:rPr>
          <w:rFonts w:ascii="Consolas" w:hAnsi="Consolas"/>
          <w:rFonts w:ascii="Consolas" w:hAnsi="Consolas" w:eastAsia="Consolas"/>
          <w:sz w:val="18"/>
        </w:rPr>
        <w:t>├─────────────────────────────────────┤</w:t>
        <w:br/>
      </w:r>
      <w:r>
        <w:rPr>
          <w:rFonts w:ascii="Consolas" w:hAnsi="Consolas"/>
          <w:rFonts w:ascii="Consolas" w:hAnsi="Consolas" w:eastAsia="Consolas"/>
          <w:sz w:val="18"/>
        </w:rPr>
        <w:t>│  推演层（关联值/模糊推理/D-S/路径）    │  ← 纯函数，完全复用</w:t>
        <w:br/>
      </w:r>
      <w:r>
        <w:rPr>
          <w:rFonts w:ascii="Consolas" w:hAnsi="Consolas"/>
          <w:rFonts w:ascii="Consolas" w:hAnsi="Consolas" w:eastAsia="Consolas"/>
          <w:sz w:val="18"/>
        </w:rPr>
        <w:t>├─────────────────────────────────────┤</w:t>
        <w:br/>
      </w:r>
      <w:r>
        <w:rPr>
          <w:rFonts w:ascii="Consolas" w:hAnsi="Consolas"/>
          <w:rFonts w:ascii="Consolas" w:hAnsi="Consolas" w:eastAsia="Consolas"/>
          <w:sz w:val="18"/>
        </w:rPr>
        <w:t>│  图模型层（企业/关系/同控/担保环）     │  ← 完全复用</w:t>
        <w:br/>
      </w:r>
      <w:r>
        <w:rPr>
          <w:rFonts w:ascii="Consolas" w:hAnsi="Consolas"/>
          <w:rFonts w:ascii="Consolas" w:hAnsi="Consolas" w:eastAsia="Consolas"/>
          <w:sz w:val="18"/>
        </w:rPr>
        <w:t>├─────────────────────────────────────┤</w:t>
        <w:br/>
      </w:r>
      <w:r>
        <w:rPr>
          <w:rFonts w:ascii="Consolas" w:hAnsi="Consolas"/>
          <w:rFonts w:ascii="Consolas" w:hAnsi="Consolas" w:eastAsia="Consolas"/>
          <w:sz w:val="18"/>
        </w:rPr>
        <w:t>│  数据层（Excel 导入/校验/示例数据）    │  ← 完全复用</w:t>
        <w:br/>
      </w:r>
      <w:r>
        <w:rPr>
          <w:rFonts w:ascii="Consolas" w:hAnsi="Consolas"/>
          <w:rFonts w:ascii="Consolas" w:hAnsi="Consolas" w:eastAsia="Consolas"/>
          <w:sz w:val="18"/>
        </w:rPr>
        <w:t>├─────────────────────────────────────┤</w:t>
        <w:br/>
      </w:r>
      <w:r>
        <w:rPr>
          <w:rFonts w:ascii="Consolas" w:hAnsi="Consolas"/>
          <w:rFonts w:ascii="Consolas" w:hAnsi="Consolas" w:eastAsia="Consolas"/>
          <w:sz w:val="18"/>
        </w:rPr>
        <w:t>│  渲染层（可替换）                     │  ← 2D: ECharts Graph / 3D: Three.js</w:t>
        <w:br/>
      </w:r>
      <w:r>
        <w:rPr>
          <w:rFonts w:ascii="Consolas" w:hAnsi="Consolas"/>
          <w:rFonts w:ascii="Consolas" w:hAnsi="Consolas" w:eastAsia="Consolas"/>
          <w:sz w:val="18"/>
        </w:rPr>
        <w:t>└─────────────────────────────────────┘</w:t>
      </w:r>
    </w:p>
    <w:p>
      <w:pPr>
        <w:pStyle w:val="ListBullet"/>
      </w:pPr>
      <w:r>
        <w:rPr>
          <w:rFonts w:ascii="Times New Roman" w:hAnsi="Times New Roman" w:eastAsia="宋体"/>
          <w:b w:val="0"/>
          <w:color w:val="000000"/>
          <w:sz w:val="24"/>
        </w:rPr>
        <w:t>推演层不得 import 任何渲染库。</w:t>
      </w:r>
    </w:p>
    <w:p>
      <w:pPr>
        <w:pStyle w:val="ListBullet"/>
      </w:pPr>
      <w:r>
        <w:rPr>
          <w:rFonts w:ascii="Times New Roman" w:hAnsi="Times New Roman" w:eastAsia="宋体"/>
          <w:b w:val="0"/>
          <w:color w:val="000000"/>
          <w:sz w:val="24"/>
        </w:rPr>
        <w:t>渲染层只消费标准 RenderModel，不直接读原始数据。</w:t>
      </w:r>
    </w:p>
    <w:p>
      <w:pPr>
        <w:pStyle w:val="ListBullet"/>
      </w:pPr>
      <w:r>
        <w:rPr>
          <w:rFonts w:ascii="Times New Roman" w:hAnsi="Times New Roman" w:eastAsia="宋体"/>
          <w:b w:val="0"/>
          <w:color w:val="000000"/>
          <w:sz w:val="24"/>
        </w:rPr>
        <w:t>2D 与 3D 共用同一套 RenderModel、图例语义、风险色阶、交互逻辑。</w:t>
      </w:r>
    </w:p>
    <w:p>
      <w:pPr>
        <w:pStyle w:val="Heading2"/>
      </w:pPr>
      <w:r>
        <w:rPr>
          <w:rFonts w:ascii="Times New Roman" w:hAnsi="Times New Roman" w:eastAsia="黑体"/>
          <w:b/>
          <w:color w:val="000000"/>
          <w:sz w:val="28"/>
        </w:rPr>
        <w:t>1.2 开发阶段</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rPr>
          <w:tblHeader w:val="true"/>
        </w:trPr>
        <w:tc>
          <w:tcPr>
            <w:tcW w:type="dxa" w:w="3024"/>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阶段</w:t>
            </w:r>
          </w:p>
        </w:tc>
        <w:tc>
          <w:tcPr>
            <w:tcW w:type="dxa" w:w="3024"/>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目标</w:t>
            </w:r>
          </w:p>
        </w:tc>
        <w:tc>
          <w:tcPr>
            <w:tcW w:type="dxa" w:w="3024"/>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产出</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阶段一：2D 全功能闭环</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数据导入 → 图构建 → 推演 → 2D 可视化 → 交互 → 结果输出，全链路跑通</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可演示的 2D 系统 + 多重关系重叠痛点截图</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阶段二：3D 迭代</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替换渲染器与布局，增加 Z 轴分层、GLB 模型、底座色环</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3D 沙盘 + 2D 俯视图切换</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阶段三：增强</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模糊推理、D-S 融合、反选、报告导出</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完整答辩版本</w:t>
            </w:r>
          </w:p>
        </w:tc>
      </w:tr>
    </w:tbl>
    <w:p>
      <w:pPr>
        <w:spacing w:after="120" w:line="240" w:lineRule="auto"/>
      </w:pPr>
    </w:p>
    <w:p>
      <w:pPr>
        <w:pStyle w:val="Heading2"/>
      </w:pPr>
      <w:r>
        <w:rPr>
          <w:rFonts w:ascii="Times New Roman" w:hAnsi="Times New Roman" w:eastAsia="黑体"/>
          <w:b/>
          <w:color w:val="000000"/>
          <w:sz w:val="28"/>
        </w:rPr>
        <w:t>1.3 RenderModel 标准结构</w:t>
      </w:r>
    </w:p>
    <w:p>
      <w:pPr>
        <w:spacing w:line="240" w:lineRule="auto" w:before="80" w:after="120"/>
        <w:ind w:firstLineChars="0" w:firstLine="0" w:left="180"/>
        <w:shd w:val="clear" w:fill="F5F5F5"/>
      </w:pPr>
      <w:r>
        <w:rPr>
          <w:rFonts w:ascii="Consolas" w:hAnsi="Consolas"/>
          <w:rFonts w:ascii="Consolas" w:hAnsi="Consolas" w:eastAsia="Consolas"/>
          <w:sz w:val="18"/>
        </w:rPr>
        <w:t>interface RenderModel {</w:t>
        <w:br/>
      </w:r>
      <w:r>
        <w:rPr>
          <w:rFonts w:ascii="Consolas" w:hAnsi="Consolas"/>
          <w:rFonts w:ascii="Consolas" w:hAnsi="Consolas" w:eastAsia="Consolas"/>
          <w:sz w:val="18"/>
        </w:rPr>
        <w:t xml:space="preserve">  nodes: {</w:t>
        <w:br/>
      </w:r>
      <w:r>
        <w:rPr>
          <w:rFonts w:ascii="Consolas" w:hAnsi="Consolas"/>
          <w:rFonts w:ascii="Consolas" w:hAnsi="Consolas" w:eastAsia="Consolas"/>
          <w:sz w:val="18"/>
        </w:rPr>
        <w:t xml:space="preserve">    id: string;</w:t>
        <w:br/>
      </w:r>
      <w:r>
        <w:rPr>
          <w:rFonts w:ascii="Consolas" w:hAnsi="Consolas"/>
          <w:rFonts w:ascii="Consolas" w:hAnsi="Consolas" w:eastAsia="Consolas"/>
          <w:sz w:val="18"/>
        </w:rPr>
        <w:t xml:space="preserve">    name: string;</w:t>
        <w:br/>
      </w:r>
      <w:r>
        <w:rPr>
          <w:rFonts w:ascii="Consolas" w:hAnsi="Consolas"/>
          <w:rFonts w:ascii="Consolas" w:hAnsi="Consolas" w:eastAsia="Consolas"/>
          <w:sz w:val="18"/>
        </w:rPr>
        <w:t xml:space="preserve">    type: EnterpriseType;       // raw_material | warehouse | workshop | trading | service | finance</w:t>
        <w:br/>
      </w:r>
      <w:r>
        <w:rPr>
          <w:rFonts w:ascii="Consolas" w:hAnsi="Consolas"/>
          <w:rFonts w:ascii="Consolas" w:hAnsi="Consolas" w:eastAsia="Consolas"/>
          <w:sz w:val="18"/>
        </w:rPr>
        <w:t xml:space="preserve">    impact: number;             // 0~1，最终冲击分值（默认 Pl）</w:t>
        <w:br/>
      </w:r>
      <w:r>
        <w:rPr>
          <w:rFonts w:ascii="Consolas" w:hAnsi="Consolas"/>
          <w:rFonts w:ascii="Consolas" w:hAnsi="Consolas" w:eastAsia="Consolas"/>
          <w:sz w:val="18"/>
        </w:rPr>
        <w:t xml:space="preserve">    level: RiskLevel;           // none | low | medium | high | source</w:t>
        <w:br/>
      </w:r>
      <w:r>
        <w:rPr>
          <w:rFonts w:ascii="Consolas" w:hAnsi="Consolas"/>
          <w:rFonts w:ascii="Consolas" w:hAnsi="Consolas" w:eastAsia="Consolas"/>
          <w:sz w:val="18"/>
        </w:rPr>
        <w:t xml:space="preserve">    controllerGroup?: string;   // 同控分组 ID</w:t>
        <w:br/>
      </w:r>
      <w:r>
        <w:rPr>
          <w:rFonts w:ascii="Consolas" w:hAnsi="Consolas"/>
          <w:rFonts w:ascii="Consolas" w:hAnsi="Consolas" w:eastAsia="Consolas"/>
          <w:sz w:val="18"/>
        </w:rPr>
        <w:t xml:space="preserve">    dimmed: boolean;</w:t>
        <w:br/>
      </w:r>
      <w:r>
        <w:rPr>
          <w:rFonts w:ascii="Consolas" w:hAnsi="Consolas"/>
          <w:rFonts w:ascii="Consolas" w:hAnsi="Consolas" w:eastAsia="Consolas"/>
          <w:sz w:val="18"/>
        </w:rPr>
        <w:t xml:space="preserve">    highlighted: boolean;</w:t>
        <w:br/>
      </w:r>
      <w:r>
        <w:rPr>
          <w:rFonts w:ascii="Consolas" w:hAnsi="Consolas"/>
          <w:rFonts w:ascii="Consolas" w:hAnsi="Consolas" w:eastAsia="Consolas"/>
          <w:sz w:val="18"/>
        </w:rPr>
        <w:t xml:space="preserve">  }[];</w:t>
        <w:br/>
      </w:r>
      <w:r>
        <w:rPr>
          <w:rFonts w:ascii="Consolas" w:hAnsi="Consolas"/>
          <w:rFonts w:ascii="Consolas" w:hAnsi="Consolas" w:eastAsia="Consolas"/>
          <w:sz w:val="18"/>
        </w:rPr>
        <w:t xml:space="preserve">  edges: {</w:t>
        <w:br/>
      </w:r>
      <w:r>
        <w:rPr>
          <w:rFonts w:ascii="Consolas" w:hAnsi="Consolas"/>
          <w:rFonts w:ascii="Consolas" w:hAnsi="Consolas" w:eastAsia="Consolas"/>
          <w:sz w:val="18"/>
        </w:rPr>
        <w:t xml:space="preserve">    id: string;</w:t>
        <w:br/>
      </w:r>
      <w:r>
        <w:rPr>
          <w:rFonts w:ascii="Consolas" w:hAnsi="Consolas"/>
          <w:rFonts w:ascii="Consolas" w:hAnsi="Consolas" w:eastAsia="Consolas"/>
          <w:sz w:val="18"/>
        </w:rPr>
        <w:t xml:space="preserve">    from: string;</w:t>
        <w:br/>
      </w:r>
      <w:r>
        <w:rPr>
          <w:rFonts w:ascii="Consolas" w:hAnsi="Consolas"/>
          <w:rFonts w:ascii="Consolas" w:hAnsi="Consolas" w:eastAsia="Consolas"/>
          <w:sz w:val="18"/>
        </w:rPr>
        <w:t xml:space="preserve">    to: string;</w:t>
        <w:br/>
      </w:r>
      <w:r>
        <w:rPr>
          <w:rFonts w:ascii="Consolas" w:hAnsi="Consolas"/>
          <w:rFonts w:ascii="Consolas" w:hAnsi="Consolas" w:eastAsia="Consolas"/>
          <w:sz w:val="18"/>
        </w:rPr>
        <w:t xml:space="preserve">    category: RelationCategory; // material | capital | tech | guarantee | common_control</w:t>
        <w:br/>
      </w:r>
      <w:r>
        <w:rPr>
          <w:rFonts w:ascii="Consolas" w:hAnsi="Consolas"/>
          <w:rFonts w:ascii="Consolas" w:hAnsi="Consolas" w:eastAsia="Consolas"/>
          <w:sz w:val="18"/>
        </w:rPr>
        <w:t xml:space="preserve">    subtype: string;</w:t>
        <w:br/>
      </w:r>
      <w:r>
        <w:rPr>
          <w:rFonts w:ascii="Consolas" w:hAnsi="Consolas"/>
          <w:rFonts w:ascii="Consolas" w:hAnsi="Consolas" w:eastAsia="Consolas"/>
          <w:sz w:val="18"/>
        </w:rPr>
        <w:t xml:space="preserve">    association: number;        // 关联值 0~1</w:t>
        <w:br/>
      </w:r>
      <w:r>
        <w:rPr>
          <w:rFonts w:ascii="Consolas" w:hAnsi="Consolas"/>
          <w:rFonts w:ascii="Consolas" w:hAnsi="Consolas" w:eastAsia="Consolas"/>
          <w:sz w:val="18"/>
        </w:rPr>
        <w:t xml:space="preserve">    active: boolean;            // 是否处于风险传导路径上</w:t>
        <w:br/>
      </w:r>
      <w:r>
        <w:rPr>
          <w:rFonts w:ascii="Consolas" w:hAnsi="Consolas"/>
          <w:rFonts w:ascii="Consolas" w:hAnsi="Consolas" w:eastAsia="Consolas"/>
          <w:sz w:val="18"/>
        </w:rPr>
        <w:t xml:space="preserve">    riskLevel: RiskLevel;       // 传导时该边的风险等级，用于变色</w:t>
        <w:br/>
      </w:r>
      <w:r>
        <w:rPr>
          <w:rFonts w:ascii="Consolas" w:hAnsi="Consolas"/>
          <w:rFonts w:ascii="Consolas" w:hAnsi="Consolas" w:eastAsia="Consolas"/>
          <w:sz w:val="18"/>
        </w:rPr>
        <w:t xml:space="preserve">    dimmed: boolean;</w:t>
        <w:br/>
      </w:r>
      <w:r>
        <w:rPr>
          <w:rFonts w:ascii="Consolas" w:hAnsi="Consolas"/>
          <w:rFonts w:ascii="Consolas" w:hAnsi="Consolas" w:eastAsia="Consolas"/>
          <w:sz w:val="18"/>
        </w:rPr>
        <w:t xml:space="preserve">    highlighted: boolean;</w:t>
        <w:br/>
      </w:r>
      <w:r>
        <w:rPr>
          <w:rFonts w:ascii="Consolas" w:hAnsi="Consolas"/>
          <w:rFonts w:ascii="Consolas" w:hAnsi="Consolas" w:eastAsia="Consolas"/>
          <w:sz w:val="18"/>
        </w:rPr>
        <w:t xml:space="preserve">  }[];</w:t>
        <w:br/>
      </w:r>
      <w:r>
        <w:rPr>
          <w:rFonts w:ascii="Consolas" w:hAnsi="Consolas"/>
          <w:rFonts w:ascii="Consolas" w:hAnsi="Consolas" w:eastAsia="Consolas"/>
          <w:sz w:val="18"/>
        </w:rPr>
        <w:t xml:space="preserve">  groups: { controllerId: string; members: string[] }[];</w:t>
        <w:br/>
      </w:r>
      <w:r>
        <w:rPr>
          <w:rFonts w:ascii="Consolas" w:hAnsi="Consolas"/>
          <w:rFonts w:ascii="Consolas" w:hAnsi="Consolas" w:eastAsia="Consolas"/>
          <w:sz w:val="18"/>
        </w:rPr>
        <w:t xml:space="preserve">  rings: { members: string[]; type: 'guarantee' }[];</w:t>
        <w:br/>
      </w:r>
      <w:r>
        <w:rPr>
          <w:rFonts w:ascii="Consolas" w:hAnsi="Consolas"/>
          <w:rFonts w:ascii="Consolas" w:hAnsi="Consolas" w:eastAsia="Consolas"/>
          <w:sz w:val="18"/>
        </w:rPr>
        <w:t>}</w:t>
      </w:r>
    </w:p>
    <w:p>
      <w:pPr>
        <w:pStyle w:val="Heading1"/>
      </w:pPr>
      <w:r>
        <w:rPr>
          <w:rFonts w:ascii="Times New Roman" w:hAnsi="Times New Roman" w:eastAsia="黑体"/>
          <w:b/>
          <w:color w:val="000000"/>
          <w:sz w:val="32"/>
        </w:rPr>
        <w:t>二、全局 UI 布局（2D/3D 完全一致）</w:t>
      </w:r>
    </w:p>
    <w:p>
      <w:pPr>
        <w:pStyle w:val="Heading2"/>
      </w:pPr>
      <w:r>
        <w:rPr>
          <w:rFonts w:ascii="Times New Roman" w:hAnsi="Times New Roman" w:eastAsia="黑体"/>
          <w:b/>
          <w:color w:val="000000"/>
          <w:sz w:val="28"/>
        </w:rPr>
        <w:t>2.1 布局总览</w:t>
      </w:r>
    </w:p>
    <w:p>
      <w:pPr>
        <w:spacing w:line="240" w:lineRule="auto" w:before="80" w:after="120"/>
        <w:ind w:firstLineChars="0" w:firstLine="0" w:left="180"/>
        <w:shd w:val="clear" w:fill="F5F5F5"/>
      </w:pPr>
      <w:r>
        <w:rPr>
          <w:rFonts w:ascii="Consolas" w:hAnsi="Consolas"/>
          <w:rFonts w:ascii="Consolas" w:hAnsi="Consolas" w:eastAsia="Consolas"/>
          <w:sz w:val="18"/>
        </w:rPr>
        <w:t>┌──────────────────────────────────────────────────────────────────────┐</w:t>
        <w:br/>
      </w:r>
      <w:r>
        <w:rPr>
          <w:rFonts w:ascii="Consolas" w:hAnsi="Consolas"/>
          <w:rFonts w:ascii="Consolas" w:hAnsi="Consolas" w:eastAsia="Consolas"/>
          <w:sz w:val="18"/>
        </w:rPr>
        <w:t>│ [全局控制器]                                        [工作区] [重置]  │  ← 顶栏</w:t>
        <w:br/>
      </w:r>
      <w:r>
        <w:rPr>
          <w:rFonts w:ascii="Consolas" w:hAnsi="Consolas"/>
          <w:rFonts w:ascii="Consolas" w:hAnsi="Consolas" w:eastAsia="Consolas"/>
          <w:sz w:val="18"/>
        </w:rPr>
        <w:t>├───────────────┬──────────────────────────────────┬───────────────────┤</w:t>
        <w:br/>
      </w:r>
      <w:r>
        <w:rPr>
          <w:rFonts w:ascii="Consolas" w:hAnsi="Consolas"/>
          <w:rFonts w:ascii="Consolas" w:hAnsi="Consolas" w:eastAsia="Consolas"/>
          <w:sz w:val="18"/>
        </w:rPr>
        <w:t>│               │                                  │                   │</w:t>
        <w:br/>
      </w:r>
      <w:r>
        <w:rPr>
          <w:rFonts w:ascii="Consolas" w:hAnsi="Consolas"/>
          <w:rFonts w:ascii="Consolas" w:hAnsi="Consolas" w:eastAsia="Consolas"/>
          <w:sz w:val="18"/>
        </w:rPr>
        <w:t>│  左侧功能区    │         中间建模展示区            │   右侧功能区       │</w:t>
        <w:br/>
      </w:r>
      <w:r>
        <w:rPr>
          <w:rFonts w:ascii="Consolas" w:hAnsi="Consolas"/>
          <w:rFonts w:ascii="Consolas" w:hAnsi="Consolas" w:eastAsia="Consolas"/>
          <w:sz w:val="18"/>
        </w:rPr>
        <w:t>│               │        （背景始终黑色）            │                   │</w:t>
        <w:br/>
      </w:r>
      <w:r>
        <w:rPr>
          <w:rFonts w:ascii="Consolas" w:hAnsi="Consolas"/>
          <w:rFonts w:ascii="Consolas" w:hAnsi="Consolas" w:eastAsia="Consolas"/>
          <w:sz w:val="18"/>
        </w:rPr>
        <w:t>│  · 企业列表    │                                  │  · 文档输入        │</w:t>
        <w:br/>
      </w:r>
      <w:r>
        <w:rPr>
          <w:rFonts w:ascii="Consolas" w:hAnsi="Consolas"/>
          <w:rFonts w:ascii="Consolas" w:hAnsi="Consolas" w:eastAsia="Consolas"/>
          <w:sz w:val="18"/>
        </w:rPr>
        <w:t>│  · 结果展示区  │                                  │  · 手动输入区      │</w:t>
        <w:br/>
      </w:r>
      <w:r>
        <w:rPr>
          <w:rFonts w:ascii="Consolas" w:hAnsi="Consolas"/>
          <w:rFonts w:ascii="Consolas" w:hAnsi="Consolas" w:eastAsia="Consolas"/>
          <w:sz w:val="18"/>
        </w:rPr>
        <w:t>│               │                                  │  · 风险源控制      │</w:t>
        <w:br/>
      </w:r>
      <w:r>
        <w:rPr>
          <w:rFonts w:ascii="Consolas" w:hAnsi="Consolas"/>
          <w:rFonts w:ascii="Consolas" w:hAnsi="Consolas" w:eastAsia="Consolas"/>
          <w:sz w:val="18"/>
        </w:rPr>
        <w:t>│               │                                  │                   │</w:t>
        <w:br/>
      </w:r>
      <w:r>
        <w:rPr>
          <w:rFonts w:ascii="Consolas" w:hAnsi="Consolas"/>
          <w:rFonts w:ascii="Consolas" w:hAnsi="Consolas" w:eastAsia="Consolas"/>
          <w:sz w:val="18"/>
        </w:rPr>
        <w:t>│               │                                  │                   │</w:t>
        <w:br/>
      </w:r>
      <w:r>
        <w:rPr>
          <w:rFonts w:ascii="Consolas" w:hAnsi="Consolas"/>
          <w:rFonts w:ascii="Consolas" w:hAnsi="Consolas" w:eastAsia="Consolas"/>
          <w:sz w:val="18"/>
        </w:rPr>
        <w:t>└───────────────┴──────────────────────────────────┴───────────────────┘</w:t>
      </w:r>
    </w:p>
    <w:p>
      <w:pPr>
        <w:pStyle w:val="Heading2"/>
      </w:pPr>
      <w:r>
        <w:rPr>
          <w:rFonts w:ascii="Times New Roman" w:hAnsi="Times New Roman" w:eastAsia="黑体"/>
          <w:b/>
          <w:color w:val="000000"/>
          <w:sz w:val="28"/>
        </w:rPr>
        <w:t>2.2 固定位置规则</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rPr>
          <w:tblHeader w:val="true"/>
        </w:trPr>
        <w:tc>
          <w:tcPr>
            <w:tcW w:type="dxa" w:w="3024"/>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元素</w:t>
            </w:r>
          </w:p>
        </w:tc>
        <w:tc>
          <w:tcPr>
            <w:tcW w:type="dxa" w:w="3024"/>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位置</w:t>
            </w:r>
          </w:p>
        </w:tc>
        <w:tc>
          <w:tcPr>
            <w:tcW w:type="dxa" w:w="3024"/>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说明</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全局控制器</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左上角</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展开/收回左右功能区；切换 2D/3D 视图</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工作区</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右上角</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工作区列表入口，严格固定在右上角</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重置</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右上角，工作区旁边</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清空当前工作区数据，严格固定</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左侧功能区</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左侧</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企业列表、结果展示区</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右侧功能区</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右侧</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文档输入、手动输入区、风险源控制</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中间建模展示区</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中央</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2D/3D 渲染区，背景始终黑色</w:t>
            </w:r>
          </w:p>
        </w:tc>
      </w:tr>
    </w:tbl>
    <w:p>
      <w:pPr>
        <w:spacing w:after="120" w:line="240" w:lineRule="auto"/>
      </w:pPr>
    </w:p>
    <w:p>
      <w:pPr>
        <w:pStyle w:val="Heading2"/>
      </w:pPr>
      <w:r>
        <w:rPr>
          <w:rFonts w:ascii="Times New Roman" w:hAnsi="Times New Roman" w:eastAsia="黑体"/>
          <w:b/>
          <w:color w:val="000000"/>
          <w:sz w:val="28"/>
        </w:rPr>
        <w:t>2.3 全局控制器功能</w:t>
      </w:r>
    </w:p>
    <w:p>
      <w:pPr>
        <w:pStyle w:val="ListBullet"/>
      </w:pPr>
      <w:r>
        <w:rPr>
          <w:rFonts w:ascii="Times New Roman" w:hAnsi="Times New Roman" w:eastAsia="宋体"/>
          <w:b w:val="0"/>
          <w:color w:val="000000"/>
          <w:sz w:val="24"/>
        </w:rPr>
        <w:t>展开/收回左侧功能区：收起时建模区向左扩展</w:t>
      </w:r>
    </w:p>
    <w:p>
      <w:pPr>
        <w:pStyle w:val="ListBullet"/>
      </w:pPr>
      <w:r>
        <w:rPr>
          <w:rFonts w:ascii="Times New Roman" w:hAnsi="Times New Roman" w:eastAsia="宋体"/>
          <w:b w:val="0"/>
          <w:color w:val="000000"/>
          <w:sz w:val="24"/>
        </w:rPr>
        <w:t>展开/收回右侧功能区：收起时建模区向右扩展</w:t>
      </w:r>
    </w:p>
    <w:p>
      <w:pPr>
        <w:pStyle w:val="ListBullet"/>
      </w:pPr>
      <w:r>
        <w:rPr>
          <w:rFonts w:ascii="Times New Roman" w:hAnsi="Times New Roman" w:eastAsia="宋体"/>
          <w:b w:val="0"/>
          <w:color w:val="000000"/>
          <w:sz w:val="24"/>
        </w:rPr>
        <w:t>一键全部展开/全部收回：最大化建模视野</w:t>
      </w:r>
    </w:p>
    <w:p>
      <w:pPr>
        <w:pStyle w:val="ListBullet"/>
      </w:pPr>
      <w:r>
        <w:rPr>
          <w:rFonts w:ascii="Times New Roman" w:hAnsi="Times New Roman" w:eastAsia="宋体"/>
          <w:b w:val="0"/>
          <w:color w:val="000000"/>
          <w:sz w:val="24"/>
        </w:rPr>
        <w:t>视图切换：2D 模型 / 3D 模型（3D 阶段启用，2D 阶段置灰或隐藏）</w:t>
      </w:r>
    </w:p>
    <w:p>
      <w:pPr>
        <w:pStyle w:val="ListBullet"/>
      </w:pPr>
      <w:r>
        <w:rPr>
          <w:rFonts w:ascii="Times New Roman" w:hAnsi="Times New Roman" w:eastAsia="宋体"/>
          <w:b w:val="0"/>
          <w:color w:val="000000"/>
          <w:sz w:val="24"/>
        </w:rPr>
        <w:t>收起状态下，功能区边缘保留细条拖拽/点击可重新展开</w:t>
      </w:r>
    </w:p>
    <w:p>
      <w:pPr>
        <w:pStyle w:val="Heading2"/>
      </w:pPr>
      <w:r>
        <w:rPr>
          <w:rFonts w:ascii="Times New Roman" w:hAnsi="Times New Roman" w:eastAsia="黑体"/>
          <w:b/>
          <w:color w:val="000000"/>
          <w:sz w:val="28"/>
        </w:rPr>
        <w:t>2.4 顶栏规范</w:t>
      </w:r>
    </w:p>
    <w:p>
      <w:pPr>
        <w:pStyle w:val="ListBullet"/>
      </w:pPr>
      <w:r>
        <w:rPr>
          <w:rFonts w:ascii="Times New Roman" w:hAnsi="Times New Roman" w:eastAsia="宋体"/>
          <w:b w:val="0"/>
          <w:color w:val="000000"/>
          <w:sz w:val="24"/>
        </w:rPr>
        <w:t>背景：深灰 #1E1E1E，与建模区黑色 #000000 形成层次</w:t>
      </w:r>
    </w:p>
    <w:p>
      <w:pPr>
        <w:pStyle w:val="ListBullet"/>
      </w:pPr>
      <w:r>
        <w:rPr>
          <w:rFonts w:ascii="Times New Roman" w:hAnsi="Times New Roman" w:eastAsia="宋体"/>
          <w:b w:val="0"/>
          <w:color w:val="000000"/>
          <w:sz w:val="24"/>
        </w:rPr>
        <w:t>高度：48~56px</w:t>
      </w:r>
    </w:p>
    <w:p>
      <w:pPr>
        <w:pStyle w:val="ListBullet"/>
      </w:pPr>
      <w:r>
        <w:rPr>
          <w:rFonts w:ascii="Times New Roman" w:hAnsi="Times New Roman" w:eastAsia="宋体"/>
          <w:b w:val="0"/>
          <w:color w:val="000000"/>
          <w:sz w:val="24"/>
        </w:rPr>
        <w:t>文字/图标：浅灰 #E0E0E0</w:t>
      </w:r>
    </w:p>
    <w:p>
      <w:pPr>
        <w:pStyle w:val="ListBullet"/>
      </w:pPr>
      <w:r>
        <w:rPr>
          <w:rFonts w:ascii="Times New Roman" w:hAnsi="Times New Roman" w:eastAsia="宋体"/>
          <w:b w:val="0"/>
          <w:color w:val="000000"/>
          <w:sz w:val="24"/>
        </w:rPr>
        <w:t>工作区与重置按钮靠右，间距 8~12px</w:t>
      </w:r>
    </w:p>
    <w:p>
      <w:pPr>
        <w:pStyle w:val="ListBullet"/>
      </w:pPr>
      <w:r>
        <w:rPr>
          <w:rFonts w:ascii="Times New Roman" w:hAnsi="Times New Roman" w:eastAsia="宋体"/>
          <w:b w:val="0"/>
          <w:color w:val="000000"/>
          <w:sz w:val="24"/>
        </w:rPr>
        <w:t>全局控制器靠左，图标 + 文字标签</w:t>
      </w:r>
    </w:p>
    <w:p>
      <w:pPr>
        <w:pStyle w:val="Heading1"/>
      </w:pPr>
      <w:r>
        <w:rPr>
          <w:rFonts w:ascii="Times New Roman" w:hAnsi="Times New Roman" w:eastAsia="黑体"/>
          <w:b/>
          <w:color w:val="000000"/>
          <w:sz w:val="32"/>
        </w:rPr>
        <w:t>三、全局视觉规范（简约现代）</w:t>
      </w:r>
    </w:p>
    <w:p>
      <w:pPr>
        <w:pStyle w:val="Heading2"/>
      </w:pPr>
      <w:r>
        <w:rPr>
          <w:rFonts w:ascii="Times New Roman" w:hAnsi="Times New Roman" w:eastAsia="黑体"/>
          <w:b/>
          <w:color w:val="000000"/>
          <w:sz w:val="28"/>
        </w:rPr>
        <w:t>3.1 色彩系统</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rPr>
          <w:tblHeader w:val="true"/>
        </w:trPr>
        <w:tc>
          <w:tcPr>
            <w:tcW w:type="dxa" w:w="3024"/>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用途</w:t>
            </w:r>
          </w:p>
        </w:tc>
        <w:tc>
          <w:tcPr>
            <w:tcW w:type="dxa" w:w="3024"/>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色值</w:t>
            </w:r>
          </w:p>
        </w:tc>
        <w:tc>
          <w:tcPr>
            <w:tcW w:type="dxa" w:w="3024"/>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说明</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建模区背景</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#000000</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始终黑色，2D/3D 一致</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顶栏/面板背景</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#1E1E1E</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深灰，层次分离</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面板卡片背景</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#2A2A2A</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略浅于顶栏</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主文字</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#E0E0E0</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浅灰，高可读</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次要文字</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#9E9E9E</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中灰</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边框/分割线</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#3A3A3A</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细线</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企业节点固定色</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#82C9E0</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淡蓝色，所有企业常态统一</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企业节点描边</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#5AA8C0</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比填充略深</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企业名称标签</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#E0E0E0</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节点下方或内部</w:t>
            </w:r>
          </w:p>
        </w:tc>
      </w:tr>
    </w:tbl>
    <w:p>
      <w:pPr>
        <w:spacing w:after="120" w:line="240" w:lineRule="auto"/>
      </w:pPr>
    </w:p>
    <w:p>
      <w:pPr>
        <w:pStyle w:val="Heading2"/>
      </w:pPr>
      <w:r>
        <w:rPr>
          <w:rFonts w:ascii="Times New Roman" w:hAnsi="Times New Roman" w:eastAsia="黑体"/>
          <w:b/>
          <w:color w:val="000000"/>
          <w:sz w:val="28"/>
        </w:rPr>
        <w:t>3.2 风险色阶（低→中→高）</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tblHeader w:val="true"/>
        </w:trPr>
        <w:tc>
          <w:tcPr>
            <w:tcW w:type="dxa" w:w="2268"/>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等级</w:t>
            </w:r>
          </w:p>
        </w:tc>
        <w:tc>
          <w:tcPr>
            <w:tcW w:type="dxa" w:w="2268"/>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颜色</w:t>
            </w:r>
          </w:p>
        </w:tc>
        <w:tc>
          <w:tcPr>
            <w:tcW w:type="dxa" w:w="2268"/>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色值</w:t>
            </w:r>
          </w:p>
        </w:tc>
        <w:tc>
          <w:tcPr>
            <w:tcW w:type="dxa" w:w="2268"/>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建议应用</w:t>
            </w:r>
          </w:p>
        </w:tc>
      </w:tr>
      <w:tr>
        <w:trPr>
          <w:cantSplit/>
        </w:trPr>
        <w:tc>
          <w:tcPr>
            <w:tcW w:type="dxa" w:w="2268"/>
            <w:vAlign w:val="center"/>
          </w:tcPr>
          <w:p>
            <w:pPr>
              <w:spacing w:line="240" w:lineRule="auto" w:before="40" w:after="40"/>
              <w:jc w:val="center"/>
              <w:ind w:firstLineChars="0" w:firstLine="0" w:left="0" w:right="0"/>
            </w:pPr>
            <w:r>
              <w:rPr>
                <w:rFonts w:ascii="Times New Roman" w:hAnsi="Times New Roman" w:eastAsia="宋体"/>
                <w:b w:val="0"/>
                <w:color w:val="000000"/>
                <w:sz w:val="21"/>
              </w:rPr>
              <w:t>无风险</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企业固有色</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#82C9E0</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节点填充、关系线常态</w:t>
            </w:r>
          </w:p>
        </w:tc>
      </w:tr>
      <w:tr>
        <w:trPr>
          <w:cantSplit/>
        </w:trPr>
        <w:tc>
          <w:tcPr>
            <w:tcW w:type="dxa" w:w="2268"/>
            <w:vAlign w:val="center"/>
          </w:tcPr>
          <w:p>
            <w:pPr>
              <w:spacing w:line="240" w:lineRule="auto" w:before="40" w:after="40"/>
              <w:jc w:val="center"/>
              <w:ind w:firstLineChars="0" w:firstLine="0" w:left="0" w:right="0"/>
            </w:pPr>
            <w:r>
              <w:rPr>
                <w:rFonts w:ascii="Times New Roman" w:hAnsi="Times New Roman" w:eastAsia="宋体"/>
                <w:b w:val="0"/>
                <w:color w:val="000000"/>
                <w:sz w:val="21"/>
              </w:rPr>
              <w:t>低风险</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浅橙</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#FFB74D</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节点描边/光晕、传导线</w:t>
            </w:r>
          </w:p>
        </w:tc>
      </w:tr>
      <w:tr>
        <w:trPr>
          <w:cantSplit/>
        </w:trPr>
        <w:tc>
          <w:tcPr>
            <w:tcW w:type="dxa" w:w="2268"/>
            <w:vAlign w:val="center"/>
          </w:tcPr>
          <w:p>
            <w:pPr>
              <w:spacing w:line="240" w:lineRule="auto" w:before="40" w:after="40"/>
              <w:jc w:val="center"/>
              <w:ind w:firstLineChars="0" w:firstLine="0" w:left="0" w:right="0"/>
            </w:pPr>
            <w:r>
              <w:rPr>
                <w:rFonts w:ascii="Times New Roman" w:hAnsi="Times New Roman" w:eastAsia="宋体"/>
                <w:b w:val="0"/>
                <w:color w:val="000000"/>
                <w:sz w:val="21"/>
              </w:rPr>
              <w:t>中风险</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橙</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#FF8C42</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节点描边/光晕、传导线</w:t>
            </w:r>
          </w:p>
        </w:tc>
      </w:tr>
      <w:tr>
        <w:trPr>
          <w:cantSplit/>
        </w:trPr>
        <w:tc>
          <w:tcPr>
            <w:tcW w:type="dxa" w:w="2268"/>
            <w:vAlign w:val="center"/>
          </w:tcPr>
          <w:p>
            <w:pPr>
              <w:spacing w:line="240" w:lineRule="auto" w:before="40" w:after="40"/>
              <w:jc w:val="center"/>
              <w:ind w:firstLineChars="0" w:firstLine="0" w:left="0" w:right="0"/>
            </w:pPr>
            <w:r>
              <w:rPr>
                <w:rFonts w:ascii="Times New Roman" w:hAnsi="Times New Roman" w:eastAsia="宋体"/>
                <w:b w:val="0"/>
                <w:color w:val="000000"/>
                <w:sz w:val="21"/>
              </w:rPr>
              <w:t>高风险</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红</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#E53935</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节点描边/光晕、传导线</w:t>
            </w:r>
          </w:p>
        </w:tc>
      </w:tr>
      <w:tr>
        <w:trPr>
          <w:cantSplit/>
        </w:trPr>
        <w:tc>
          <w:tcPr>
            <w:tcW w:type="dxa" w:w="2268"/>
            <w:vAlign w:val="center"/>
          </w:tcPr>
          <w:p>
            <w:pPr>
              <w:spacing w:line="240" w:lineRule="auto" w:before="40" w:after="40"/>
              <w:jc w:val="center"/>
              <w:ind w:firstLineChars="0" w:firstLine="0" w:left="0" w:right="0"/>
            </w:pPr>
            <w:r>
              <w:rPr>
                <w:rFonts w:ascii="Times New Roman" w:hAnsi="Times New Roman" w:eastAsia="宋体"/>
                <w:b w:val="0"/>
                <w:color w:val="000000"/>
                <w:sz w:val="21"/>
              </w:rPr>
              <w:t>风险源</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深红</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#B71C1C</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节点外圈 + 脉冲 + 图例</w:t>
            </w:r>
          </w:p>
        </w:tc>
      </w:tr>
    </w:tbl>
    <w:p>
      <w:pPr>
        <w:spacing w:after="120" w:line="240" w:lineRule="auto"/>
      </w:pPr>
    </w:p>
    <w:p>
      <w:r>
        <w:rPr>
          <w:rFonts w:ascii="Times New Roman" w:hAnsi="Times New Roman" w:eastAsia="宋体"/>
          <w:b w:val="0"/>
          <w:color w:val="000000"/>
          <w:sz w:val="24"/>
        </w:rPr>
        <w:t>规则：</w:t>
      </w:r>
    </w:p>
    <w:p>
      <w:pPr>
        <w:pStyle w:val="ListBullet"/>
      </w:pPr>
      <w:r>
        <w:rPr>
          <w:rFonts w:ascii="Times New Roman" w:hAnsi="Times New Roman" w:eastAsia="宋体"/>
          <w:b w:val="0"/>
          <w:color w:val="000000"/>
          <w:sz w:val="24"/>
        </w:rPr>
        <w:t>企业节点填充色始终 #82C9E0，风险通过描边、外圈光晕、标签表达，不改变填充色。</w:t>
      </w:r>
    </w:p>
    <w:p>
      <w:pPr>
        <w:pStyle w:val="ListBullet"/>
      </w:pPr>
      <w:r>
        <w:rPr>
          <w:rFonts w:ascii="Times New Roman" w:hAnsi="Times New Roman" w:eastAsia="宋体"/>
          <w:b w:val="0"/>
          <w:color w:val="000000"/>
          <w:sz w:val="24"/>
        </w:rPr>
        <w:t>关系线常态不用红色，按关系类型固定颜色。</w:t>
      </w:r>
    </w:p>
    <w:p>
      <w:pPr>
        <w:pStyle w:val="ListBullet"/>
      </w:pPr>
      <w:r>
        <w:rPr>
          <w:rFonts w:ascii="Times New Roman" w:hAnsi="Times New Roman" w:eastAsia="宋体"/>
          <w:b w:val="0"/>
          <w:color w:val="000000"/>
          <w:sz w:val="24"/>
        </w:rPr>
        <w:t>仅当该边处于风险传导路径上时，才按传导风险等级变色（低→浅橙，中→橙，高→红）。</w:t>
      </w:r>
    </w:p>
    <w:p>
      <w:pPr>
        <w:pStyle w:val="ListBullet"/>
      </w:pPr>
      <w:r>
        <w:rPr>
          <w:rFonts w:ascii="Times New Roman" w:hAnsi="Times New Roman" w:eastAsia="宋体"/>
          <w:b w:val="0"/>
          <w:color w:val="000000"/>
          <w:sz w:val="24"/>
        </w:rPr>
        <w:t>同一关系类型始终同一种颜色，不随节点变化。</w:t>
      </w:r>
    </w:p>
    <w:p>
      <w:pPr>
        <w:pStyle w:val="Heading2"/>
      </w:pPr>
      <w:r>
        <w:rPr>
          <w:rFonts w:ascii="Times New Roman" w:hAnsi="Times New Roman" w:eastAsia="黑体"/>
          <w:b/>
          <w:color w:val="000000"/>
          <w:sz w:val="28"/>
        </w:rPr>
        <w:t>3.3 关系类型颜色（常态）</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tblHeader w:val="true"/>
        </w:trPr>
        <w:tc>
          <w:tcPr>
            <w:tcW w:type="dxa" w:w="2268"/>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关系类型</w:t>
            </w:r>
          </w:p>
        </w:tc>
        <w:tc>
          <w:tcPr>
            <w:tcW w:type="dxa" w:w="2268"/>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颜色</w:t>
            </w:r>
          </w:p>
        </w:tc>
        <w:tc>
          <w:tcPr>
            <w:tcW w:type="dxa" w:w="2268"/>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线型</w:t>
            </w:r>
          </w:p>
        </w:tc>
        <w:tc>
          <w:tcPr>
            <w:tcW w:type="dxa" w:w="2268"/>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说明</w:t>
            </w:r>
          </w:p>
        </w:tc>
      </w:tr>
      <w:tr>
        <w:trPr>
          <w:cantSplit/>
        </w:trPr>
        <w:tc>
          <w:tcPr>
            <w:tcW w:type="dxa" w:w="2268"/>
            <w:vAlign w:val="center"/>
          </w:tcPr>
          <w:p>
            <w:pPr>
              <w:spacing w:line="240" w:lineRule="auto" w:before="40" w:after="40"/>
              <w:jc w:val="center"/>
              <w:ind w:firstLineChars="0" w:firstLine="0" w:left="0" w:right="0"/>
            </w:pPr>
            <w:r>
              <w:rPr>
                <w:rFonts w:ascii="Times New Roman" w:hAnsi="Times New Roman" w:eastAsia="宋体"/>
                <w:b w:val="0"/>
                <w:color w:val="000000"/>
                <w:sz w:val="21"/>
              </w:rPr>
              <w:t>物料流</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蓝色 #4A90D9</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实线</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上游→下游</w:t>
            </w:r>
          </w:p>
        </w:tc>
      </w:tr>
      <w:tr>
        <w:trPr>
          <w:cantSplit/>
        </w:trPr>
        <w:tc>
          <w:tcPr>
            <w:tcW w:type="dxa" w:w="2268"/>
            <w:vAlign w:val="center"/>
          </w:tcPr>
          <w:p>
            <w:pPr>
              <w:spacing w:line="240" w:lineRule="auto" w:before="40" w:after="40"/>
              <w:jc w:val="center"/>
              <w:ind w:firstLineChars="0" w:firstLine="0" w:left="0" w:right="0"/>
            </w:pPr>
            <w:r>
              <w:rPr>
                <w:rFonts w:ascii="Times New Roman" w:hAnsi="Times New Roman" w:eastAsia="宋体"/>
                <w:b w:val="0"/>
                <w:color w:val="000000"/>
                <w:sz w:val="21"/>
              </w:rPr>
              <w:t>资金账期</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紫色 #9B59B6</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虚线</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核心企业→上游</w:t>
            </w:r>
          </w:p>
        </w:tc>
      </w:tr>
      <w:tr>
        <w:trPr>
          <w:cantSplit/>
        </w:trPr>
        <w:tc>
          <w:tcPr>
            <w:tcW w:type="dxa" w:w="2268"/>
            <w:vAlign w:val="center"/>
          </w:tcPr>
          <w:p>
            <w:pPr>
              <w:spacing w:line="240" w:lineRule="auto" w:before="40" w:after="40"/>
              <w:jc w:val="center"/>
              <w:ind w:firstLineChars="0" w:firstLine="0" w:left="0" w:right="0"/>
            </w:pPr>
            <w:r>
              <w:rPr>
                <w:rFonts w:ascii="Times New Roman" w:hAnsi="Times New Roman" w:eastAsia="宋体"/>
                <w:b w:val="0"/>
                <w:color w:val="000000"/>
                <w:sz w:val="21"/>
              </w:rPr>
              <w:t>技术/服务</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青色 #1ABC9C</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点划线</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按依赖方向</w:t>
            </w:r>
          </w:p>
        </w:tc>
      </w:tr>
      <w:tr>
        <w:trPr>
          <w:cantSplit/>
        </w:trPr>
        <w:tc>
          <w:tcPr>
            <w:tcW w:type="dxa" w:w="2268"/>
            <w:vAlign w:val="center"/>
          </w:tcPr>
          <w:p>
            <w:pPr>
              <w:spacing w:line="240" w:lineRule="auto" w:before="40" w:after="40"/>
              <w:jc w:val="center"/>
              <w:ind w:firstLineChars="0" w:firstLine="0" w:left="0" w:right="0"/>
            </w:pPr>
            <w:r>
              <w:rPr>
                <w:rFonts w:ascii="Times New Roman" w:hAnsi="Times New Roman" w:eastAsia="宋体"/>
                <w:b w:val="0"/>
                <w:color w:val="000000"/>
                <w:sz w:val="21"/>
              </w:rPr>
              <w:t>担保</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深绿色 #2E7D32</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实线加粗</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互相担保统一深绿</w:t>
            </w:r>
          </w:p>
        </w:tc>
      </w:tr>
      <w:tr>
        <w:trPr>
          <w:cantSplit/>
        </w:trPr>
        <w:tc>
          <w:tcPr>
            <w:tcW w:type="dxa" w:w="2268"/>
            <w:vAlign w:val="center"/>
          </w:tcPr>
          <w:p>
            <w:pPr>
              <w:spacing w:line="240" w:lineRule="auto" w:before="40" w:after="40"/>
              <w:jc w:val="center"/>
              <w:ind w:firstLineChars="0" w:firstLine="0" w:left="0" w:right="0"/>
            </w:pPr>
            <w:r>
              <w:rPr>
                <w:rFonts w:ascii="Times New Roman" w:hAnsi="Times New Roman" w:eastAsia="宋体"/>
                <w:b w:val="0"/>
                <w:color w:val="000000"/>
                <w:sz w:val="21"/>
              </w:rPr>
              <w:t>同控</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不画连线，用节点外圈色环</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见 3.5</w:t>
            </w:r>
          </w:p>
        </w:tc>
      </w:tr>
    </w:tbl>
    <w:p>
      <w:pPr>
        <w:spacing w:after="120" w:line="240" w:lineRule="auto"/>
      </w:pPr>
    </w:p>
    <w:p>
      <w:r>
        <w:rPr>
          <w:rFonts w:ascii="Times New Roman" w:hAnsi="Times New Roman" w:eastAsia="宋体"/>
          <w:b/>
          <w:color w:val="000000"/>
          <w:sz w:val="24"/>
        </w:rPr>
        <w:t>用户明确规则：互保关系（A↔B、C↔D）统一用深绿色，同一种关系同一种颜色。</w:t>
      </w:r>
    </w:p>
    <w:p>
      <w:pPr>
        <w:pStyle w:val="Heading2"/>
      </w:pPr>
      <w:r>
        <w:rPr>
          <w:rFonts w:ascii="Times New Roman" w:hAnsi="Times New Roman" w:eastAsia="黑体"/>
          <w:b/>
          <w:color w:val="000000"/>
          <w:sz w:val="28"/>
        </w:rPr>
        <w:t>3.4 连线防交叉规则（2D 关键）</w:t>
      </w:r>
    </w:p>
    <w:p>
      <w:pPr>
        <w:pStyle w:val="ListBullet"/>
      </w:pPr>
      <w:r>
        <w:rPr>
          <w:rFonts w:ascii="Times New Roman" w:hAnsi="Times New Roman" w:eastAsia="宋体"/>
          <w:b w:val="0"/>
          <w:color w:val="000000"/>
          <w:sz w:val="24"/>
        </w:rPr>
        <w:t>使用力导向布局 + 边弯曲（curveness），同一对企业多条边错开弯曲方向。</w:t>
      </w:r>
    </w:p>
    <w:p>
      <w:pPr>
        <w:pStyle w:val="ListBullet"/>
      </w:pPr>
      <w:r>
        <w:rPr>
          <w:rFonts w:ascii="Times New Roman" w:hAnsi="Times New Roman" w:eastAsia="宋体"/>
          <w:b w:val="0"/>
          <w:color w:val="000000"/>
          <w:sz w:val="24"/>
        </w:rPr>
        <w:t>布局采用固定种子/固定初始坐标，保证每次渲染位置稳定，演示可复现。</w:t>
      </w:r>
    </w:p>
    <w:p>
      <w:pPr>
        <w:pStyle w:val="ListBullet"/>
      </w:pPr>
      <w:r>
        <w:rPr>
          <w:rFonts w:ascii="Times New Roman" w:hAnsi="Times New Roman" w:eastAsia="宋体"/>
          <w:b w:val="0"/>
          <w:color w:val="000000"/>
          <w:sz w:val="24"/>
        </w:rPr>
        <w:t>提供“重新布局”按钮，但默认不自动抖动。</w:t>
      </w:r>
    </w:p>
    <w:p>
      <w:pPr>
        <w:pStyle w:val="ListBullet"/>
      </w:pPr>
      <w:r>
        <w:rPr>
          <w:rFonts w:ascii="Times New Roman" w:hAnsi="Times New Roman" w:eastAsia="宋体"/>
          <w:b w:val="0"/>
          <w:color w:val="000000"/>
          <w:sz w:val="24"/>
        </w:rPr>
        <w:t>边弯曲参数：同一对企业第 1 条边 curveness = 0.1，第 2 条 -0.1，第 3 条 0.2，依次错开。</w:t>
      </w:r>
    </w:p>
    <w:p>
      <w:pPr>
        <w:pStyle w:val="ListBullet"/>
      </w:pPr>
      <w:r>
        <w:rPr>
          <w:rFonts w:ascii="Times New Roman" w:hAnsi="Times New Roman" w:eastAsia="宋体"/>
          <w:b w:val="0"/>
          <w:color w:val="000000"/>
          <w:sz w:val="24"/>
        </w:rPr>
        <w:t>同控分组不画连线，避免增加交叉。</w:t>
      </w:r>
    </w:p>
    <w:p>
      <w:pPr>
        <w:pStyle w:val="ListBullet"/>
      </w:pPr>
      <w:r>
        <w:rPr>
          <w:rFonts w:ascii="Times New Roman" w:hAnsi="Times New Roman" w:eastAsia="宋体"/>
          <w:b w:val="0"/>
          <w:color w:val="000000"/>
          <w:sz w:val="24"/>
        </w:rPr>
        <w:t>无法完全避免交叉时，通过悬停高亮 + 聚焦虚化降低干扰；2D 阶段截图为 3D 必要性留证。</w:t>
      </w:r>
    </w:p>
    <w:p>
      <w:pPr>
        <w:pStyle w:val="Heading2"/>
      </w:pPr>
      <w:r>
        <w:rPr>
          <w:rFonts w:ascii="Times New Roman" w:hAnsi="Times New Roman" w:eastAsia="黑体"/>
          <w:b/>
          <w:color w:val="000000"/>
          <w:sz w:val="28"/>
        </w:rPr>
        <w:t>3.5 同控分组表达</w:t>
      </w:r>
    </w:p>
    <w:p>
      <w:pPr>
        <w:pStyle w:val="ListBullet"/>
      </w:pPr>
      <w:r>
        <w:rPr>
          <w:rFonts w:ascii="Times New Roman" w:hAnsi="Times New Roman" w:eastAsia="宋体"/>
          <w:b w:val="0"/>
          <w:color w:val="000000"/>
          <w:sz w:val="24"/>
        </w:rPr>
        <w:t>同控企业节点外圈加统一颜色的细环（低饱和中性色，如灰紫 #8E7CC3、灰蓝 #7F9DB9）。</w:t>
      </w:r>
    </w:p>
    <w:p>
      <w:pPr>
        <w:pStyle w:val="ListBullet"/>
      </w:pPr>
      <w:r>
        <w:rPr>
          <w:rFonts w:ascii="Times New Roman" w:hAnsi="Times New Roman" w:eastAsia="宋体"/>
          <w:b w:val="0"/>
          <w:color w:val="000000"/>
          <w:sz w:val="24"/>
        </w:rPr>
        <w:t>图例说明“同色外环 = 同一实际控制人”。</w:t>
      </w:r>
    </w:p>
    <w:p>
      <w:pPr>
        <w:pStyle w:val="ListBullet"/>
      </w:pPr>
      <w:r>
        <w:rPr>
          <w:rFonts w:ascii="Times New Roman" w:hAnsi="Times New Roman" w:eastAsia="宋体"/>
          <w:b w:val="0"/>
          <w:color w:val="000000"/>
          <w:sz w:val="24"/>
        </w:rPr>
        <w:t>不画同控连线，不占关系通道。</w:t>
      </w:r>
    </w:p>
    <w:p>
      <w:pPr>
        <w:pStyle w:val="ListBullet"/>
      </w:pPr>
      <w:r>
        <w:rPr>
          <w:rFonts w:ascii="Times New Roman" w:hAnsi="Times New Roman" w:eastAsia="宋体"/>
          <w:b w:val="0"/>
          <w:color w:val="000000"/>
          <w:sz w:val="24"/>
        </w:rPr>
        <w:t>悬停某企业时，可临时显示与其他同控企业的贴地虚影线（2D 中为细点线）。</w:t>
      </w:r>
    </w:p>
    <w:p>
      <w:pPr>
        <w:pStyle w:val="Heading2"/>
      </w:pPr>
      <w:r>
        <w:rPr>
          <w:rFonts w:ascii="Times New Roman" w:hAnsi="Times New Roman" w:eastAsia="黑体"/>
          <w:b/>
          <w:color w:val="000000"/>
          <w:sz w:val="28"/>
        </w:rPr>
        <w:t>3.6 字体与控件</w:t>
      </w:r>
    </w:p>
    <w:p>
      <w:pPr>
        <w:pStyle w:val="ListBullet"/>
      </w:pPr>
      <w:r>
        <w:rPr>
          <w:rFonts w:ascii="Times New Roman" w:hAnsi="Times New Roman" w:eastAsia="宋体"/>
          <w:b w:val="0"/>
          <w:color w:val="000000"/>
          <w:sz w:val="24"/>
        </w:rPr>
        <w:t>标题：无衬线粗体（如 Inter / 思源黑体 Bold）</w:t>
      </w:r>
    </w:p>
    <w:p>
      <w:pPr>
        <w:pStyle w:val="ListBullet"/>
      </w:pPr>
      <w:r>
        <w:rPr>
          <w:rFonts w:ascii="Times New Roman" w:hAnsi="Times New Roman" w:eastAsia="宋体"/>
          <w:b w:val="0"/>
          <w:color w:val="000000"/>
          <w:sz w:val="24"/>
        </w:rPr>
        <w:t>正文：无衬线常规（Inter / 思源黑体 Regular）</w:t>
      </w:r>
    </w:p>
    <w:p>
      <w:pPr>
        <w:pStyle w:val="ListBullet"/>
      </w:pPr>
      <w:r>
        <w:rPr>
          <w:rFonts w:ascii="Times New Roman" w:hAnsi="Times New Roman" w:eastAsia="宋体"/>
          <w:b w:val="0"/>
          <w:color w:val="000000"/>
          <w:sz w:val="24"/>
        </w:rPr>
        <w:t>数字：等宽或清晰无衬线</w:t>
      </w:r>
    </w:p>
    <w:p>
      <w:pPr>
        <w:pStyle w:val="ListBullet"/>
      </w:pPr>
      <w:r>
        <w:rPr>
          <w:rFonts w:ascii="Times New Roman" w:hAnsi="Times New Roman" w:eastAsia="宋体"/>
          <w:b w:val="0"/>
          <w:color w:val="000000"/>
          <w:sz w:val="24"/>
        </w:rPr>
        <w:t>控件：现代扁平按钮、滑块、开关、下拉、搜索框</w:t>
      </w:r>
    </w:p>
    <w:p>
      <w:pPr>
        <w:pStyle w:val="ListBullet"/>
      </w:pPr>
      <w:r>
        <w:rPr>
          <w:rFonts w:ascii="Times New Roman" w:hAnsi="Times New Roman" w:eastAsia="宋体"/>
          <w:b w:val="0"/>
          <w:color w:val="000000"/>
          <w:sz w:val="24"/>
        </w:rPr>
        <w:t>圆角：4~6px，统一</w:t>
      </w:r>
    </w:p>
    <w:p>
      <w:pPr>
        <w:pStyle w:val="ListBullet"/>
      </w:pPr>
      <w:r>
        <w:rPr>
          <w:rFonts w:ascii="Times New Roman" w:hAnsi="Times New Roman" w:eastAsia="宋体"/>
          <w:b w:val="0"/>
          <w:color w:val="000000"/>
          <w:sz w:val="24"/>
        </w:rPr>
        <w:t>动效：淡入淡出、路径流光，克制，可暂停</w:t>
      </w:r>
    </w:p>
    <w:p>
      <w:pPr>
        <w:pStyle w:val="Heading1"/>
      </w:pPr>
      <w:r>
        <w:rPr>
          <w:rFonts w:ascii="Times New Roman" w:hAnsi="Times New Roman" w:eastAsia="黑体"/>
          <w:b/>
          <w:color w:val="000000"/>
          <w:sz w:val="32"/>
        </w:rPr>
        <w:t>四、2D 平面模型构建方案</w:t>
      </w:r>
    </w:p>
    <w:p>
      <w:pPr>
        <w:pStyle w:val="Heading2"/>
      </w:pPr>
      <w:r>
        <w:rPr>
          <w:rFonts w:ascii="Times New Roman" w:hAnsi="Times New Roman" w:eastAsia="黑体"/>
          <w:b/>
          <w:color w:val="000000"/>
          <w:sz w:val="28"/>
        </w:rPr>
        <w:t>4.1 企业节点造型</w:t>
      </w:r>
    </w:p>
    <w:p>
      <w:r>
        <w:rPr>
          <w:rFonts w:ascii="Times New Roman" w:hAnsi="Times New Roman" w:eastAsia="宋体"/>
          <w:b w:val="0"/>
          <w:color w:val="000000"/>
          <w:sz w:val="24"/>
        </w:rPr>
        <w:t>不同企业类型用不同平面几何图形区分，填充色统一 #82C9E0，图形内或下方标注企业名称与类型图标。</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tblHeader w:val="true"/>
        </w:trPr>
        <w:tc>
          <w:tcPr>
            <w:tcW w:type="dxa" w:w="2268"/>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企业类型</w:t>
            </w:r>
          </w:p>
        </w:tc>
        <w:tc>
          <w:tcPr>
            <w:tcW w:type="dxa" w:w="2268"/>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平面图形</w:t>
            </w:r>
          </w:p>
        </w:tc>
        <w:tc>
          <w:tcPr>
            <w:tcW w:type="dxa" w:w="2268"/>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尺寸</w:t>
            </w:r>
          </w:p>
        </w:tc>
        <w:tc>
          <w:tcPr>
            <w:tcW w:type="dxa" w:w="2268"/>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建议区分要点</w:t>
            </w:r>
          </w:p>
        </w:tc>
      </w:tr>
      <w:tr>
        <w:trPr>
          <w:cantSplit/>
        </w:trPr>
        <w:tc>
          <w:tcPr>
            <w:tcW w:type="dxa" w:w="2268"/>
            <w:vAlign w:val="center"/>
          </w:tcPr>
          <w:p>
            <w:pPr>
              <w:spacing w:line="240" w:lineRule="auto" w:before="40" w:after="40"/>
              <w:jc w:val="center"/>
              <w:ind w:firstLineChars="0" w:firstLine="0" w:left="0" w:right="0"/>
            </w:pPr>
            <w:r>
              <w:rPr>
                <w:rFonts w:ascii="Times New Roman" w:hAnsi="Times New Roman" w:eastAsia="宋体"/>
                <w:b w:val="0"/>
                <w:color w:val="000000"/>
                <w:sz w:val="21"/>
              </w:rPr>
              <w:t>原料坊（原料供给）</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正六边形</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半径 28px</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六边形象征料仓堆叠</w:t>
            </w:r>
          </w:p>
        </w:tc>
      </w:tr>
      <w:tr>
        <w:trPr>
          <w:cantSplit/>
        </w:trPr>
        <w:tc>
          <w:tcPr>
            <w:tcW w:type="dxa" w:w="2268"/>
            <w:vAlign w:val="center"/>
          </w:tcPr>
          <w:p>
            <w:pPr>
              <w:spacing w:line="240" w:lineRule="auto" w:before="40" w:after="40"/>
              <w:jc w:val="center"/>
              <w:ind w:firstLineChars="0" w:firstLine="0" w:left="0" w:right="0"/>
            </w:pPr>
            <w:r>
              <w:rPr>
                <w:rFonts w:ascii="Times New Roman" w:hAnsi="Times New Roman" w:eastAsia="宋体"/>
                <w:b w:val="0"/>
                <w:color w:val="000000"/>
                <w:sz w:val="21"/>
              </w:rPr>
              <w:t>仓栈（仓储物流）</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正方形</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边长 48px</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方正厚重</w:t>
            </w:r>
          </w:p>
        </w:tc>
      </w:tr>
      <w:tr>
        <w:trPr>
          <w:cantSplit/>
        </w:trPr>
        <w:tc>
          <w:tcPr>
            <w:tcW w:type="dxa" w:w="2268"/>
            <w:vAlign w:val="center"/>
          </w:tcPr>
          <w:p>
            <w:pPr>
              <w:spacing w:line="240" w:lineRule="auto" w:before="40" w:after="40"/>
              <w:jc w:val="center"/>
              <w:ind w:firstLineChars="0" w:firstLine="0" w:left="0" w:right="0"/>
            </w:pPr>
            <w:r>
              <w:rPr>
                <w:rFonts w:ascii="Times New Roman" w:hAnsi="Times New Roman" w:eastAsia="宋体"/>
                <w:b w:val="0"/>
                <w:color w:val="000000"/>
                <w:sz w:val="21"/>
              </w:rPr>
              <w:t>工坊（生产加工）</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三角形（向上）</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底 52px 高 46px</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尖顶象征烟囱/生产</w:t>
            </w:r>
          </w:p>
        </w:tc>
      </w:tr>
      <w:tr>
        <w:trPr>
          <w:cantSplit/>
        </w:trPr>
        <w:tc>
          <w:tcPr>
            <w:tcW w:type="dxa" w:w="2268"/>
            <w:vAlign w:val="center"/>
          </w:tcPr>
          <w:p>
            <w:pPr>
              <w:spacing w:line="240" w:lineRule="auto" w:before="40" w:after="40"/>
              <w:jc w:val="center"/>
              <w:ind w:firstLineChars="0" w:firstLine="0" w:left="0" w:right="0"/>
            </w:pPr>
            <w:r>
              <w:rPr>
                <w:rFonts w:ascii="Times New Roman" w:hAnsi="Times New Roman" w:eastAsia="宋体"/>
                <w:b w:val="0"/>
                <w:color w:val="000000"/>
                <w:sz w:val="21"/>
              </w:rPr>
              <w:t>商行（商贸销售）</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菱形</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对角线 52px</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临街铺面转向感</w:t>
            </w:r>
          </w:p>
        </w:tc>
      </w:tr>
      <w:tr>
        <w:trPr>
          <w:cantSplit/>
        </w:trPr>
        <w:tc>
          <w:tcPr>
            <w:tcW w:type="dxa" w:w="2268"/>
            <w:vAlign w:val="center"/>
          </w:tcPr>
          <w:p>
            <w:pPr>
              <w:spacing w:line="240" w:lineRule="auto" w:before="40" w:after="40"/>
              <w:jc w:val="center"/>
              <w:ind w:firstLineChars="0" w:firstLine="0" w:left="0" w:right="0"/>
            </w:pPr>
            <w:r>
              <w:rPr>
                <w:rFonts w:ascii="Times New Roman" w:hAnsi="Times New Roman" w:eastAsia="宋体"/>
                <w:b w:val="0"/>
                <w:color w:val="000000"/>
                <w:sz w:val="21"/>
              </w:rPr>
              <w:t>驿馆（技术服务）</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圆角矩形（横向）</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56×36px</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横向舒展，服务属性</w:t>
            </w:r>
          </w:p>
        </w:tc>
      </w:tr>
      <w:tr>
        <w:trPr>
          <w:cantSplit/>
        </w:trPr>
        <w:tc>
          <w:tcPr>
            <w:tcW w:type="dxa" w:w="2268"/>
            <w:vAlign w:val="center"/>
          </w:tcPr>
          <w:p>
            <w:pPr>
              <w:spacing w:line="240" w:lineRule="auto" w:before="40" w:after="40"/>
              <w:jc w:val="center"/>
              <w:ind w:firstLineChars="0" w:firstLine="0" w:left="0" w:right="0"/>
            </w:pPr>
            <w:r>
              <w:rPr>
                <w:rFonts w:ascii="Times New Roman" w:hAnsi="Times New Roman" w:eastAsia="宋体"/>
                <w:b w:val="0"/>
                <w:color w:val="000000"/>
                <w:sz w:val="21"/>
              </w:rPr>
              <w:t>金融机构</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八边形</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半径 30px</w:t>
            </w:r>
          </w:p>
        </w:tc>
        <w:tc>
          <w:tcPr>
            <w:tcW w:type="dxa" w:w="2268"/>
            <w:vAlign w:val="center"/>
          </w:tcPr>
          <w:p>
            <w:pPr>
              <w:spacing w:line="240" w:lineRule="auto" w:before="40" w:after="40"/>
              <w:jc w:val="left"/>
              <w:ind w:firstLineChars="0" w:firstLine="0" w:left="0" w:right="0"/>
            </w:pPr>
            <w:r>
              <w:rPr>
                <w:rFonts w:ascii="Times New Roman" w:hAnsi="Times New Roman" w:eastAsia="宋体"/>
                <w:b w:val="0"/>
                <w:color w:val="000000"/>
                <w:sz w:val="21"/>
              </w:rPr>
              <w:t>稳重、略大于其他</w:t>
            </w:r>
          </w:p>
        </w:tc>
      </w:tr>
    </w:tbl>
    <w:p>
      <w:pPr>
        <w:spacing w:after="120" w:line="240" w:lineRule="auto"/>
      </w:pPr>
    </w:p>
    <w:p>
      <w:pPr>
        <w:ind w:firstLineChars="0" w:firstLine="0"/>
      </w:pPr>
      <w:r>
        <w:rPr>
          <w:rFonts w:ascii="Times New Roman" w:hAnsi="Times New Roman" w:eastAsia="宋体"/>
          <w:b w:val="0"/>
          <w:color w:val="000000"/>
          <w:sz w:val="24"/>
        </w:rPr>
        <w:t>节点构成：</w:t>
      </w:r>
    </w:p>
    <w:p>
      <w:pPr>
        <w:spacing w:line="240" w:lineRule="auto" w:before="80" w:after="120"/>
        <w:ind w:firstLineChars="0" w:firstLine="0" w:left="180"/>
        <w:shd w:val="clear" w:fill="F5F5F5"/>
      </w:pPr>
      <w:r>
        <w:rPr>
          <w:rFonts w:ascii="Consolas" w:hAnsi="Consolas"/>
          <w:rFonts w:ascii="Consolas" w:hAnsi="Consolas" w:eastAsia="Consolas"/>
          <w:sz w:val="18"/>
        </w:rPr>
        <w:t>┌─────────────────┐</w:t>
        <w:br/>
      </w:r>
      <w:r>
        <w:rPr>
          <w:rFonts w:ascii="Consolas" w:hAnsi="Consolas"/>
          <w:rFonts w:ascii="Consolas" w:hAnsi="Consolas" w:eastAsia="Consolas"/>
          <w:sz w:val="18"/>
        </w:rPr>
        <w:t>│   [几何图形]     │  ← 填充 #82C9E0，描边 #5AA8C0</w:t>
        <w:br/>
      </w:r>
      <w:r>
        <w:rPr>
          <w:rFonts w:ascii="Consolas" w:hAnsi="Consolas"/>
          <w:rFonts w:ascii="Consolas" w:hAnsi="Consolas" w:eastAsia="Consolas"/>
          <w:sz w:val="18"/>
        </w:rPr>
        <w:t>│   类型图标       │  ← 图形中心小图标（可选）</w:t>
        <w:br/>
      </w:r>
      <w:r>
        <w:rPr>
          <w:rFonts w:ascii="Consolas" w:hAnsi="Consolas"/>
          <w:rFonts w:ascii="Consolas" w:hAnsi="Consolas" w:eastAsia="Consolas"/>
          <w:sz w:val="18"/>
        </w:rPr>
        <w:t>└─────────────────┘</w:t>
        <w:br/>
      </w:r>
      <w:r>
        <w:rPr>
          <w:rFonts w:ascii="Consolas" w:hAnsi="Consolas"/>
          <w:rFonts w:ascii="Consolas" w:hAnsi="Consolas" w:eastAsia="Consolas"/>
          <w:sz w:val="18"/>
        </w:rPr>
        <w:t xml:space="preserve">      企业名称        ← 图形下方 6px，文字 #E0E0E0，12px</w:t>
        <w:br/>
      </w:r>
      <w:r>
        <w:rPr>
          <w:rFonts w:ascii="Consolas" w:hAnsi="Consolas"/>
          <w:rFonts w:ascii="Consolas" w:hAnsi="Consolas" w:eastAsia="Consolas"/>
          <w:sz w:val="18"/>
        </w:rPr>
        <w:t xml:space="preserve">      风险标签        ← 高风险时显示，如“高 0.78”</w:t>
      </w:r>
    </w:p>
    <w:p>
      <w:r>
        <w:rPr>
          <w:rFonts w:ascii="Times New Roman" w:hAnsi="Times New Roman" w:eastAsia="宋体"/>
          <w:b w:val="0"/>
          <w:color w:val="000000"/>
          <w:sz w:val="24"/>
        </w:rPr>
        <w:t>风险表达（不改填充色）：</w:t>
      </w:r>
    </w:p>
    <w:p>
      <w:pPr>
        <w:pStyle w:val="ListBullet"/>
      </w:pPr>
      <w:r>
        <w:rPr>
          <w:rFonts w:ascii="Times New Roman" w:hAnsi="Times New Roman" w:eastAsia="宋体"/>
          <w:b w:val="0"/>
          <w:color w:val="000000"/>
          <w:sz w:val="24"/>
        </w:rPr>
        <w:t>低风险：外圈描边浅橙 #FFB74D，宽 2px</w:t>
      </w:r>
    </w:p>
    <w:p>
      <w:pPr>
        <w:pStyle w:val="ListBullet"/>
      </w:pPr>
      <w:r>
        <w:rPr>
          <w:rFonts w:ascii="Times New Roman" w:hAnsi="Times New Roman" w:eastAsia="宋体"/>
          <w:b w:val="0"/>
          <w:color w:val="000000"/>
          <w:sz w:val="24"/>
        </w:rPr>
        <w:t>中风险：外圈描边橙 #FF8C42，宽 3px + 轻微光晕</w:t>
      </w:r>
    </w:p>
    <w:p>
      <w:pPr>
        <w:pStyle w:val="ListBullet"/>
      </w:pPr>
      <w:r>
        <w:rPr>
          <w:rFonts w:ascii="Times New Roman" w:hAnsi="Times New Roman" w:eastAsia="宋体"/>
          <w:b w:val="0"/>
          <w:color w:val="000000"/>
          <w:sz w:val="24"/>
        </w:rPr>
        <w:t>高风险：外圈描边红 #E53935，宽 4px + 光晕</w:t>
      </w:r>
    </w:p>
    <w:p>
      <w:pPr>
        <w:pStyle w:val="ListBullet"/>
      </w:pPr>
      <w:r>
        <w:rPr>
          <w:rFonts w:ascii="Times New Roman" w:hAnsi="Times New Roman" w:eastAsia="宋体"/>
          <w:b w:val="0"/>
          <w:color w:val="000000"/>
          <w:sz w:val="24"/>
        </w:rPr>
        <w:t>风险源：外圈深红 #B71C1C 双环 + 脉冲动画</w:t>
      </w:r>
    </w:p>
    <w:p>
      <w:pPr>
        <w:pStyle w:val="ListBullet"/>
      </w:pPr>
      <w:r>
        <w:rPr>
          <w:rFonts w:ascii="Times New Roman" w:hAnsi="Times New Roman" w:eastAsia="宋体"/>
          <w:b w:val="0"/>
          <w:color w:val="000000"/>
          <w:sz w:val="24"/>
        </w:rPr>
        <w:t>同控：最外层细环，中性色，与风险描边不冲突（风险在内，同控在外）</w:t>
      </w:r>
    </w:p>
    <w:p>
      <w:pPr>
        <w:pStyle w:val="Heading2"/>
      </w:pPr>
      <w:r>
        <w:rPr>
          <w:rFonts w:ascii="Times New Roman" w:hAnsi="Times New Roman" w:eastAsia="黑体"/>
          <w:b/>
          <w:color w:val="000000"/>
          <w:sz w:val="28"/>
        </w:rPr>
        <w:t>4.2 关系连线表示</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tblHeader w:val="true"/>
        </w:trPr>
        <w:tc>
          <w:tcPr>
            <w:tcW w:type="dxa" w:w="1814"/>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关系类型</w:t>
            </w:r>
          </w:p>
        </w:tc>
        <w:tc>
          <w:tcPr>
            <w:tcW w:type="dxa" w:w="1814"/>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颜色</w:t>
            </w:r>
          </w:p>
        </w:tc>
        <w:tc>
          <w:tcPr>
            <w:tcW w:type="dxa" w:w="1814"/>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线型</w:t>
            </w:r>
          </w:p>
        </w:tc>
        <w:tc>
          <w:tcPr>
            <w:tcW w:type="dxa" w:w="1814"/>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线宽</w:t>
            </w:r>
          </w:p>
        </w:tc>
        <w:tc>
          <w:tcPr>
            <w:tcW w:type="dxa" w:w="1814"/>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箭头</w:t>
            </w:r>
          </w:p>
        </w:tc>
      </w:tr>
      <w:tr>
        <w:trPr>
          <w:cantSplit/>
        </w:trPr>
        <w:tc>
          <w:tcPr>
            <w:tcW w:type="dxa" w:w="1814"/>
            <w:vAlign w:val="center"/>
          </w:tcPr>
          <w:p>
            <w:pPr>
              <w:spacing w:line="240" w:lineRule="auto" w:before="40" w:after="40"/>
              <w:jc w:val="center"/>
              <w:ind w:firstLineChars="0" w:firstLine="0" w:left="0" w:right="0"/>
            </w:pPr>
            <w:r>
              <w:rPr>
                <w:rFonts w:ascii="Times New Roman" w:hAnsi="Times New Roman" w:eastAsia="宋体"/>
                <w:b w:val="0"/>
                <w:color w:val="000000"/>
                <w:sz w:val="21"/>
              </w:rPr>
              <w:t>物料流</w:t>
            </w:r>
          </w:p>
        </w:tc>
        <w:tc>
          <w:tcPr>
            <w:tcW w:type="dxa" w:w="1814"/>
            <w:vAlign w:val="center"/>
          </w:tcPr>
          <w:p>
            <w:pPr>
              <w:spacing w:line="240" w:lineRule="auto" w:before="40" w:after="40"/>
              <w:jc w:val="left"/>
              <w:ind w:firstLineChars="0" w:firstLine="0" w:left="0" w:right="0"/>
            </w:pPr>
            <w:r>
              <w:rPr>
                <w:rFonts w:ascii="Times New Roman" w:hAnsi="Times New Roman" w:eastAsia="宋体"/>
                <w:b w:val="0"/>
                <w:color w:val="000000"/>
                <w:sz w:val="21"/>
              </w:rPr>
              <w:t>#4A90D9</w:t>
            </w:r>
          </w:p>
        </w:tc>
        <w:tc>
          <w:tcPr>
            <w:tcW w:type="dxa" w:w="1814"/>
            <w:vAlign w:val="center"/>
          </w:tcPr>
          <w:p>
            <w:pPr>
              <w:spacing w:line="240" w:lineRule="auto" w:before="40" w:after="40"/>
              <w:jc w:val="left"/>
              <w:ind w:firstLineChars="0" w:firstLine="0" w:left="0" w:right="0"/>
            </w:pPr>
            <w:r>
              <w:rPr>
                <w:rFonts w:ascii="Times New Roman" w:hAnsi="Times New Roman" w:eastAsia="宋体"/>
                <w:b w:val="0"/>
                <w:color w:val="000000"/>
                <w:sz w:val="21"/>
              </w:rPr>
              <w:t>实线</w:t>
            </w:r>
          </w:p>
        </w:tc>
        <w:tc>
          <w:tcPr>
            <w:tcW w:type="dxa" w:w="1814"/>
            <w:vAlign w:val="center"/>
          </w:tcPr>
          <w:p>
            <w:pPr>
              <w:spacing w:line="240" w:lineRule="auto" w:before="40" w:after="40"/>
              <w:jc w:val="left"/>
              <w:ind w:firstLineChars="0" w:firstLine="0" w:left="0" w:right="0"/>
            </w:pPr>
            <w:r>
              <w:rPr>
                <w:rFonts w:ascii="Times New Roman" w:hAnsi="Times New Roman" w:eastAsia="宋体"/>
                <w:b w:val="0"/>
                <w:color w:val="000000"/>
                <w:sz w:val="21"/>
              </w:rPr>
              <w:t>1.5px</w:t>
            </w:r>
          </w:p>
        </w:tc>
        <w:tc>
          <w:tcPr>
            <w:tcW w:type="dxa" w:w="1814"/>
            <w:vAlign w:val="center"/>
          </w:tcPr>
          <w:p>
            <w:pPr>
              <w:spacing w:line="240" w:lineRule="auto" w:before="40" w:after="40"/>
              <w:jc w:val="left"/>
              <w:ind w:firstLineChars="0" w:firstLine="0" w:left="0" w:right="0"/>
            </w:pPr>
            <w:r>
              <w:rPr>
                <w:rFonts w:ascii="Times New Roman" w:hAnsi="Times New Roman" w:eastAsia="宋体"/>
                <w:b w:val="0"/>
                <w:color w:val="000000"/>
                <w:sz w:val="21"/>
              </w:rPr>
              <w:t>有方向箭头</w:t>
            </w:r>
          </w:p>
        </w:tc>
      </w:tr>
      <w:tr>
        <w:trPr>
          <w:cantSplit/>
        </w:trPr>
        <w:tc>
          <w:tcPr>
            <w:tcW w:type="dxa" w:w="1814"/>
            <w:vAlign w:val="center"/>
          </w:tcPr>
          <w:p>
            <w:pPr>
              <w:spacing w:line="240" w:lineRule="auto" w:before="40" w:after="40"/>
              <w:jc w:val="center"/>
              <w:ind w:firstLineChars="0" w:firstLine="0" w:left="0" w:right="0"/>
            </w:pPr>
            <w:r>
              <w:rPr>
                <w:rFonts w:ascii="Times New Roman" w:hAnsi="Times New Roman" w:eastAsia="宋体"/>
                <w:b w:val="0"/>
                <w:color w:val="000000"/>
                <w:sz w:val="21"/>
              </w:rPr>
              <w:t>资金账期</w:t>
            </w:r>
          </w:p>
        </w:tc>
        <w:tc>
          <w:tcPr>
            <w:tcW w:type="dxa" w:w="1814"/>
            <w:vAlign w:val="center"/>
          </w:tcPr>
          <w:p>
            <w:pPr>
              <w:spacing w:line="240" w:lineRule="auto" w:before="40" w:after="40"/>
              <w:jc w:val="left"/>
              <w:ind w:firstLineChars="0" w:firstLine="0" w:left="0" w:right="0"/>
            </w:pPr>
            <w:r>
              <w:rPr>
                <w:rFonts w:ascii="Times New Roman" w:hAnsi="Times New Roman" w:eastAsia="宋体"/>
                <w:b w:val="0"/>
                <w:color w:val="000000"/>
                <w:sz w:val="21"/>
              </w:rPr>
              <w:t>#9B59B6</w:t>
            </w:r>
          </w:p>
        </w:tc>
        <w:tc>
          <w:tcPr>
            <w:tcW w:type="dxa" w:w="1814"/>
            <w:vAlign w:val="center"/>
          </w:tcPr>
          <w:p>
            <w:pPr>
              <w:spacing w:line="240" w:lineRule="auto" w:before="40" w:after="40"/>
              <w:jc w:val="left"/>
              <w:ind w:firstLineChars="0" w:firstLine="0" w:left="0" w:right="0"/>
            </w:pPr>
            <w:r>
              <w:rPr>
                <w:rFonts w:ascii="Times New Roman" w:hAnsi="Times New Roman" w:eastAsia="宋体"/>
                <w:b w:val="0"/>
                <w:color w:val="000000"/>
                <w:sz w:val="21"/>
              </w:rPr>
              <w:t>虚线（6,4）</w:t>
            </w:r>
          </w:p>
        </w:tc>
        <w:tc>
          <w:tcPr>
            <w:tcW w:type="dxa" w:w="1814"/>
            <w:vAlign w:val="center"/>
          </w:tcPr>
          <w:p>
            <w:pPr>
              <w:spacing w:line="240" w:lineRule="auto" w:before="40" w:after="40"/>
              <w:jc w:val="left"/>
              <w:ind w:firstLineChars="0" w:firstLine="0" w:left="0" w:right="0"/>
            </w:pPr>
            <w:r>
              <w:rPr>
                <w:rFonts w:ascii="Times New Roman" w:hAnsi="Times New Roman" w:eastAsia="宋体"/>
                <w:b w:val="0"/>
                <w:color w:val="000000"/>
                <w:sz w:val="21"/>
              </w:rPr>
              <w:t>1.5px</w:t>
            </w:r>
          </w:p>
        </w:tc>
        <w:tc>
          <w:tcPr>
            <w:tcW w:type="dxa" w:w="1814"/>
            <w:vAlign w:val="center"/>
          </w:tcPr>
          <w:p>
            <w:pPr>
              <w:spacing w:line="240" w:lineRule="auto" w:before="40" w:after="40"/>
              <w:jc w:val="left"/>
              <w:ind w:firstLineChars="0" w:firstLine="0" w:left="0" w:right="0"/>
            </w:pPr>
            <w:r>
              <w:rPr>
                <w:rFonts w:ascii="Times New Roman" w:hAnsi="Times New Roman" w:eastAsia="宋体"/>
                <w:b w:val="0"/>
                <w:color w:val="000000"/>
                <w:sz w:val="21"/>
              </w:rPr>
              <w:t>有方向箭头</w:t>
            </w:r>
          </w:p>
        </w:tc>
      </w:tr>
      <w:tr>
        <w:trPr>
          <w:cantSplit/>
        </w:trPr>
        <w:tc>
          <w:tcPr>
            <w:tcW w:type="dxa" w:w="1814"/>
            <w:vAlign w:val="center"/>
          </w:tcPr>
          <w:p>
            <w:pPr>
              <w:spacing w:line="240" w:lineRule="auto" w:before="40" w:after="40"/>
              <w:jc w:val="center"/>
              <w:ind w:firstLineChars="0" w:firstLine="0" w:left="0" w:right="0"/>
            </w:pPr>
            <w:r>
              <w:rPr>
                <w:rFonts w:ascii="Times New Roman" w:hAnsi="Times New Roman" w:eastAsia="宋体"/>
                <w:b w:val="0"/>
                <w:color w:val="000000"/>
                <w:sz w:val="21"/>
              </w:rPr>
              <w:t>技术/服务</w:t>
            </w:r>
          </w:p>
        </w:tc>
        <w:tc>
          <w:tcPr>
            <w:tcW w:type="dxa" w:w="1814"/>
            <w:vAlign w:val="center"/>
          </w:tcPr>
          <w:p>
            <w:pPr>
              <w:spacing w:line="240" w:lineRule="auto" w:before="40" w:after="40"/>
              <w:jc w:val="left"/>
              <w:ind w:firstLineChars="0" w:firstLine="0" w:left="0" w:right="0"/>
            </w:pPr>
            <w:r>
              <w:rPr>
                <w:rFonts w:ascii="Times New Roman" w:hAnsi="Times New Roman" w:eastAsia="宋体"/>
                <w:b w:val="0"/>
                <w:color w:val="000000"/>
                <w:sz w:val="21"/>
              </w:rPr>
              <w:t>#1ABC9C</w:t>
            </w:r>
          </w:p>
        </w:tc>
        <w:tc>
          <w:tcPr>
            <w:tcW w:type="dxa" w:w="1814"/>
            <w:vAlign w:val="center"/>
          </w:tcPr>
          <w:p>
            <w:pPr>
              <w:spacing w:line="240" w:lineRule="auto" w:before="40" w:after="40"/>
              <w:jc w:val="left"/>
              <w:ind w:firstLineChars="0" w:firstLine="0" w:left="0" w:right="0"/>
            </w:pPr>
            <w:r>
              <w:rPr>
                <w:rFonts w:ascii="Times New Roman" w:hAnsi="Times New Roman" w:eastAsia="宋体"/>
                <w:b w:val="0"/>
                <w:color w:val="000000"/>
                <w:sz w:val="21"/>
              </w:rPr>
              <w:t>点划线（8,3,2,3）</w:t>
            </w:r>
          </w:p>
        </w:tc>
        <w:tc>
          <w:tcPr>
            <w:tcW w:type="dxa" w:w="1814"/>
            <w:vAlign w:val="center"/>
          </w:tcPr>
          <w:p>
            <w:pPr>
              <w:spacing w:line="240" w:lineRule="auto" w:before="40" w:after="40"/>
              <w:jc w:val="left"/>
              <w:ind w:firstLineChars="0" w:firstLine="0" w:left="0" w:right="0"/>
            </w:pPr>
            <w:r>
              <w:rPr>
                <w:rFonts w:ascii="Times New Roman" w:hAnsi="Times New Roman" w:eastAsia="宋体"/>
                <w:b w:val="0"/>
                <w:color w:val="000000"/>
                <w:sz w:val="21"/>
              </w:rPr>
              <w:t>1.5px</w:t>
            </w:r>
          </w:p>
        </w:tc>
        <w:tc>
          <w:tcPr>
            <w:tcW w:type="dxa" w:w="1814"/>
            <w:vAlign w:val="center"/>
          </w:tcPr>
          <w:p>
            <w:pPr>
              <w:spacing w:line="240" w:lineRule="auto" w:before="40" w:after="40"/>
              <w:jc w:val="left"/>
              <w:ind w:firstLineChars="0" w:firstLine="0" w:left="0" w:right="0"/>
            </w:pPr>
            <w:r>
              <w:rPr>
                <w:rFonts w:ascii="Times New Roman" w:hAnsi="Times New Roman" w:eastAsia="宋体"/>
                <w:b w:val="0"/>
                <w:color w:val="000000"/>
                <w:sz w:val="21"/>
              </w:rPr>
              <w:t>有方向箭头</w:t>
            </w:r>
          </w:p>
        </w:tc>
      </w:tr>
      <w:tr>
        <w:trPr>
          <w:cantSplit/>
        </w:trPr>
        <w:tc>
          <w:tcPr>
            <w:tcW w:type="dxa" w:w="1814"/>
            <w:vAlign w:val="center"/>
          </w:tcPr>
          <w:p>
            <w:pPr>
              <w:spacing w:line="240" w:lineRule="auto" w:before="40" w:after="40"/>
              <w:jc w:val="center"/>
              <w:ind w:firstLineChars="0" w:firstLine="0" w:left="0" w:right="0"/>
            </w:pPr>
            <w:r>
              <w:rPr>
                <w:rFonts w:ascii="Times New Roman" w:hAnsi="Times New Roman" w:eastAsia="宋体"/>
                <w:b w:val="0"/>
                <w:color w:val="000000"/>
                <w:sz w:val="21"/>
              </w:rPr>
              <w:t>担保</w:t>
            </w:r>
          </w:p>
        </w:tc>
        <w:tc>
          <w:tcPr>
            <w:tcW w:type="dxa" w:w="1814"/>
            <w:vAlign w:val="center"/>
          </w:tcPr>
          <w:p>
            <w:pPr>
              <w:spacing w:line="240" w:lineRule="auto" w:before="40" w:after="40"/>
              <w:jc w:val="left"/>
              <w:ind w:firstLineChars="0" w:firstLine="0" w:left="0" w:right="0"/>
            </w:pPr>
            <w:r>
              <w:rPr>
                <w:rFonts w:ascii="Times New Roman" w:hAnsi="Times New Roman" w:eastAsia="宋体"/>
                <w:b w:val="0"/>
                <w:color w:val="000000"/>
                <w:sz w:val="21"/>
              </w:rPr>
              <w:t>#2E7D32</w:t>
            </w:r>
          </w:p>
        </w:tc>
        <w:tc>
          <w:tcPr>
            <w:tcW w:type="dxa" w:w="1814"/>
            <w:vAlign w:val="center"/>
          </w:tcPr>
          <w:p>
            <w:pPr>
              <w:spacing w:line="240" w:lineRule="auto" w:before="40" w:after="40"/>
              <w:jc w:val="left"/>
              <w:ind w:firstLineChars="0" w:firstLine="0" w:left="0" w:right="0"/>
            </w:pPr>
            <w:r>
              <w:rPr>
                <w:rFonts w:ascii="Times New Roman" w:hAnsi="Times New Roman" w:eastAsia="宋体"/>
                <w:b w:val="0"/>
                <w:color w:val="000000"/>
                <w:sz w:val="21"/>
              </w:rPr>
              <w:t>实线</w:t>
            </w:r>
          </w:p>
        </w:tc>
        <w:tc>
          <w:tcPr>
            <w:tcW w:type="dxa" w:w="1814"/>
            <w:vAlign w:val="center"/>
          </w:tcPr>
          <w:p>
            <w:pPr>
              <w:spacing w:line="240" w:lineRule="auto" w:before="40" w:after="40"/>
              <w:jc w:val="left"/>
              <w:ind w:firstLineChars="0" w:firstLine="0" w:left="0" w:right="0"/>
            </w:pPr>
            <w:r>
              <w:rPr>
                <w:rFonts w:ascii="Times New Roman" w:hAnsi="Times New Roman" w:eastAsia="宋体"/>
                <w:b w:val="0"/>
                <w:color w:val="000000"/>
                <w:sz w:val="21"/>
              </w:rPr>
              <w:t>2.5px</w:t>
            </w:r>
          </w:p>
        </w:tc>
        <w:tc>
          <w:tcPr>
            <w:tcW w:type="dxa" w:w="1814"/>
            <w:vAlign w:val="center"/>
          </w:tcPr>
          <w:p>
            <w:pPr>
              <w:spacing w:line="240" w:lineRule="auto" w:before="40" w:after="40"/>
              <w:jc w:val="left"/>
              <w:ind w:firstLineChars="0" w:firstLine="0" w:left="0" w:right="0"/>
            </w:pPr>
            <w:r>
              <w:rPr>
                <w:rFonts w:ascii="Times New Roman" w:hAnsi="Times New Roman" w:eastAsia="宋体"/>
                <w:b w:val="0"/>
                <w:color w:val="000000"/>
                <w:sz w:val="21"/>
              </w:rPr>
              <w:t>无箭头（双向关系）</w:t>
            </w:r>
          </w:p>
        </w:tc>
      </w:tr>
      <w:tr>
        <w:trPr>
          <w:cantSplit/>
        </w:trPr>
        <w:tc>
          <w:tcPr>
            <w:tcW w:type="dxa" w:w="1814"/>
            <w:vAlign w:val="center"/>
          </w:tcPr>
          <w:p>
            <w:pPr>
              <w:spacing w:line="240" w:lineRule="auto" w:before="40" w:after="40"/>
              <w:jc w:val="center"/>
              <w:ind w:firstLineChars="0" w:firstLine="0" w:left="0" w:right="0"/>
            </w:pPr>
            <w:r>
              <w:rPr>
                <w:rFonts w:ascii="Times New Roman" w:hAnsi="Times New Roman" w:eastAsia="宋体"/>
                <w:b w:val="0"/>
                <w:color w:val="000000"/>
                <w:sz w:val="21"/>
              </w:rPr>
              <w:t>同控</w:t>
            </w:r>
          </w:p>
        </w:tc>
        <w:tc>
          <w:tcPr>
            <w:tcW w:type="dxa" w:w="1814"/>
            <w:vAlign w:val="center"/>
          </w:tcPr>
          <w:p>
            <w:pPr>
              <w:spacing w:line="240" w:lineRule="auto" w:before="40" w:after="40"/>
              <w:jc w:val="left"/>
              <w:ind w:firstLineChars="0" w:firstLine="0" w:left="0" w:right="0"/>
            </w:pPr>
            <w:r>
              <w:rPr>
                <w:rFonts w:ascii="Times New Roman" w:hAnsi="Times New Roman" w:eastAsia="宋体"/>
                <w:b w:val="0"/>
                <w:color w:val="000000"/>
                <w:sz w:val="21"/>
              </w:rPr>
              <w:t>不画连线——用节点外环表达</w:t>
            </w:r>
          </w:p>
        </w:tc>
        <w:tc>
          <w:tcPr>
            <w:tcW w:type="dxa" w:w="1814"/>
            <w:vAlign w:val="center"/>
          </w:tcPr>
          <w:p>
            <w:pPr>
              <w:spacing w:line="240" w:lineRule="auto" w:before="40" w:after="40"/>
              <w:jc w:val="left"/>
              <w:ind w:firstLineChars="0" w:firstLine="0" w:left="0" w:right="0"/>
            </w:pPr>
            <w:r>
              <w:rPr>
                <w:rFonts w:ascii="Times New Roman" w:hAnsi="Times New Roman" w:eastAsia="宋体"/>
                <w:b w:val="0"/>
                <w:color w:val="000000"/>
                <w:sz w:val="21"/>
              </w:rPr>
              <w:t>—</w:t>
            </w:r>
          </w:p>
        </w:tc>
        <w:tc>
          <w:tcPr>
            <w:tcW w:type="dxa" w:w="1814"/>
            <w:vAlign w:val="center"/>
          </w:tcPr>
          <w:p>
            <w:pPr>
              <w:spacing w:line="240" w:lineRule="auto" w:before="40" w:after="40"/>
              <w:jc w:val="left"/>
              <w:ind w:firstLineChars="0" w:firstLine="0" w:left="0" w:right="0"/>
            </w:pPr>
            <w:r>
              <w:rPr>
                <w:rFonts w:ascii="Times New Roman" w:hAnsi="Times New Roman" w:eastAsia="宋体"/>
                <w:b w:val="0"/>
                <w:color w:val="000000"/>
                <w:sz w:val="21"/>
              </w:rPr>
              <w:t>—</w:t>
            </w:r>
          </w:p>
        </w:tc>
        <w:tc>
          <w:tcPr>
            <w:tcW w:type="dxa" w:w="1814"/>
            <w:vAlign w:val="center"/>
          </w:tcPr>
          <w:p>
            <w:pPr>
              <w:spacing w:line="240" w:lineRule="auto" w:before="40" w:after="40"/>
              <w:jc w:val="left"/>
              <w:ind w:firstLineChars="0" w:firstLine="0" w:left="0" w:right="0"/>
            </w:pPr>
            <w:r>
              <w:rPr>
                <w:rFonts w:ascii="Times New Roman" w:hAnsi="Times New Roman" w:eastAsia="宋体"/>
                <w:b w:val="0"/>
                <w:color w:val="000000"/>
                <w:sz w:val="21"/>
              </w:rPr>
              <w:t>—</w:t>
            </w:r>
          </w:p>
        </w:tc>
      </w:tr>
    </w:tbl>
    <w:p>
      <w:pPr>
        <w:spacing w:after="120" w:line="240" w:lineRule="auto"/>
      </w:pPr>
    </w:p>
    <w:p>
      <w:r>
        <w:rPr>
          <w:rFonts w:ascii="Times New Roman" w:hAnsi="Times New Roman" w:eastAsia="宋体"/>
          <w:b w:val="0"/>
          <w:color w:val="000000"/>
          <w:sz w:val="24"/>
        </w:rPr>
        <w:t>传导时变色规则：</w:t>
      </w:r>
    </w:p>
    <w:p>
      <w:pPr>
        <w:pStyle w:val="ListBullet"/>
      </w:pPr>
      <w:r>
        <w:rPr>
          <w:rFonts w:ascii="Times New Roman" w:hAnsi="Times New Roman" w:eastAsia="宋体"/>
          <w:b w:val="0"/>
          <w:color w:val="000000"/>
          <w:sz w:val="24"/>
        </w:rPr>
        <w:t>常态：按上表固定颜色。</w:t>
      </w:r>
    </w:p>
    <w:p>
      <w:pPr>
        <w:pStyle w:val="ListBullet"/>
      </w:pPr>
      <w:r>
        <w:rPr>
          <w:rFonts w:ascii="Times New Roman" w:hAnsi="Times New Roman" w:eastAsia="宋体"/>
          <w:b w:val="0"/>
          <w:color w:val="000000"/>
          <w:sz w:val="24"/>
        </w:rPr>
        <w:t>该边处于风险传导路径上时：线色改为对应风险等级色（低浅橙/中橙/高红），线宽 +1px，可加流动虚线动画。</w:t>
      </w:r>
    </w:p>
    <w:p>
      <w:pPr>
        <w:pStyle w:val="ListBullet"/>
      </w:pPr>
      <w:r>
        <w:rPr>
          <w:rFonts w:ascii="Times New Roman" w:hAnsi="Times New Roman" w:eastAsia="宋体"/>
          <w:b w:val="0"/>
          <w:color w:val="000000"/>
          <w:sz w:val="24"/>
        </w:rPr>
        <w:t>非传导边：保持常态颜色，若被虚化则降低透明度。</w:t>
      </w:r>
    </w:p>
    <w:p>
      <w:pPr>
        <w:pStyle w:val="ListBullet"/>
      </w:pPr>
      <w:r>
        <w:rPr>
          <w:rFonts w:ascii="Times New Roman" w:hAnsi="Times New Roman" w:eastAsia="宋体"/>
          <w:b w:val="0"/>
          <w:color w:val="000000"/>
          <w:sz w:val="24"/>
        </w:rPr>
        <w:t>传导结束后（切换风险源或关闭）：恢复常态颜色。</w:t>
      </w:r>
    </w:p>
    <w:p>
      <w:r>
        <w:rPr>
          <w:rFonts w:ascii="Times New Roman" w:hAnsi="Times New Roman" w:eastAsia="宋体"/>
          <w:b w:val="0"/>
          <w:color w:val="000000"/>
          <w:sz w:val="24"/>
        </w:rPr>
        <w:t>同一对企业多条关系：</w:t>
      </w:r>
    </w:p>
    <w:p>
      <w:pPr>
        <w:pStyle w:val="ListBullet"/>
      </w:pPr>
      <w:r>
        <w:rPr>
          <w:rFonts w:ascii="Times New Roman" w:hAnsi="Times New Roman" w:eastAsia="宋体"/>
          <w:b w:val="0"/>
          <w:color w:val="000000"/>
          <w:sz w:val="24"/>
        </w:rPr>
        <w:t>每条关系独立绘制，弯曲错开。</w:t>
      </w:r>
    </w:p>
    <w:p>
      <w:pPr>
        <w:pStyle w:val="ListBullet"/>
      </w:pPr>
      <w:r>
        <w:rPr>
          <w:rFonts w:ascii="Times New Roman" w:hAnsi="Times New Roman" w:eastAsia="宋体"/>
          <w:b w:val="0"/>
          <w:color w:val="000000"/>
          <w:sz w:val="24"/>
        </w:rPr>
        <w:t>悬停任一企业时，高亮该企业所有关联边，其余边透明度降至 0.2。</w:t>
      </w:r>
    </w:p>
    <w:p>
      <w:pPr>
        <w:pStyle w:val="ListBullet"/>
      </w:pPr>
      <w:r>
        <w:rPr>
          <w:rFonts w:ascii="Times New Roman" w:hAnsi="Times New Roman" w:eastAsia="宋体"/>
          <w:b w:val="0"/>
          <w:color w:val="000000"/>
          <w:sz w:val="24"/>
        </w:rPr>
        <w:t>详情面板合并列出多条关系及其关联值。</w:t>
      </w:r>
    </w:p>
    <w:p>
      <w:pPr>
        <w:pStyle w:val="Heading2"/>
      </w:pPr>
      <w:r>
        <w:rPr>
          <w:rFonts w:ascii="Times New Roman" w:hAnsi="Times New Roman" w:eastAsia="黑体"/>
          <w:b/>
          <w:color w:val="000000"/>
          <w:sz w:val="28"/>
        </w:rPr>
        <w:t>4.3 风险源展示</w:t>
      </w:r>
    </w:p>
    <w:p>
      <w:pPr>
        <w:pStyle w:val="ListBullet"/>
      </w:pPr>
      <w:r>
        <w:rPr>
          <w:rFonts w:ascii="Times New Roman" w:hAnsi="Times New Roman" w:eastAsia="宋体"/>
          <w:b w:val="0"/>
          <w:color w:val="000000"/>
          <w:sz w:val="24"/>
        </w:rPr>
        <w:t>风险源企业节点外圈：深红 #B71C1C 双环 + 脉冲动画。</w:t>
      </w:r>
    </w:p>
    <w:p>
      <w:pPr>
        <w:pStyle w:val="ListBullet"/>
      </w:pPr>
      <w:r>
        <w:rPr>
          <w:rFonts w:ascii="Times New Roman" w:hAnsi="Times New Roman" w:eastAsia="宋体"/>
          <w:b w:val="0"/>
          <w:color w:val="000000"/>
          <w:sz w:val="24"/>
        </w:rPr>
        <w:t>节点旁显示风险源标签：⚠ 风险源：断供 / 逾期 / 技术中断 / 控制人风险。</w:t>
      </w:r>
    </w:p>
    <w:p>
      <w:pPr>
        <w:pStyle w:val="ListBullet"/>
      </w:pPr>
      <w:r>
        <w:rPr>
          <w:rFonts w:ascii="Times New Roman" w:hAnsi="Times New Roman" w:eastAsia="宋体"/>
          <w:b w:val="0"/>
          <w:color w:val="000000"/>
          <w:sz w:val="24"/>
        </w:rPr>
        <w:t>风险源列表单独展示（右侧功能区），可开关。</w:t>
      </w:r>
    </w:p>
    <w:p>
      <w:pPr>
        <w:pStyle w:val="ListBullet"/>
      </w:pPr>
      <w:r>
        <w:rPr>
          <w:rFonts w:ascii="Times New Roman" w:hAnsi="Times New Roman" w:eastAsia="宋体"/>
          <w:b w:val="0"/>
          <w:color w:val="000000"/>
          <w:sz w:val="24"/>
        </w:rPr>
        <w:t>多个风险源同时存在时，每个风险源独立标记，节点详情列出全部来源。</w:t>
      </w:r>
    </w:p>
    <w:p>
      <w:pPr>
        <w:pStyle w:val="Heading2"/>
      </w:pPr>
      <w:r>
        <w:rPr>
          <w:rFonts w:ascii="Times New Roman" w:hAnsi="Times New Roman" w:eastAsia="黑体"/>
          <w:b/>
          <w:color w:val="000000"/>
          <w:sz w:val="28"/>
        </w:rPr>
        <w:t>4.4 风险传递路线直观展示</w:t>
      </w:r>
    </w:p>
    <w:p>
      <w:pPr>
        <w:pStyle w:val="ListBullet"/>
      </w:pPr>
      <w:r>
        <w:rPr>
          <w:rFonts w:ascii="Times New Roman" w:hAnsi="Times New Roman" w:eastAsia="宋体"/>
          <w:b w:val="0"/>
          <w:color w:val="000000"/>
          <w:sz w:val="24"/>
        </w:rPr>
        <w:t>路径高亮：从风险源出发，沿传导边依次高亮，线色按风险等级渐变（源深红→高红→中橙→低浅橙）。</w:t>
      </w:r>
    </w:p>
    <w:p>
      <w:pPr>
        <w:pStyle w:val="ListBullet"/>
      </w:pPr>
      <w:r>
        <w:rPr>
          <w:rFonts w:ascii="Times New Roman" w:hAnsi="Times New Roman" w:eastAsia="宋体"/>
          <w:b w:val="0"/>
          <w:color w:val="000000"/>
          <w:sz w:val="24"/>
        </w:rPr>
        <w:t>流动动画：沿传导方向流动的虚线或粒子，可暂停/播放。</w:t>
      </w:r>
    </w:p>
    <w:p>
      <w:pPr>
        <w:pStyle w:val="ListBullet"/>
      </w:pPr>
      <w:r>
        <w:rPr>
          <w:rFonts w:ascii="Times New Roman" w:hAnsi="Times New Roman" w:eastAsia="宋体"/>
          <w:b w:val="0"/>
          <w:color w:val="000000"/>
          <w:sz w:val="24"/>
        </w:rPr>
        <w:t>节点脉冲：受影响节点在传导到达时轻微脉冲一次。</w:t>
      </w:r>
    </w:p>
    <w:p>
      <w:pPr>
        <w:pStyle w:val="ListBullet"/>
      </w:pPr>
      <w:r>
        <w:rPr>
          <w:rFonts w:ascii="Times New Roman" w:hAnsi="Times New Roman" w:eastAsia="宋体"/>
          <w:b w:val="0"/>
          <w:color w:val="000000"/>
          <w:sz w:val="24"/>
        </w:rPr>
        <w:t>路径详情：点击企业，侧边/右侧面板展示完整路径步骤条：</w:t>
      </w:r>
    </w:p>
    <w:p>
      <w:pPr>
        <w:spacing w:line="240" w:lineRule="auto" w:before="80" w:after="120"/>
        <w:ind w:firstLineChars="0" w:firstLine="0" w:left="180"/>
        <w:shd w:val="clear" w:fill="F5F5F5"/>
      </w:pPr>
      <w:r>
        <w:rPr>
          <w:rFonts w:ascii="Consolas" w:hAnsi="Consolas"/>
          <w:rFonts w:ascii="Consolas" w:hAnsi="Consolas" w:eastAsia="Consolas"/>
          <w:sz w:val="18"/>
        </w:rPr>
        <w:t>风险源 A（断供）    → [物料流, 关联值 0.60, 衰减 0.85]    → B（高风险 0.82）   → [担保, 关联值 0.80, 互保加成]    → C（中风险 0.55）</w:t>
      </w:r>
    </w:p>
    <w:p>
      <w:pPr>
        <w:pStyle w:val="Heading2"/>
      </w:pPr>
      <w:r>
        <w:rPr>
          <w:rFonts w:ascii="Times New Roman" w:hAnsi="Times New Roman" w:eastAsia="黑体"/>
          <w:b/>
          <w:color w:val="000000"/>
          <w:sz w:val="28"/>
        </w:rPr>
        <w:t>4.5 图例（2D 阶段必须完成，3D 复用）</w:t>
      </w:r>
    </w:p>
    <w:p>
      <w:r>
        <w:rPr>
          <w:rFonts w:ascii="Times New Roman" w:hAnsi="Times New Roman" w:eastAsia="宋体"/>
          <w:b w:val="0"/>
          <w:color w:val="000000"/>
          <w:sz w:val="24"/>
        </w:rPr>
        <w:t>固定在建模区右下角或左下角，可折叠：</w:t>
      </w:r>
    </w:p>
    <w:p>
      <w:pPr>
        <w:pStyle w:val="ListBullet"/>
      </w:pPr>
      <w:r>
        <w:rPr>
          <w:rFonts w:ascii="Times New Roman" w:hAnsi="Times New Roman" w:eastAsia="宋体"/>
          <w:b w:val="0"/>
          <w:color w:val="000000"/>
          <w:sz w:val="24"/>
        </w:rPr>
        <w:t>企业类型图例（六种图形 + 名称）</w:t>
      </w:r>
    </w:p>
    <w:p>
      <w:pPr>
        <w:pStyle w:val="ListBullet"/>
      </w:pPr>
      <w:r>
        <w:rPr>
          <w:rFonts w:ascii="Times New Roman" w:hAnsi="Times New Roman" w:eastAsia="宋体"/>
          <w:b w:val="0"/>
          <w:color w:val="000000"/>
          <w:sz w:val="24"/>
        </w:rPr>
        <w:t>关系类型图例（颜色 + 线型）</w:t>
      </w:r>
    </w:p>
    <w:p>
      <w:pPr>
        <w:pStyle w:val="ListBullet"/>
      </w:pPr>
      <w:r>
        <w:rPr>
          <w:rFonts w:ascii="Times New Roman" w:hAnsi="Times New Roman" w:eastAsia="宋体"/>
          <w:b w:val="0"/>
          <w:color w:val="000000"/>
          <w:sz w:val="24"/>
        </w:rPr>
        <w:t>风险等级图例（浅橙/橙/红/深红 + 描边示例）</w:t>
      </w:r>
    </w:p>
    <w:p>
      <w:pPr>
        <w:pStyle w:val="ListBullet"/>
      </w:pPr>
      <w:r>
        <w:rPr>
          <w:rFonts w:ascii="Times New Roman" w:hAnsi="Times New Roman" w:eastAsia="宋体"/>
          <w:b w:val="0"/>
          <w:color w:val="000000"/>
          <w:sz w:val="24"/>
        </w:rPr>
        <w:t>同控分组图例（外环颜色说明）</w:t>
      </w:r>
    </w:p>
    <w:p>
      <w:pPr>
        <w:pStyle w:val="ListBullet"/>
      </w:pPr>
      <w:r>
        <w:rPr>
          <w:rFonts w:ascii="Times New Roman" w:hAnsi="Times New Roman" w:eastAsia="宋体"/>
          <w:b w:val="0"/>
          <w:color w:val="000000"/>
          <w:sz w:val="24"/>
        </w:rPr>
        <w:t>风险源图例（深红双环 + 脉冲）</w:t>
      </w:r>
    </w:p>
    <w:p>
      <w:pPr>
        <w:pStyle w:val="Heading1"/>
      </w:pPr>
      <w:r>
        <w:rPr>
          <w:rFonts w:ascii="Times New Roman" w:hAnsi="Times New Roman" w:eastAsia="黑体"/>
          <w:b/>
          <w:color w:val="000000"/>
          <w:sz w:val="32"/>
        </w:rPr>
        <w:t>五、功能需求详细说明（2D 阶段全部实现）</w:t>
      </w:r>
    </w:p>
    <w:p>
      <w:pPr>
        <w:pStyle w:val="Heading2"/>
      </w:pPr>
      <w:r>
        <w:rPr>
          <w:rFonts w:ascii="Times New Roman" w:hAnsi="Times New Roman" w:eastAsia="黑体"/>
          <w:b/>
          <w:color w:val="000000"/>
          <w:sz w:val="28"/>
        </w:rPr>
        <w:t>5.1 数据导入（右侧功能区 · 文档输入）</w:t>
      </w:r>
    </w:p>
    <w:p>
      <w:r>
        <w:rPr>
          <w:rFonts w:ascii="Times New Roman" w:hAnsi="Times New Roman" w:eastAsia="宋体"/>
          <w:b w:val="0"/>
          <w:color w:val="000000"/>
          <w:sz w:val="24"/>
        </w:rPr>
        <w:t>支持格式：</w:t>
      </w:r>
    </w:p>
    <w:p>
      <w:pPr>
        <w:pStyle w:val="ListBullet"/>
      </w:pPr>
      <w:r>
        <w:rPr>
          <w:rFonts w:ascii="Times New Roman" w:hAnsi="Times New Roman" w:eastAsia="宋体"/>
          <w:b w:val="0"/>
          <w:color w:val="000000"/>
          <w:sz w:val="24"/>
        </w:rPr>
        <w:t>Excel（核心）：规定格式，必须支持模板下载、校验、预览。</w:t>
      </w:r>
    </w:p>
    <w:p>
      <w:pPr>
        <w:pStyle w:val="ListBullet"/>
      </w:pPr>
      <w:r>
        <w:rPr>
          <w:rFonts w:ascii="Times New Roman" w:hAnsi="Times New Roman" w:eastAsia="宋体"/>
          <w:b w:val="0"/>
          <w:color w:val="000000"/>
          <w:sz w:val="24"/>
        </w:rPr>
        <w:t>PDF/Word（暂不做）：本阶段明确不支持，界面置灰或提示“后续版本支持”。</w:t>
      </w:r>
    </w:p>
    <w:p>
      <w:r>
        <w:rPr>
          <w:rFonts w:ascii="Times New Roman" w:hAnsi="Times New Roman" w:eastAsia="宋体"/>
          <w:b w:val="0"/>
          <w:color w:val="000000"/>
          <w:sz w:val="24"/>
        </w:rPr>
        <w:t>表格识别要求：</w:t>
      </w:r>
    </w:p>
    <w:p>
      <w:pPr>
        <w:pStyle w:val="ListBullet"/>
      </w:pPr>
      <w:r>
        <w:rPr>
          <w:rFonts w:ascii="Times New Roman" w:hAnsi="Times New Roman" w:eastAsia="宋体"/>
          <w:b w:val="0"/>
          <w:color w:val="000000"/>
          <w:sz w:val="24"/>
        </w:rPr>
        <w:t>识别企业类别（六类之一）</w:t>
      </w:r>
    </w:p>
    <w:p>
      <w:pPr>
        <w:pStyle w:val="ListBullet"/>
      </w:pPr>
      <w:r>
        <w:rPr>
          <w:rFonts w:ascii="Times New Roman" w:hAnsi="Times New Roman" w:eastAsia="宋体"/>
          <w:b w:val="0"/>
          <w:color w:val="000000"/>
          <w:sz w:val="24"/>
        </w:rPr>
        <w:t>识别企业关系（物料/资金/技术/担保/同控）</w:t>
      </w:r>
    </w:p>
    <w:p>
      <w:pPr>
        <w:pStyle w:val="ListBullet"/>
      </w:pPr>
      <w:r>
        <w:rPr>
          <w:rFonts w:ascii="Times New Roman" w:hAnsi="Times New Roman" w:eastAsia="宋体"/>
          <w:b w:val="0"/>
          <w:color w:val="000000"/>
          <w:sz w:val="24"/>
        </w:rPr>
        <w:t>若文档包含风险企业，自动读取为风险源（可人工确认）</w:t>
      </w:r>
    </w:p>
    <w:p>
      <w:r>
        <w:rPr>
          <w:rFonts w:ascii="Times New Roman" w:hAnsi="Times New Roman" w:eastAsia="宋体"/>
          <w:b w:val="0"/>
          <w:color w:val="000000"/>
          <w:sz w:val="24"/>
        </w:rPr>
        <w:t>导入流程：</w:t>
      </w:r>
    </w:p>
    <w:p>
      <w:pPr>
        <w:pStyle w:val="ListBullet"/>
      </w:pPr>
      <w:r>
        <w:rPr>
          <w:rFonts w:ascii="Times New Roman" w:hAnsi="Times New Roman" w:eastAsia="宋体"/>
          <w:b w:val="0"/>
          <w:color w:val="000000"/>
          <w:sz w:val="24"/>
        </w:rPr>
        <w:t>上传文件 → 解析预览</w:t>
      </w:r>
    </w:p>
    <w:p>
      <w:pPr>
        <w:pStyle w:val="ListBullet"/>
      </w:pPr>
      <w:r>
        <w:rPr>
          <w:rFonts w:ascii="Times New Roman" w:hAnsi="Times New Roman" w:eastAsia="宋体"/>
          <w:b w:val="0"/>
          <w:color w:val="000000"/>
          <w:sz w:val="24"/>
        </w:rPr>
        <w:t>字段校验：必填/枚举/关系指向/重复关系</w:t>
      </w:r>
    </w:p>
    <w:p>
      <w:pPr>
        <w:pStyle w:val="ListBullet"/>
      </w:pPr>
      <w:r>
        <w:rPr>
          <w:rFonts w:ascii="Times New Roman" w:hAnsi="Times New Roman" w:eastAsia="宋体"/>
          <w:b w:val="0"/>
          <w:color w:val="000000"/>
          <w:sz w:val="24"/>
        </w:rPr>
        <w:t>错误行标红 + 可读提示</w:t>
      </w:r>
    </w:p>
    <w:p>
      <w:pPr>
        <w:pStyle w:val="ListBullet"/>
      </w:pPr>
      <w:r>
        <w:rPr>
          <w:rFonts w:ascii="Times New Roman" w:hAnsi="Times New Roman" w:eastAsia="宋体"/>
          <w:b w:val="0"/>
          <w:color w:val="000000"/>
          <w:sz w:val="24"/>
        </w:rPr>
        <w:t>预览表格展示企业、关系、自动计算的关联值</w:t>
      </w:r>
    </w:p>
    <w:p>
      <w:pPr>
        <w:pStyle w:val="ListBullet"/>
      </w:pPr>
      <w:r>
        <w:rPr>
          <w:rFonts w:ascii="Times New Roman" w:hAnsi="Times New Roman" w:eastAsia="宋体"/>
          <w:b w:val="0"/>
          <w:color w:val="000000"/>
          <w:sz w:val="24"/>
        </w:rPr>
        <w:t>人工核验/修改</w:t>
      </w:r>
    </w:p>
    <w:p>
      <w:pPr>
        <w:pStyle w:val="ListBullet"/>
      </w:pPr>
      <w:r>
        <w:rPr>
          <w:rFonts w:ascii="Times New Roman" w:hAnsi="Times New Roman" w:eastAsia="宋体"/>
          <w:b w:val="0"/>
          <w:color w:val="000000"/>
          <w:sz w:val="24"/>
        </w:rPr>
        <w:t>确认导入 → 生成图模型 → 渲染</w:t>
      </w:r>
    </w:p>
    <w:p>
      <w:pPr>
        <w:ind w:firstLineChars="0" w:firstLine="0"/>
      </w:pPr>
      <w:r>
        <w:rPr>
          <w:rFonts w:ascii="Times New Roman" w:hAnsi="Times New Roman" w:eastAsia="宋体"/>
          <w:b w:val="0"/>
          <w:color w:val="000000"/>
          <w:sz w:val="24"/>
        </w:rPr>
        <w:t>Excel 模板字段：</w:t>
      </w:r>
    </w:p>
    <w:p>
      <w:pPr>
        <w:ind w:firstLineChars="0" w:firstLine="0"/>
      </w:pPr>
      <w:r>
        <w:rPr>
          <w:rFonts w:ascii="Times New Roman" w:hAnsi="Times New Roman" w:eastAsia="宋体"/>
          <w:b w:val="0"/>
          <w:color w:val="000000"/>
          <w:sz w:val="24"/>
        </w:rPr>
        <w:t>企业表：id, name, type, region, metrics, controller_id, controller_name, control_ratio, is_actual_controller, controller_risk_flag, notes</w:t>
      </w:r>
    </w:p>
    <w:p>
      <w:pPr>
        <w:ind w:firstLineChars="0" w:firstLine="0"/>
      </w:pPr>
      <w:r>
        <w:rPr>
          <w:rFonts w:ascii="Times New Roman" w:hAnsi="Times New Roman" w:eastAsia="宋体"/>
          <w:b w:val="0"/>
          <w:color w:val="000000"/>
          <w:sz w:val="24"/>
        </w:rPr>
        <w:t>关系表：from_id, to_id, category, subtype, direction, business_fields, dependency, mutual</w:t>
      </w:r>
    </w:p>
    <w:p>
      <w:pPr>
        <w:ind w:firstLineChars="0" w:firstLine="0"/>
      </w:pPr>
      <w:r>
        <w:rPr>
          <w:rFonts w:ascii="Times New Roman" w:hAnsi="Times New Roman" w:eastAsia="宋体"/>
          <w:b w:val="0"/>
          <w:color w:val="000000"/>
          <w:sz w:val="24"/>
        </w:rPr>
        <w:t>风险源表：id, name, type, target_enterprise_id, initial_score, enabled</w:t>
      </w:r>
    </w:p>
    <w:p>
      <w:pPr>
        <w:pStyle w:val="Heading2"/>
      </w:pPr>
      <w:r>
        <w:rPr>
          <w:rFonts w:ascii="Times New Roman" w:hAnsi="Times New Roman" w:eastAsia="黑体"/>
          <w:b/>
          <w:color w:val="000000"/>
          <w:sz w:val="28"/>
        </w:rPr>
        <w:t>5.2 手动输入区（右侧功能区）</w:t>
      </w:r>
    </w:p>
    <w:p>
      <w:r>
        <w:rPr>
          <w:rFonts w:ascii="Times New Roman" w:hAnsi="Times New Roman" w:eastAsia="宋体"/>
          <w:b w:val="0"/>
          <w:color w:val="000000"/>
          <w:sz w:val="24"/>
        </w:rPr>
        <w:t>手动新增企业：</w:t>
      </w:r>
    </w:p>
    <w:p>
      <w:pPr>
        <w:pStyle w:val="ListBullet"/>
      </w:pPr>
      <w:r>
        <w:rPr>
          <w:rFonts w:ascii="Times New Roman" w:hAnsi="Times New Roman" w:eastAsia="宋体"/>
          <w:b w:val="0"/>
          <w:color w:val="000000"/>
          <w:sz w:val="24"/>
        </w:rPr>
        <w:t>企业名称、类型（六选一）、地区、经营指标、控制人信息</w:t>
      </w:r>
    </w:p>
    <w:p>
      <w:pPr>
        <w:pStyle w:val="ListBullet"/>
      </w:pPr>
      <w:r>
        <w:rPr>
          <w:rFonts w:ascii="Times New Roman" w:hAnsi="Times New Roman" w:eastAsia="宋体"/>
          <w:b w:val="0"/>
          <w:color w:val="000000"/>
          <w:sz w:val="24"/>
        </w:rPr>
        <w:t>保存后立即在建模区生成节点</w:t>
      </w:r>
    </w:p>
    <w:p>
      <w:r>
        <w:rPr>
          <w:rFonts w:ascii="Times New Roman" w:hAnsi="Times New Roman" w:eastAsia="宋体"/>
          <w:b w:val="0"/>
          <w:color w:val="000000"/>
          <w:sz w:val="24"/>
        </w:rPr>
        <w:t>手动新增风险源：</w:t>
      </w:r>
    </w:p>
    <w:p>
      <w:pPr>
        <w:pStyle w:val="ListBullet"/>
      </w:pPr>
      <w:r>
        <w:rPr>
          <w:rFonts w:ascii="Times New Roman" w:hAnsi="Times New Roman" w:eastAsia="宋体"/>
          <w:b w:val="0"/>
          <w:color w:val="000000"/>
          <w:sz w:val="24"/>
        </w:rPr>
        <w:t>选择目标企业、风险类型、初始强度</w:t>
      </w:r>
    </w:p>
    <w:p>
      <w:pPr>
        <w:pStyle w:val="ListBullet"/>
      </w:pPr>
      <w:r>
        <w:rPr>
          <w:rFonts w:ascii="Times New Roman" w:hAnsi="Times New Roman" w:eastAsia="宋体"/>
          <w:b w:val="0"/>
          <w:color w:val="000000"/>
          <w:sz w:val="24"/>
        </w:rPr>
        <w:t>保存后加入风险源列表，建模区节点标记风险源</w:t>
      </w:r>
    </w:p>
    <w:p>
      <w:r>
        <w:rPr>
          <w:rFonts w:ascii="Times New Roman" w:hAnsi="Times New Roman" w:eastAsia="宋体"/>
          <w:b w:val="0"/>
          <w:color w:val="000000"/>
          <w:sz w:val="24"/>
        </w:rPr>
        <w:t>手动新增关系：</w:t>
      </w:r>
    </w:p>
    <w:p>
      <w:pPr>
        <w:pStyle w:val="ListBullet"/>
      </w:pPr>
      <w:r>
        <w:rPr>
          <w:rFonts w:ascii="Times New Roman" w:hAnsi="Times New Roman" w:eastAsia="宋体"/>
          <w:b w:val="0"/>
          <w:color w:val="000000"/>
          <w:sz w:val="24"/>
        </w:rPr>
        <w:t>选择起点/终点企业、关系类型、子类型、方向、业务字段</w:t>
      </w:r>
    </w:p>
    <w:p>
      <w:pPr>
        <w:pStyle w:val="ListBullet"/>
      </w:pPr>
      <w:r>
        <w:rPr>
          <w:rFonts w:ascii="Times New Roman" w:hAnsi="Times New Roman" w:eastAsia="宋体"/>
          <w:b w:val="0"/>
          <w:color w:val="000000"/>
          <w:sz w:val="24"/>
        </w:rPr>
        <w:t>保存后建模区生成连线</w:t>
      </w:r>
    </w:p>
    <w:p>
      <w:pPr>
        <w:pStyle w:val="Heading2"/>
      </w:pPr>
      <w:r>
        <w:rPr>
          <w:rFonts w:ascii="Times New Roman" w:hAnsi="Times New Roman" w:eastAsia="黑体"/>
          <w:b/>
          <w:color w:val="000000"/>
          <w:sz w:val="28"/>
        </w:rPr>
        <w:t>5.3 风险源控制（右侧功能区）</w:t>
      </w:r>
    </w:p>
    <w:p>
      <w:r>
        <w:rPr>
          <w:rFonts w:ascii="Times New Roman" w:hAnsi="Times New Roman" w:eastAsia="宋体"/>
          <w:b w:val="0"/>
          <w:color w:val="000000"/>
          <w:sz w:val="24"/>
        </w:rPr>
        <w:t>风险源列表：</w:t>
      </w:r>
    </w:p>
    <w:p>
      <w:pPr>
        <w:pStyle w:val="ListBullet"/>
      </w:pPr>
      <w:r>
        <w:rPr>
          <w:rFonts w:ascii="Times New Roman" w:hAnsi="Times New Roman" w:eastAsia="宋体"/>
          <w:b w:val="0"/>
          <w:color w:val="000000"/>
          <w:sz w:val="24"/>
        </w:rPr>
        <w:t>单独展示区，有几个风险源记录几个</w:t>
      </w:r>
    </w:p>
    <w:p>
      <w:pPr>
        <w:pStyle w:val="ListBullet"/>
      </w:pPr>
      <w:r>
        <w:rPr>
          <w:rFonts w:ascii="Times New Roman" w:hAnsi="Times New Roman" w:eastAsia="宋体"/>
          <w:b w:val="0"/>
          <w:color w:val="000000"/>
          <w:sz w:val="24"/>
        </w:rPr>
        <w:t>每条记录显示：风险源名称、目标企业、类型、初始强度、开关状态</w:t>
      </w:r>
    </w:p>
    <w:p>
      <w:pPr>
        <w:pStyle w:val="ListBullet"/>
      </w:pPr>
      <w:r>
        <w:rPr>
          <w:rFonts w:ascii="Times New Roman" w:hAnsi="Times New Roman" w:eastAsia="宋体"/>
          <w:b w:val="0"/>
          <w:color w:val="000000"/>
          <w:sz w:val="24"/>
        </w:rPr>
        <w:t>开关：单独开启/关闭任意风险源，关闭后该风险源的传导路径消失，相关节点/边恢复</w:t>
      </w:r>
    </w:p>
    <w:p>
      <w:pPr>
        <w:pStyle w:val="ListBullet"/>
      </w:pPr>
      <w:r>
        <w:rPr>
          <w:rFonts w:ascii="Times New Roman" w:hAnsi="Times New Roman" w:eastAsia="宋体"/>
          <w:b w:val="0"/>
          <w:color w:val="000000"/>
          <w:sz w:val="24"/>
        </w:rPr>
        <w:t>同步删除：当对应企业被删除时，该企业的风险源自动同步删除</w:t>
      </w:r>
    </w:p>
    <w:p>
      <w:pPr>
        <w:pStyle w:val="ListBullet"/>
      </w:pPr>
      <w:r>
        <w:rPr>
          <w:rFonts w:ascii="Times New Roman" w:hAnsi="Times New Roman" w:eastAsia="宋体"/>
          <w:b w:val="0"/>
          <w:color w:val="000000"/>
          <w:sz w:val="24"/>
        </w:rPr>
        <w:t>支持编辑、删除风险源</w:t>
      </w:r>
    </w:p>
    <w:p>
      <w:pPr>
        <w:pStyle w:val="ListBullet"/>
      </w:pPr>
      <w:r>
        <w:rPr>
          <w:rFonts w:ascii="Times New Roman" w:hAnsi="Times New Roman" w:eastAsia="宋体"/>
          <w:b w:val="0"/>
          <w:color w:val="000000"/>
          <w:sz w:val="24"/>
        </w:rPr>
        <w:t>多风险源同时开启时，节点展示最高冲击等级，详情列出共同影响的风险源</w:t>
      </w:r>
    </w:p>
    <w:p>
      <w:pPr>
        <w:pStyle w:val="Heading2"/>
      </w:pPr>
      <w:r>
        <w:rPr>
          <w:rFonts w:ascii="Times New Roman" w:hAnsi="Times New Roman" w:eastAsia="黑体"/>
          <w:b/>
          <w:color w:val="000000"/>
          <w:sz w:val="28"/>
        </w:rPr>
        <w:t>5.4 企业列表（左侧功能区）</w:t>
      </w:r>
    </w:p>
    <w:p>
      <w:r>
        <w:rPr>
          <w:rFonts w:ascii="Times New Roman" w:hAnsi="Times New Roman" w:eastAsia="宋体"/>
          <w:b w:val="0"/>
          <w:color w:val="000000"/>
          <w:sz w:val="24"/>
        </w:rPr>
        <w:t>列表内容：</w:t>
      </w:r>
    </w:p>
    <w:p>
      <w:pPr>
        <w:pStyle w:val="ListBullet"/>
      </w:pPr>
      <w:r>
        <w:rPr>
          <w:rFonts w:ascii="Times New Roman" w:hAnsi="Times New Roman" w:eastAsia="宋体"/>
          <w:b w:val="0"/>
          <w:color w:val="000000"/>
          <w:sz w:val="24"/>
        </w:rPr>
        <w:t>企业名称、类型图标、风险等级、风险分值、是否受影响</w:t>
      </w:r>
    </w:p>
    <w:p>
      <w:pPr>
        <w:pStyle w:val="ListBullet"/>
      </w:pPr>
      <w:r>
        <w:rPr>
          <w:rFonts w:ascii="Times New Roman" w:hAnsi="Times New Roman" w:eastAsia="宋体"/>
          <w:b w:val="0"/>
          <w:color w:val="000000"/>
          <w:sz w:val="24"/>
        </w:rPr>
        <w:t>点击列表项 → 建模区聚焦该企业</w:t>
      </w:r>
    </w:p>
    <w:p>
      <w:r>
        <w:rPr>
          <w:rFonts w:ascii="Times New Roman" w:hAnsi="Times New Roman" w:eastAsia="宋体"/>
          <w:b w:val="0"/>
          <w:color w:val="000000"/>
          <w:sz w:val="24"/>
        </w:rPr>
        <w:t>筛选：</w:t>
      </w:r>
    </w:p>
    <w:p>
      <w:pPr>
        <w:pStyle w:val="ListBullet"/>
      </w:pPr>
      <w:r>
        <w:rPr>
          <w:rFonts w:ascii="Times New Roman" w:hAnsi="Times New Roman" w:eastAsia="宋体"/>
          <w:b w:val="0"/>
          <w:color w:val="000000"/>
          <w:sz w:val="24"/>
        </w:rPr>
        <w:t>受影响 / 不受影响</w:t>
      </w:r>
    </w:p>
    <w:p>
      <w:pPr>
        <w:pStyle w:val="ListBullet"/>
      </w:pPr>
      <w:r>
        <w:rPr>
          <w:rFonts w:ascii="Times New Roman" w:hAnsi="Times New Roman" w:eastAsia="宋体"/>
          <w:b w:val="0"/>
          <w:color w:val="000000"/>
          <w:sz w:val="24"/>
        </w:rPr>
        <w:t>风险等级：高 / 中 / 低 / 无</w:t>
      </w:r>
    </w:p>
    <w:p>
      <w:pPr>
        <w:pStyle w:val="ListBullet"/>
      </w:pPr>
      <w:r>
        <w:rPr>
          <w:rFonts w:ascii="Times New Roman" w:hAnsi="Times New Roman" w:eastAsia="宋体"/>
          <w:b w:val="0"/>
          <w:color w:val="000000"/>
          <w:sz w:val="24"/>
        </w:rPr>
        <w:t>组合筛选</w:t>
      </w:r>
    </w:p>
    <w:p>
      <w:r>
        <w:rPr>
          <w:rFonts w:ascii="Times New Roman" w:hAnsi="Times New Roman" w:eastAsia="宋体"/>
          <w:b w:val="0"/>
          <w:color w:val="000000"/>
          <w:sz w:val="24"/>
        </w:rPr>
        <w:t>搜索：</w:t>
      </w:r>
    </w:p>
    <w:p>
      <w:pPr>
        <w:pStyle w:val="ListBullet"/>
      </w:pPr>
      <w:r>
        <w:rPr>
          <w:rFonts w:ascii="Times New Roman" w:hAnsi="Times New Roman" w:eastAsia="宋体"/>
          <w:b w:val="0"/>
          <w:color w:val="000000"/>
          <w:sz w:val="24"/>
        </w:rPr>
        <w:t>按企业名称搜索</w:t>
      </w:r>
    </w:p>
    <w:p>
      <w:pPr>
        <w:pStyle w:val="ListBullet"/>
      </w:pPr>
      <w:r>
        <w:rPr>
          <w:rFonts w:ascii="Times New Roman" w:hAnsi="Times New Roman" w:eastAsia="宋体"/>
          <w:b w:val="0"/>
          <w:color w:val="000000"/>
          <w:sz w:val="24"/>
        </w:rPr>
        <w:t>按风险等级搜索（输入“高/中/低/无”或选择）</w:t>
      </w:r>
    </w:p>
    <w:p>
      <w:pPr>
        <w:pStyle w:val="ListBullet"/>
      </w:pPr>
      <w:r>
        <w:rPr>
          <w:rFonts w:ascii="Times New Roman" w:hAnsi="Times New Roman" w:eastAsia="宋体"/>
          <w:b w:val="0"/>
          <w:color w:val="000000"/>
          <w:sz w:val="24"/>
        </w:rPr>
        <w:t>实时过滤列表</w:t>
      </w:r>
    </w:p>
    <w:p>
      <w:r>
        <w:rPr>
          <w:rFonts w:ascii="Times New Roman" w:hAnsi="Times New Roman" w:eastAsia="宋体"/>
          <w:b w:val="0"/>
          <w:color w:val="000000"/>
          <w:sz w:val="24"/>
        </w:rPr>
        <w:t>排序：</w:t>
      </w:r>
    </w:p>
    <w:p>
      <w:pPr>
        <w:pStyle w:val="ListBullet"/>
      </w:pPr>
      <w:r>
        <w:rPr>
          <w:rFonts w:ascii="Times New Roman" w:hAnsi="Times New Roman" w:eastAsia="宋体"/>
          <w:b w:val="0"/>
          <w:color w:val="000000"/>
          <w:sz w:val="24"/>
        </w:rPr>
        <w:t>按风险分值降序/升序</w:t>
      </w:r>
    </w:p>
    <w:p>
      <w:pPr>
        <w:pStyle w:val="ListBullet"/>
      </w:pPr>
      <w:r>
        <w:rPr>
          <w:rFonts w:ascii="Times New Roman" w:hAnsi="Times New Roman" w:eastAsia="宋体"/>
          <w:b w:val="0"/>
          <w:color w:val="000000"/>
          <w:sz w:val="24"/>
        </w:rPr>
        <w:t>按企业名称</w:t>
      </w:r>
    </w:p>
    <w:p>
      <w:pPr>
        <w:pStyle w:val="ListBullet"/>
      </w:pPr>
      <w:r>
        <w:rPr>
          <w:rFonts w:ascii="Times New Roman" w:hAnsi="Times New Roman" w:eastAsia="宋体"/>
          <w:b w:val="0"/>
          <w:color w:val="000000"/>
          <w:sz w:val="24"/>
        </w:rPr>
        <w:t>按类型</w:t>
      </w:r>
    </w:p>
    <w:p>
      <w:pPr>
        <w:pStyle w:val="Heading2"/>
      </w:pPr>
      <w:r>
        <w:rPr>
          <w:rFonts w:ascii="Times New Roman" w:hAnsi="Times New Roman" w:eastAsia="黑体"/>
          <w:b/>
          <w:color w:val="000000"/>
          <w:sz w:val="28"/>
        </w:rPr>
        <w:t>5.5 结果展示区（左侧功能区）</w:t>
      </w:r>
    </w:p>
    <w:p>
      <w:r>
        <w:rPr>
          <w:rFonts w:ascii="Times New Roman" w:hAnsi="Times New Roman" w:eastAsia="宋体"/>
          <w:b w:val="0"/>
          <w:color w:val="000000"/>
          <w:sz w:val="24"/>
        </w:rPr>
        <w:t>用于直接表述有风险企业与无风险企业：</w:t>
      </w:r>
    </w:p>
    <w:p>
      <w:pPr>
        <w:pStyle w:val="ListBullet"/>
      </w:pPr>
      <w:r>
        <w:rPr>
          <w:rFonts w:ascii="Times New Roman" w:hAnsi="Times New Roman" w:eastAsia="宋体"/>
          <w:b w:val="0"/>
          <w:color w:val="000000"/>
          <w:sz w:val="24"/>
        </w:rPr>
        <w:t>汇总卡片：风险源数量；受影响企业数 / 总企业数；高风险数 / 中风险数 / 低风险数 / 无风险数</w:t>
      </w:r>
    </w:p>
    <w:p>
      <w:pPr>
        <w:pStyle w:val="ListBullet"/>
      </w:pPr>
      <w:r>
        <w:rPr>
          <w:rFonts w:ascii="Times New Roman" w:hAnsi="Times New Roman" w:eastAsia="宋体"/>
          <w:b w:val="0"/>
          <w:color w:val="000000"/>
          <w:sz w:val="24"/>
        </w:rPr>
        <w:t>列表摘要：有风险企业（名称 + 等级 + 分值，可点击定位）；无风险企业（名称列表，可点击定位）</w:t>
      </w:r>
    </w:p>
    <w:p>
      <w:pPr>
        <w:pStyle w:val="ListBullet"/>
      </w:pPr>
      <w:r>
        <w:rPr>
          <w:rFonts w:ascii="Times New Roman" w:hAnsi="Times New Roman" w:eastAsia="宋体"/>
          <w:b w:val="0"/>
          <w:color w:val="000000"/>
          <w:sz w:val="24"/>
        </w:rPr>
        <w:t>简易图表：风险等级分布柱状图或环形图（可选）</w:t>
      </w:r>
    </w:p>
    <w:p>
      <w:pPr>
        <w:pStyle w:val="ListBullet"/>
      </w:pPr>
      <w:r>
        <w:rPr>
          <w:rFonts w:ascii="Times New Roman" w:hAnsi="Times New Roman" w:eastAsia="宋体"/>
          <w:b w:val="0"/>
          <w:color w:val="000000"/>
          <w:sz w:val="24"/>
        </w:rPr>
        <w:t>支持导出结果（P1）</w:t>
      </w:r>
    </w:p>
    <w:p>
      <w:pPr>
        <w:pStyle w:val="Heading2"/>
      </w:pPr>
      <w:r>
        <w:rPr>
          <w:rFonts w:ascii="Times New Roman" w:hAnsi="Times New Roman" w:eastAsia="黑体"/>
          <w:b/>
          <w:color w:val="000000"/>
          <w:sz w:val="28"/>
        </w:rPr>
        <w:t>5.6 工作区（右上角）</w:t>
      </w:r>
    </w:p>
    <w:p>
      <w:r>
        <w:rPr>
          <w:rFonts w:ascii="Times New Roman" w:hAnsi="Times New Roman" w:eastAsia="宋体"/>
          <w:b w:val="0"/>
          <w:color w:val="000000"/>
          <w:sz w:val="24"/>
        </w:rPr>
        <w:t>工作区列表：</w:t>
      </w:r>
    </w:p>
    <w:p>
      <w:pPr>
        <w:pStyle w:val="ListBullet"/>
      </w:pPr>
      <w:r>
        <w:rPr>
          <w:rFonts w:ascii="Times New Roman" w:hAnsi="Times New Roman" w:eastAsia="宋体"/>
          <w:b w:val="0"/>
          <w:color w:val="000000"/>
          <w:sz w:val="24"/>
        </w:rPr>
        <w:t>一个工作区 = 一个产业链实例</w:t>
      </w:r>
    </w:p>
    <w:p>
      <w:pPr>
        <w:pStyle w:val="ListBullet"/>
      </w:pPr>
      <w:r>
        <w:rPr>
          <w:rFonts w:ascii="Times New Roman" w:hAnsi="Times New Roman" w:eastAsia="宋体"/>
          <w:b w:val="0"/>
          <w:color w:val="000000"/>
          <w:sz w:val="24"/>
        </w:rPr>
        <w:t>支持新建工作区（不重置原工作区）</w:t>
      </w:r>
    </w:p>
    <w:p>
      <w:pPr>
        <w:pStyle w:val="ListBullet"/>
      </w:pPr>
      <w:r>
        <w:rPr>
          <w:rFonts w:ascii="Times New Roman" w:hAnsi="Times New Roman" w:eastAsia="宋体"/>
          <w:b w:val="0"/>
          <w:color w:val="000000"/>
          <w:sz w:val="24"/>
        </w:rPr>
        <w:t>支持切换工作区</w:t>
      </w:r>
    </w:p>
    <w:p>
      <w:pPr>
        <w:pStyle w:val="ListBullet"/>
      </w:pPr>
      <w:r>
        <w:rPr>
          <w:rFonts w:ascii="Times New Roman" w:hAnsi="Times New Roman" w:eastAsia="宋体"/>
          <w:b w:val="0"/>
          <w:color w:val="000000"/>
          <w:sz w:val="24"/>
        </w:rPr>
        <w:t>支持重命名、删除工作区</w:t>
      </w:r>
    </w:p>
    <w:p>
      <w:pPr>
        <w:pStyle w:val="ListBullet"/>
      </w:pPr>
      <w:r>
        <w:rPr>
          <w:rFonts w:ascii="Times New Roman" w:hAnsi="Times New Roman" w:eastAsia="宋体"/>
          <w:b w:val="0"/>
          <w:color w:val="000000"/>
          <w:sz w:val="24"/>
        </w:rPr>
        <w:t>工作区数据独立存储（内存 + 本地持久化可选）</w:t>
      </w:r>
    </w:p>
    <w:p>
      <w:r>
        <w:rPr>
          <w:rFonts w:ascii="Times New Roman" w:hAnsi="Times New Roman" w:eastAsia="宋体"/>
          <w:b w:val="0"/>
          <w:color w:val="000000"/>
          <w:sz w:val="24"/>
        </w:rPr>
        <w:t>当前工作区标识：</w:t>
      </w:r>
    </w:p>
    <w:p>
      <w:pPr>
        <w:pStyle w:val="ListBullet"/>
      </w:pPr>
      <w:r>
        <w:rPr>
          <w:rFonts w:ascii="Times New Roman" w:hAnsi="Times New Roman" w:eastAsia="宋体"/>
          <w:b w:val="0"/>
          <w:color w:val="000000"/>
          <w:sz w:val="24"/>
        </w:rPr>
        <w:t>右上角显示当前工作区名称，点击展开列表</w:t>
      </w:r>
    </w:p>
    <w:p>
      <w:pPr>
        <w:pStyle w:val="ListBullet"/>
      </w:pPr>
      <w:r>
        <w:rPr>
          <w:rFonts w:ascii="Times New Roman" w:hAnsi="Times New Roman" w:eastAsia="宋体"/>
          <w:b w:val="0"/>
          <w:color w:val="000000"/>
          <w:sz w:val="24"/>
        </w:rPr>
        <w:t>新建工作区后自动切换</w:t>
      </w:r>
    </w:p>
    <w:p>
      <w:pPr>
        <w:pStyle w:val="Heading2"/>
      </w:pPr>
      <w:r>
        <w:rPr>
          <w:rFonts w:ascii="Times New Roman" w:hAnsi="Times New Roman" w:eastAsia="黑体"/>
          <w:b/>
          <w:color w:val="000000"/>
          <w:sz w:val="28"/>
        </w:rPr>
        <w:t>5.7 重置（右上角，工作区旁边）</w:t>
      </w:r>
    </w:p>
    <w:p>
      <w:pPr>
        <w:pStyle w:val="ListBullet"/>
      </w:pPr>
      <w:r>
        <w:rPr>
          <w:rFonts w:ascii="Times New Roman" w:hAnsi="Times New Roman" w:eastAsia="宋体"/>
          <w:b w:val="0"/>
          <w:color w:val="000000"/>
          <w:sz w:val="24"/>
        </w:rPr>
        <w:t>清空当前工作区的企业、关系、风险源、推演结果</w:t>
      </w:r>
    </w:p>
    <w:p>
      <w:pPr>
        <w:pStyle w:val="ListBullet"/>
      </w:pPr>
      <w:r>
        <w:rPr>
          <w:rFonts w:ascii="Times New Roman" w:hAnsi="Times New Roman" w:eastAsia="宋体"/>
          <w:b w:val="0"/>
          <w:color w:val="000000"/>
          <w:sz w:val="24"/>
        </w:rPr>
        <w:t>二次确认弹窗</w:t>
      </w:r>
    </w:p>
    <w:p>
      <w:pPr>
        <w:pStyle w:val="ListBullet"/>
      </w:pPr>
      <w:r>
        <w:rPr>
          <w:rFonts w:ascii="Times New Roman" w:hAnsi="Times New Roman" w:eastAsia="宋体"/>
          <w:b w:val="0"/>
          <w:color w:val="000000"/>
          <w:sz w:val="24"/>
        </w:rPr>
        <w:t>不删除工作区本身，仅清空数据</w:t>
      </w:r>
    </w:p>
    <w:p>
      <w:pPr>
        <w:pStyle w:val="ListBullet"/>
      </w:pPr>
      <w:r>
        <w:rPr>
          <w:rFonts w:ascii="Times New Roman" w:hAnsi="Times New Roman" w:eastAsia="宋体"/>
          <w:b w:val="0"/>
          <w:color w:val="000000"/>
          <w:sz w:val="24"/>
        </w:rPr>
        <w:t>不影响的其它工作区</w:t>
      </w:r>
    </w:p>
    <w:p>
      <w:pPr>
        <w:pStyle w:val="Heading2"/>
      </w:pPr>
      <w:r>
        <w:rPr>
          <w:rFonts w:ascii="Times New Roman" w:hAnsi="Times New Roman" w:eastAsia="黑体"/>
          <w:b/>
          <w:color w:val="000000"/>
          <w:sz w:val="28"/>
        </w:rPr>
        <w:t>5.8 全局控制器（左上角）</w:t>
      </w:r>
    </w:p>
    <w:p>
      <w:pPr>
        <w:pStyle w:val="ListBullet"/>
      </w:pPr>
      <w:r>
        <w:rPr>
          <w:rFonts w:ascii="Times New Roman" w:hAnsi="Times New Roman" w:eastAsia="宋体"/>
          <w:b w:val="0"/>
          <w:color w:val="000000"/>
          <w:sz w:val="24"/>
        </w:rPr>
        <w:t>展开/收回左侧功能区</w:t>
      </w:r>
    </w:p>
    <w:p>
      <w:pPr>
        <w:pStyle w:val="ListBullet"/>
      </w:pPr>
      <w:r>
        <w:rPr>
          <w:rFonts w:ascii="Times New Roman" w:hAnsi="Times New Roman" w:eastAsia="宋体"/>
          <w:b w:val="0"/>
          <w:color w:val="000000"/>
          <w:sz w:val="24"/>
        </w:rPr>
        <w:t>展开/收回右侧功能区</w:t>
      </w:r>
    </w:p>
    <w:p>
      <w:pPr>
        <w:pStyle w:val="ListBullet"/>
      </w:pPr>
      <w:r>
        <w:rPr>
          <w:rFonts w:ascii="Times New Roman" w:hAnsi="Times New Roman" w:eastAsia="宋体"/>
          <w:b w:val="0"/>
          <w:color w:val="000000"/>
          <w:sz w:val="24"/>
        </w:rPr>
        <w:t>全部展开/全部收回</w:t>
      </w:r>
    </w:p>
    <w:p>
      <w:pPr>
        <w:pStyle w:val="ListBullet"/>
      </w:pPr>
      <w:r>
        <w:rPr>
          <w:rFonts w:ascii="Times New Roman" w:hAnsi="Times New Roman" w:eastAsia="宋体"/>
          <w:b w:val="0"/>
          <w:color w:val="000000"/>
          <w:sz w:val="24"/>
        </w:rPr>
        <w:t>2D/3D 视图切换（2D 阶段置灰或仅 2D 可用，3D 阶段启用）</w:t>
      </w:r>
    </w:p>
    <w:p>
      <w:pPr>
        <w:pStyle w:val="ListBullet"/>
      </w:pPr>
      <w:r>
        <w:rPr>
          <w:rFonts w:ascii="Times New Roman" w:hAnsi="Times New Roman" w:eastAsia="宋体"/>
          <w:b w:val="0"/>
          <w:color w:val="000000"/>
          <w:sz w:val="24"/>
        </w:rPr>
        <w:t>收起状态下保留边缘细条，可点击恢复</w:t>
      </w:r>
    </w:p>
    <w:p>
      <w:pPr>
        <w:pStyle w:val="Heading2"/>
      </w:pPr>
      <w:r>
        <w:rPr>
          <w:rFonts w:ascii="Times New Roman" w:hAnsi="Times New Roman" w:eastAsia="黑体"/>
          <w:b/>
          <w:color w:val="000000"/>
          <w:sz w:val="28"/>
        </w:rPr>
        <w:t>5.9 交互功能</w:t>
      </w:r>
    </w:p>
    <w:p>
      <w:r>
        <w:rPr>
          <w:rFonts w:ascii="Times New Roman" w:hAnsi="Times New Roman" w:eastAsia="宋体"/>
          <w:b w:val="0"/>
          <w:color w:val="000000"/>
          <w:sz w:val="24"/>
        </w:rPr>
        <w:t>单点聚焦：</w:t>
      </w:r>
    </w:p>
    <w:p>
      <w:pPr>
        <w:pStyle w:val="ListBullet"/>
      </w:pPr>
      <w:r>
        <w:rPr>
          <w:rFonts w:ascii="Times New Roman" w:hAnsi="Times New Roman" w:eastAsia="宋体"/>
          <w:b w:val="0"/>
          <w:color w:val="000000"/>
          <w:sz w:val="24"/>
        </w:rPr>
        <w:t>点击企业节点或列表项，高亮该企业及相关全部传导路径</w:t>
      </w:r>
    </w:p>
    <w:p>
      <w:pPr>
        <w:pStyle w:val="ListBullet"/>
      </w:pPr>
      <w:r>
        <w:rPr>
          <w:rFonts w:ascii="Times New Roman" w:hAnsi="Times New Roman" w:eastAsia="宋体"/>
          <w:b w:val="0"/>
          <w:color w:val="000000"/>
          <w:sz w:val="24"/>
        </w:rPr>
        <w:t>其余实体虚化（降低透明度至 0.2，不删除）</w:t>
      </w:r>
    </w:p>
    <w:p>
      <w:r>
        <w:rPr>
          <w:rFonts w:ascii="Times New Roman" w:hAnsi="Times New Roman" w:eastAsia="宋体"/>
          <w:b w:val="0"/>
          <w:color w:val="000000"/>
          <w:sz w:val="24"/>
        </w:rPr>
        <w:t>阈值筛选：</w:t>
      </w:r>
    </w:p>
    <w:p>
      <w:pPr>
        <w:pStyle w:val="ListBullet"/>
      </w:pPr>
      <w:r>
        <w:rPr>
          <w:rFonts w:ascii="Times New Roman" w:hAnsi="Times New Roman" w:eastAsia="宋体"/>
          <w:b w:val="0"/>
          <w:color w:val="000000"/>
          <w:sz w:val="24"/>
        </w:rPr>
        <w:t>滑块设定风险阈值</w:t>
      </w:r>
    </w:p>
    <w:p>
      <w:pPr>
        <w:pStyle w:val="ListBullet"/>
      </w:pPr>
      <w:r>
        <w:rPr>
          <w:rFonts w:ascii="Times New Roman" w:hAnsi="Times New Roman" w:eastAsia="宋体"/>
          <w:b w:val="0"/>
          <w:color w:val="000000"/>
          <w:sz w:val="24"/>
        </w:rPr>
        <w:t>筛选 score &gt; X 或 score &lt; X</w:t>
      </w:r>
    </w:p>
    <w:p>
      <w:pPr>
        <w:pStyle w:val="ListBullet"/>
      </w:pPr>
      <w:r>
        <w:rPr>
          <w:rFonts w:ascii="Times New Roman" w:hAnsi="Times New Roman" w:eastAsia="宋体"/>
          <w:b w:val="0"/>
          <w:color w:val="000000"/>
          <w:sz w:val="24"/>
        </w:rPr>
        <w:t>范围：全部企业 / 仅受波及企业</w:t>
      </w:r>
    </w:p>
    <w:p>
      <w:pPr>
        <w:pStyle w:val="ListBullet"/>
      </w:pPr>
      <w:r>
        <w:rPr>
          <w:rFonts w:ascii="Times New Roman" w:hAnsi="Times New Roman" w:eastAsia="宋体"/>
          <w:b w:val="0"/>
          <w:color w:val="000000"/>
          <w:sz w:val="24"/>
        </w:rPr>
        <w:t>显示结果数量</w:t>
      </w:r>
    </w:p>
    <w:p>
      <w:r>
        <w:rPr>
          <w:rFonts w:ascii="Times New Roman" w:hAnsi="Times New Roman" w:eastAsia="宋体"/>
          <w:b w:val="0"/>
          <w:color w:val="000000"/>
          <w:sz w:val="24"/>
        </w:rPr>
        <w:t>反选视图（P1）：</w:t>
      </w:r>
    </w:p>
    <w:p>
      <w:pPr>
        <w:pStyle w:val="ListBullet"/>
      </w:pPr>
      <w:r>
        <w:rPr>
          <w:rFonts w:ascii="Times New Roman" w:hAnsi="Times New Roman" w:eastAsia="宋体"/>
          <w:b w:val="0"/>
          <w:color w:val="000000"/>
          <w:sz w:val="24"/>
        </w:rPr>
        <w:t>单独展示不受影响企业及其正常关系</w:t>
      </w:r>
    </w:p>
    <w:p>
      <w:pPr>
        <w:pStyle w:val="ListBullet"/>
      </w:pPr>
      <w:r>
        <w:rPr>
          <w:rFonts w:ascii="Times New Roman" w:hAnsi="Times New Roman" w:eastAsia="宋体"/>
          <w:b w:val="0"/>
          <w:color w:val="000000"/>
          <w:sz w:val="24"/>
        </w:rPr>
        <w:t>正常关系用低饱和蓝绿</w:t>
      </w:r>
    </w:p>
    <w:p>
      <w:r>
        <w:rPr>
          <w:rFonts w:ascii="Times New Roman" w:hAnsi="Times New Roman" w:eastAsia="宋体"/>
          <w:b w:val="0"/>
          <w:color w:val="000000"/>
          <w:sz w:val="24"/>
        </w:rPr>
        <w:t>图层开关：</w:t>
      </w:r>
    </w:p>
    <w:p>
      <w:pPr>
        <w:pStyle w:val="ListBullet"/>
      </w:pPr>
      <w:r>
        <w:rPr>
          <w:rFonts w:ascii="Times New Roman" w:hAnsi="Times New Roman" w:eastAsia="宋体"/>
          <w:b w:val="0"/>
          <w:color w:val="000000"/>
          <w:sz w:val="24"/>
        </w:rPr>
        <w:t>物料流 / 资金账期 / 技术合作 / 担保 / 同控分组，独立显隐</w:t>
      </w:r>
    </w:p>
    <w:p>
      <w:r>
        <w:rPr>
          <w:rFonts w:ascii="Times New Roman" w:hAnsi="Times New Roman" w:eastAsia="宋体"/>
          <w:b w:val="0"/>
          <w:color w:val="000000"/>
          <w:sz w:val="24"/>
        </w:rPr>
        <w:t>视图操作：</w:t>
      </w:r>
    </w:p>
    <w:p>
      <w:pPr>
        <w:pStyle w:val="ListBullet"/>
      </w:pPr>
      <w:r>
        <w:rPr>
          <w:rFonts w:ascii="Times New Roman" w:hAnsi="Times New Roman" w:eastAsia="宋体"/>
          <w:b w:val="0"/>
          <w:color w:val="000000"/>
          <w:sz w:val="24"/>
        </w:rPr>
        <w:t>2D：缩放、拖拽平移、重新布局</w:t>
      </w:r>
    </w:p>
    <w:p>
      <w:pPr>
        <w:pStyle w:val="ListBullet"/>
      </w:pPr>
      <w:r>
        <w:rPr>
          <w:rFonts w:ascii="Times New Roman" w:hAnsi="Times New Roman" w:eastAsia="宋体"/>
          <w:b w:val="0"/>
          <w:color w:val="000000"/>
          <w:sz w:val="24"/>
        </w:rPr>
        <w:t>重置视图：恢复初始布局和缩放</w:t>
      </w:r>
    </w:p>
    <w:p>
      <w:pPr>
        <w:pStyle w:val="Heading2"/>
      </w:pPr>
      <w:r>
        <w:rPr>
          <w:rFonts w:ascii="Times New Roman" w:hAnsi="Times New Roman" w:eastAsia="黑体"/>
          <w:b/>
          <w:color w:val="000000"/>
          <w:sz w:val="28"/>
        </w:rPr>
        <w:t>5.10 详情面板</w:t>
      </w:r>
    </w:p>
    <w:p>
      <w:r>
        <w:rPr>
          <w:rFonts w:ascii="Times New Roman" w:hAnsi="Times New Roman" w:eastAsia="宋体"/>
          <w:b w:val="0"/>
          <w:color w:val="000000"/>
          <w:sz w:val="24"/>
        </w:rPr>
        <w:t>点击企业节点后展示：</w:t>
      </w:r>
    </w:p>
    <w:p>
      <w:pPr>
        <w:pStyle w:val="ListBullet"/>
      </w:pPr>
      <w:r>
        <w:rPr>
          <w:rFonts w:ascii="Times New Roman" w:hAnsi="Times New Roman" w:eastAsia="宋体"/>
          <w:b w:val="0"/>
          <w:color w:val="000000"/>
          <w:sz w:val="24"/>
        </w:rPr>
        <w:t>企业基本信息（名称、类型、控制人、同控分组）</w:t>
      </w:r>
    </w:p>
    <w:p>
      <w:pPr>
        <w:pStyle w:val="ListBullet"/>
      </w:pPr>
      <w:r>
        <w:rPr>
          <w:rFonts w:ascii="Times New Roman" w:hAnsi="Times New Roman" w:eastAsia="宋体"/>
          <w:b w:val="0"/>
          <w:color w:val="000000"/>
          <w:sz w:val="24"/>
        </w:rPr>
        <w:t>风险分值：Bel / Pl / 不确定度（若已实现 D-S）或单一 impact</w:t>
      </w:r>
    </w:p>
    <w:p>
      <w:pPr>
        <w:pStyle w:val="ListBullet"/>
      </w:pPr>
      <w:r>
        <w:rPr>
          <w:rFonts w:ascii="Times New Roman" w:hAnsi="Times New Roman" w:eastAsia="宋体"/>
          <w:b w:val="0"/>
          <w:color w:val="000000"/>
          <w:sz w:val="24"/>
        </w:rPr>
        <w:t>风险等级</w:t>
      </w:r>
    </w:p>
    <w:p>
      <w:pPr>
        <w:pStyle w:val="ListBullet"/>
      </w:pPr>
      <w:r>
        <w:rPr>
          <w:rFonts w:ascii="Times New Roman" w:hAnsi="Times New Roman" w:eastAsia="宋体"/>
          <w:b w:val="0"/>
          <w:color w:val="000000"/>
          <w:sz w:val="24"/>
        </w:rPr>
        <w:t>风险传导路径步骤条</w:t>
      </w:r>
    </w:p>
    <w:p>
      <w:pPr>
        <w:pStyle w:val="ListBullet"/>
      </w:pPr>
      <w:r>
        <w:rPr>
          <w:rFonts w:ascii="Times New Roman" w:hAnsi="Times New Roman" w:eastAsia="宋体"/>
          <w:b w:val="0"/>
          <w:color w:val="000000"/>
          <w:sz w:val="24"/>
        </w:rPr>
        <w:t>证据来源列表（物料/资金/技术/担保/同控/控制人风险/担保环）</w:t>
      </w:r>
    </w:p>
    <w:p>
      <w:pPr>
        <w:pStyle w:val="ListBullet"/>
      </w:pPr>
      <w:r>
        <w:rPr>
          <w:rFonts w:ascii="Times New Roman" w:hAnsi="Times New Roman" w:eastAsia="宋体"/>
          <w:b w:val="0"/>
          <w:color w:val="000000"/>
          <w:sz w:val="24"/>
        </w:rPr>
        <w:t>匹配的对策建议（优先级标签）</w:t>
      </w:r>
    </w:p>
    <w:p>
      <w:pPr>
        <w:pStyle w:val="ListBullet"/>
      </w:pPr>
      <w:r>
        <w:rPr>
          <w:rFonts w:ascii="Times New Roman" w:hAnsi="Times New Roman" w:eastAsia="宋体"/>
          <w:b w:val="0"/>
          <w:color w:val="000000"/>
          <w:sz w:val="24"/>
        </w:rPr>
        <w:t>决策辅助声明：“仅供参考，不替代人工判断”</w:t>
      </w:r>
    </w:p>
    <w:p>
      <w:pPr>
        <w:pStyle w:val="Heading1"/>
      </w:pPr>
      <w:r>
        <w:rPr>
          <w:rFonts w:ascii="Times New Roman" w:hAnsi="Times New Roman" w:eastAsia="黑体"/>
          <w:b/>
          <w:color w:val="000000"/>
          <w:sz w:val="32"/>
        </w:rPr>
        <w:t>六、风险传递规则（2D 阶段必须实现）</w:t>
      </w:r>
    </w:p>
    <w:p>
      <w:pPr>
        <w:pStyle w:val="Heading2"/>
      </w:pPr>
      <w:r>
        <w:rPr>
          <w:rFonts w:ascii="Times New Roman" w:hAnsi="Times New Roman" w:eastAsia="黑体"/>
          <w:b/>
          <w:color w:val="000000"/>
          <w:sz w:val="28"/>
        </w:rPr>
        <w:t>6.1 关系关联值计算</w:t>
      </w:r>
    </w:p>
    <w:p>
      <w:pPr>
        <w:spacing w:line="240" w:lineRule="auto" w:before="80" w:after="120"/>
        <w:ind w:firstLineChars="0" w:firstLine="0" w:left="180"/>
        <w:shd w:val="clear" w:fill="F5F5F5"/>
      </w:pPr>
      <w:r>
        <w:rPr>
          <w:rFonts w:ascii="Consolas" w:hAnsi="Consolas"/>
          <w:rFonts w:ascii="Consolas" w:hAnsi="Consolas" w:eastAsia="Consolas"/>
          <w:sz w:val="18"/>
        </w:rPr>
        <w:t>关联值 = 基础强度(type) × 依赖度修正 × 可替代性修正 × 时间衰减修正</w:t>
      </w:r>
    </w:p>
    <w:p>
      <w:r>
        <w:rPr>
          <w:rFonts w:ascii="Times New Roman" w:hAnsi="Times New Roman" w:eastAsia="宋体"/>
          <w:b w:val="0"/>
          <w:color w:val="000000"/>
          <w:sz w:val="24"/>
        </w:rPr>
        <w:t>四类业务流基础强度：</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rPr>
          <w:tblHeader w:val="true"/>
        </w:trPr>
        <w:tc>
          <w:tcPr>
            <w:tcW w:type="dxa" w:w="4536"/>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关系类型</w:t>
            </w:r>
          </w:p>
        </w:tc>
        <w:tc>
          <w:tcPr>
            <w:tcW w:type="dxa" w:w="4536"/>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基础强度区间</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物料流</w:t>
            </w:r>
          </w:p>
        </w:tc>
        <w:tc>
          <w:tcPr>
            <w:tcW w:type="dxa" w:w="4536"/>
            <w:vAlign w:val="center"/>
          </w:tcPr>
          <w:p>
            <w:pPr>
              <w:spacing w:line="240" w:lineRule="auto" w:before="40" w:after="40"/>
              <w:jc w:val="right"/>
              <w:ind w:firstLineChars="0" w:firstLine="0" w:left="0" w:right="0"/>
            </w:pPr>
            <w:r>
              <w:rPr>
                <w:rFonts w:ascii="Times New Roman" w:hAnsi="Times New Roman" w:eastAsia="宋体"/>
                <w:b w:val="0"/>
                <w:color w:val="000000"/>
                <w:sz w:val="21"/>
              </w:rPr>
              <w:t>0.5 ~ 0.9</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资金账期</w:t>
            </w:r>
          </w:p>
        </w:tc>
        <w:tc>
          <w:tcPr>
            <w:tcW w:type="dxa" w:w="4536"/>
            <w:vAlign w:val="center"/>
          </w:tcPr>
          <w:p>
            <w:pPr>
              <w:spacing w:line="240" w:lineRule="auto" w:before="40" w:after="40"/>
              <w:jc w:val="right"/>
              <w:ind w:firstLineChars="0" w:firstLine="0" w:left="0" w:right="0"/>
            </w:pPr>
            <w:r>
              <w:rPr>
                <w:rFonts w:ascii="Times New Roman" w:hAnsi="Times New Roman" w:eastAsia="宋体"/>
                <w:b w:val="0"/>
                <w:color w:val="000000"/>
                <w:sz w:val="21"/>
              </w:rPr>
              <w:t>0.3 ~ 0.8</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技术/服务</w:t>
            </w:r>
          </w:p>
        </w:tc>
        <w:tc>
          <w:tcPr>
            <w:tcW w:type="dxa" w:w="4536"/>
            <w:vAlign w:val="center"/>
          </w:tcPr>
          <w:p>
            <w:pPr>
              <w:spacing w:line="240" w:lineRule="auto" w:before="40" w:after="40"/>
              <w:jc w:val="right"/>
              <w:ind w:firstLineChars="0" w:firstLine="0" w:left="0" w:right="0"/>
            </w:pPr>
            <w:r>
              <w:rPr>
                <w:rFonts w:ascii="Times New Roman" w:hAnsi="Times New Roman" w:eastAsia="宋体"/>
                <w:b w:val="0"/>
                <w:color w:val="000000"/>
                <w:sz w:val="21"/>
              </w:rPr>
              <w:t>0.2 ~ 0.7</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担保</w:t>
            </w:r>
          </w:p>
        </w:tc>
        <w:tc>
          <w:tcPr>
            <w:tcW w:type="dxa" w:w="4536"/>
            <w:vAlign w:val="center"/>
          </w:tcPr>
          <w:p>
            <w:pPr>
              <w:spacing w:line="240" w:lineRule="auto" w:before="40" w:after="40"/>
              <w:jc w:val="right"/>
              <w:ind w:firstLineChars="0" w:firstLine="0" w:left="0" w:right="0"/>
            </w:pPr>
            <w:r>
              <w:rPr>
                <w:rFonts w:ascii="Times New Roman" w:hAnsi="Times New Roman" w:eastAsia="宋体"/>
                <w:b w:val="0"/>
                <w:color w:val="000000"/>
                <w:sz w:val="21"/>
              </w:rPr>
              <w:t>0.4 ~ 1.0</w:t>
            </w:r>
          </w:p>
        </w:tc>
      </w:tr>
    </w:tbl>
    <w:p>
      <w:pPr>
        <w:spacing w:after="120" w:line="240" w:lineRule="auto"/>
      </w:pPr>
    </w:p>
    <w:p>
      <w:r>
        <w:rPr>
          <w:rFonts w:ascii="Times New Roman" w:hAnsi="Times New Roman" w:eastAsia="宋体"/>
          <w:b w:val="0"/>
          <w:color w:val="000000"/>
          <w:sz w:val="24"/>
        </w:rPr>
        <w:t>业务字段驱动：</w:t>
      </w:r>
    </w:p>
    <w:p>
      <w:pPr>
        <w:pStyle w:val="ListBullet"/>
      </w:pPr>
      <w:r>
        <w:rPr>
          <w:rFonts w:ascii="Times New Roman" w:hAnsi="Times New Roman" w:eastAsia="宋体"/>
          <w:b w:val="0"/>
          <w:color w:val="000000"/>
          <w:sz w:val="24"/>
        </w:rPr>
        <w:t>物料流：采购占比、备选供应商数、切换周期、库存天数</w:t>
      </w:r>
    </w:p>
    <w:p>
      <w:pPr>
        <w:pStyle w:val="ListBullet"/>
      </w:pPr>
      <w:r>
        <w:rPr>
          <w:rFonts w:ascii="Times New Roman" w:hAnsi="Times New Roman" w:eastAsia="宋体"/>
          <w:b w:val="0"/>
          <w:color w:val="000000"/>
          <w:sz w:val="24"/>
        </w:rPr>
        <w:t>资金流：应收占比、账期天数、逾期金额、客户集中度</w:t>
      </w:r>
    </w:p>
    <w:p>
      <w:pPr>
        <w:pStyle w:val="ListBullet"/>
      </w:pPr>
      <w:r>
        <w:rPr>
          <w:rFonts w:ascii="Times New Roman" w:hAnsi="Times New Roman" w:eastAsia="宋体"/>
          <w:b w:val="0"/>
          <w:color w:val="000000"/>
          <w:sz w:val="24"/>
        </w:rPr>
        <w:t>技术流：技术依赖度、切换成本、合同锁定期</w:t>
      </w:r>
    </w:p>
    <w:p>
      <w:pPr>
        <w:pStyle w:val="ListBullet"/>
      </w:pPr>
      <w:r>
        <w:rPr>
          <w:rFonts w:ascii="Times New Roman" w:hAnsi="Times New Roman" w:eastAsia="宋体"/>
          <w:b w:val="0"/>
          <w:color w:val="000000"/>
          <w:sz w:val="24"/>
        </w:rPr>
        <w:t>担保：覆盖率、反担保、互保标记</w:t>
      </w:r>
    </w:p>
    <w:p>
      <w:pPr>
        <w:pStyle w:val="Heading2"/>
      </w:pPr>
      <w:r>
        <w:rPr>
          <w:rFonts w:ascii="Times New Roman" w:hAnsi="Times New Roman" w:eastAsia="黑体"/>
          <w:b/>
          <w:color w:val="000000"/>
          <w:sz w:val="28"/>
        </w:rPr>
        <w:t>6.2 不同关系产生的不同风险值</w:t>
      </w:r>
    </w:p>
    <w:p>
      <w:pPr>
        <w:pStyle w:val="ListBullet"/>
      </w:pPr>
      <w:r>
        <w:rPr>
          <w:rFonts w:ascii="Times New Roman" w:hAnsi="Times New Roman" w:eastAsia="宋体"/>
          <w:b w:val="0"/>
          <w:color w:val="000000"/>
          <w:sz w:val="24"/>
        </w:rPr>
        <w:t>每条关系独立计算关联值，独立传播，不合并。</w:t>
      </w:r>
    </w:p>
    <w:p>
      <w:pPr>
        <w:pStyle w:val="ListBullet"/>
      </w:pPr>
      <w:r>
        <w:rPr>
          <w:rFonts w:ascii="Times New Roman" w:hAnsi="Times New Roman" w:eastAsia="宋体"/>
          <w:b w:val="0"/>
          <w:color w:val="000000"/>
          <w:sz w:val="24"/>
        </w:rPr>
        <w:t>到达同一节点后：2D 阶段先用加权/取最大值简化融合；3D 阶段升级为 D-S 证据融合（见第七章）。</w:t>
      </w:r>
    </w:p>
    <w:p>
      <w:pPr>
        <w:pStyle w:val="ListBullet"/>
      </w:pPr>
      <w:r>
        <w:rPr>
          <w:rFonts w:ascii="Times New Roman" w:hAnsi="Times New Roman" w:eastAsia="宋体"/>
          <w:b w:val="0"/>
          <w:color w:val="000000"/>
          <w:sz w:val="24"/>
        </w:rPr>
        <w:t>详情面板始终列出每条证据来源。</w:t>
      </w:r>
    </w:p>
    <w:p>
      <w:pPr>
        <w:pStyle w:val="Heading2"/>
      </w:pPr>
      <w:r>
        <w:rPr>
          <w:rFonts w:ascii="Times New Roman" w:hAnsi="Times New Roman" w:eastAsia="黑体"/>
          <w:b/>
          <w:color w:val="000000"/>
          <w:sz w:val="28"/>
        </w:rPr>
        <w:t>6.3 逐边传播</w:t>
      </w:r>
    </w:p>
    <w:p>
      <w:pPr>
        <w:spacing w:line="240" w:lineRule="auto" w:before="80" w:after="120"/>
        <w:ind w:firstLineChars="0" w:firstLine="0" w:left="180"/>
        <w:shd w:val="clear" w:fill="F5F5F5"/>
      </w:pPr>
      <w:r>
        <w:rPr>
          <w:rFonts w:ascii="Consolas" w:hAnsi="Consolas"/>
          <w:rFonts w:ascii="Consolas" w:hAnsi="Consolas" w:eastAsia="Consolas"/>
          <w:sz w:val="18"/>
        </w:rPr>
        <w:t>impact(v) = max over 入边 [ impact(u) × association(u→v) × decay ]</w:t>
      </w:r>
    </w:p>
    <w:p>
      <w:pPr>
        <w:pStyle w:val="ListBullet"/>
      </w:pPr>
      <w:r>
        <w:rPr>
          <w:rFonts w:ascii="Times New Roman" w:hAnsi="Times New Roman" w:eastAsia="宋体"/>
          <w:b w:val="0"/>
          <w:color w:val="000000"/>
          <w:sz w:val="24"/>
        </w:rPr>
        <w:t>风险源初始 impact = initial_score</w:t>
      </w:r>
    </w:p>
    <w:p>
      <w:pPr>
        <w:pStyle w:val="ListBullet"/>
      </w:pPr>
      <w:r>
        <w:rPr>
          <w:rFonts w:ascii="Times New Roman" w:hAnsi="Times New Roman" w:eastAsia="宋体"/>
          <w:b w:val="0"/>
          <w:color w:val="000000"/>
          <w:sz w:val="24"/>
        </w:rPr>
        <w:t>沿关系方向传播</w:t>
      </w:r>
    </w:p>
    <w:p>
      <w:pPr>
        <w:pStyle w:val="ListBullet"/>
      </w:pPr>
      <w:r>
        <w:rPr>
          <w:rFonts w:ascii="Times New Roman" w:hAnsi="Times New Roman" w:eastAsia="宋体"/>
          <w:b w:val="0"/>
          <w:color w:val="000000"/>
          <w:sz w:val="24"/>
        </w:rPr>
        <w:t>每跳记录路径、关联值、衰减</w:t>
      </w:r>
    </w:p>
    <w:p>
      <w:pPr>
        <w:pStyle w:val="ListBullet"/>
      </w:pPr>
      <w:r>
        <w:rPr>
          <w:rFonts w:ascii="Times New Roman" w:hAnsi="Times New Roman" w:eastAsia="宋体"/>
          <w:b w:val="0"/>
          <w:color w:val="000000"/>
          <w:sz w:val="24"/>
        </w:rPr>
        <w:t>同控关系不按跳衰减，组内一次覆盖（P1）</w:t>
      </w:r>
    </w:p>
    <w:p>
      <w:pPr>
        <w:pStyle w:val="Heading2"/>
      </w:pPr>
      <w:r>
        <w:rPr>
          <w:rFonts w:ascii="Times New Roman" w:hAnsi="Times New Roman" w:eastAsia="黑体"/>
          <w:b/>
          <w:color w:val="000000"/>
          <w:sz w:val="28"/>
        </w:rPr>
        <w:t>6.4 风险等级分档</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rPr>
          <w:tblHeader w:val="true"/>
        </w:trPr>
        <w:tc>
          <w:tcPr>
            <w:tcW w:type="dxa" w:w="3024"/>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等级</w:t>
            </w:r>
          </w:p>
        </w:tc>
        <w:tc>
          <w:tcPr>
            <w:tcW w:type="dxa" w:w="3024"/>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分值区间</w:t>
            </w:r>
          </w:p>
        </w:tc>
        <w:tc>
          <w:tcPr>
            <w:tcW w:type="dxa" w:w="3024"/>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颜色</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无</w:t>
            </w:r>
          </w:p>
        </w:tc>
        <w:tc>
          <w:tcPr>
            <w:tcW w:type="dxa" w:w="3024"/>
            <w:vAlign w:val="center"/>
          </w:tcPr>
          <w:p>
            <w:pPr>
              <w:spacing w:line="240" w:lineRule="auto" w:before="40" w:after="40"/>
              <w:jc w:val="right"/>
              <w:ind w:firstLineChars="0" w:firstLine="0" w:left="0" w:right="0"/>
            </w:pPr>
            <w:r>
              <w:rPr>
                <w:rFonts w:ascii="Times New Roman" w:hAnsi="Times New Roman" w:eastAsia="宋体"/>
                <w:b w:val="0"/>
                <w:color w:val="000000"/>
                <w:sz w:val="21"/>
              </w:rPr>
              <w:t>0</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企业固有色</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低</w:t>
            </w:r>
          </w:p>
        </w:tc>
        <w:tc>
          <w:tcPr>
            <w:tcW w:type="dxa" w:w="3024"/>
            <w:vAlign w:val="center"/>
          </w:tcPr>
          <w:p>
            <w:pPr>
              <w:spacing w:line="240" w:lineRule="auto" w:before="40" w:after="40"/>
              <w:jc w:val="right"/>
              <w:ind w:firstLineChars="0" w:firstLine="0" w:left="0" w:right="0"/>
            </w:pPr>
            <w:r>
              <w:rPr>
                <w:rFonts w:ascii="Times New Roman" w:hAnsi="Times New Roman" w:eastAsia="宋体"/>
                <w:b w:val="0"/>
                <w:color w:val="000000"/>
                <w:sz w:val="21"/>
              </w:rPr>
              <w:t>0 ~ 0.35</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浅橙 #FFB74D</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中</w:t>
            </w:r>
          </w:p>
        </w:tc>
        <w:tc>
          <w:tcPr>
            <w:tcW w:type="dxa" w:w="3024"/>
            <w:vAlign w:val="center"/>
          </w:tcPr>
          <w:p>
            <w:pPr>
              <w:spacing w:line="240" w:lineRule="auto" w:before="40" w:after="40"/>
              <w:jc w:val="right"/>
              <w:ind w:firstLineChars="0" w:firstLine="0" w:left="0" w:right="0"/>
            </w:pPr>
            <w:r>
              <w:rPr>
                <w:rFonts w:ascii="Times New Roman" w:hAnsi="Times New Roman" w:eastAsia="宋体"/>
                <w:b w:val="0"/>
                <w:color w:val="000000"/>
                <w:sz w:val="21"/>
              </w:rPr>
              <w:t>0.35 ~ 0.65</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橙 #FF8C42</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高</w:t>
            </w:r>
          </w:p>
        </w:tc>
        <w:tc>
          <w:tcPr>
            <w:tcW w:type="dxa" w:w="3024"/>
            <w:vAlign w:val="center"/>
          </w:tcPr>
          <w:p>
            <w:pPr>
              <w:spacing w:line="240" w:lineRule="auto" w:before="40" w:after="40"/>
              <w:jc w:val="right"/>
              <w:ind w:firstLineChars="0" w:firstLine="0" w:left="0" w:right="0"/>
            </w:pPr>
            <w:r>
              <w:rPr>
                <w:rFonts w:ascii="Times New Roman" w:hAnsi="Times New Roman" w:eastAsia="宋体"/>
                <w:b w:val="0"/>
                <w:color w:val="000000"/>
                <w:sz w:val="21"/>
              </w:rPr>
              <w:t>0.65 ~ 1.0</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红 #E53935</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风险源</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深红 #B71C1C</w:t>
            </w:r>
          </w:p>
        </w:tc>
      </w:tr>
    </w:tbl>
    <w:p>
      <w:pPr>
        <w:spacing w:after="120" w:line="240" w:lineRule="auto"/>
      </w:pPr>
    </w:p>
    <w:p>
      <w:r>
        <w:rPr>
          <w:rFonts w:ascii="Times New Roman" w:hAnsi="Times New Roman" w:eastAsia="宋体"/>
          <w:b w:val="0"/>
          <w:color w:val="000000"/>
          <w:sz w:val="24"/>
        </w:rPr>
        <w:t>阈值可在设置中调整，默认如上。</w:t>
      </w:r>
    </w:p>
    <w:p>
      <w:pPr>
        <w:pStyle w:val="Heading2"/>
      </w:pPr>
      <w:r>
        <w:rPr>
          <w:rFonts w:ascii="Times New Roman" w:hAnsi="Times New Roman" w:eastAsia="黑体"/>
          <w:b/>
          <w:color w:val="000000"/>
          <w:sz w:val="28"/>
        </w:rPr>
        <w:t>6.5 多风险源叠加</w:t>
      </w:r>
    </w:p>
    <w:p>
      <w:pPr>
        <w:pStyle w:val="ListBullet"/>
      </w:pPr>
      <w:r>
        <w:rPr>
          <w:rFonts w:ascii="Times New Roman" w:hAnsi="Times New Roman" w:eastAsia="宋体"/>
          <w:b w:val="0"/>
          <w:color w:val="000000"/>
          <w:sz w:val="24"/>
        </w:rPr>
        <w:t>每个风险源独立传播</w:t>
      </w:r>
    </w:p>
    <w:p>
      <w:pPr>
        <w:pStyle w:val="ListBullet"/>
      </w:pPr>
      <w:r>
        <w:rPr>
          <w:rFonts w:ascii="Times New Roman" w:hAnsi="Times New Roman" w:eastAsia="宋体"/>
          <w:b w:val="0"/>
          <w:color w:val="000000"/>
          <w:sz w:val="24"/>
        </w:rPr>
        <w:t>节点取最高冲击等级展示</w:t>
      </w:r>
    </w:p>
    <w:p>
      <w:pPr>
        <w:pStyle w:val="ListBullet"/>
      </w:pPr>
      <w:r>
        <w:rPr>
          <w:rFonts w:ascii="Times New Roman" w:hAnsi="Times New Roman" w:eastAsia="宋体"/>
          <w:b w:val="0"/>
          <w:color w:val="000000"/>
          <w:sz w:val="24"/>
        </w:rPr>
        <w:t>详情面板列出所有共同影响的风险源及各自路径</w:t>
      </w:r>
    </w:p>
    <w:p>
      <w:pPr>
        <w:pStyle w:val="ListBullet"/>
      </w:pPr>
      <w:r>
        <w:rPr>
          <w:rFonts w:ascii="Times New Roman" w:hAnsi="Times New Roman" w:eastAsia="宋体"/>
          <w:b w:val="0"/>
          <w:color w:val="000000"/>
          <w:sz w:val="24"/>
        </w:rPr>
        <w:t>开关风险源后重新推演</w:t>
      </w:r>
    </w:p>
    <w:p>
      <w:pPr>
        <w:pStyle w:val="Heading1"/>
      </w:pPr>
      <w:r>
        <w:rPr>
          <w:rFonts w:ascii="Times New Roman" w:hAnsi="Times New Roman" w:eastAsia="黑体"/>
          <w:b/>
          <w:color w:val="000000"/>
          <w:sz w:val="32"/>
        </w:rPr>
        <w:t>七、3D 迭代内容（阶段二）</w:t>
      </w:r>
    </w:p>
    <w:p>
      <w:pPr>
        <w:pStyle w:val="Heading2"/>
      </w:pPr>
      <w:r>
        <w:rPr>
          <w:rFonts w:ascii="Times New Roman" w:hAnsi="Times New Roman" w:eastAsia="黑体"/>
          <w:b/>
          <w:color w:val="000000"/>
          <w:sz w:val="28"/>
        </w:rPr>
        <w:t>7.1 迭代目标</w:t>
      </w:r>
    </w:p>
    <w:p>
      <w:pPr>
        <w:pStyle w:val="ListBullet"/>
      </w:pPr>
      <w:r>
        <w:rPr>
          <w:rFonts w:ascii="Times New Roman" w:hAnsi="Times New Roman" w:eastAsia="宋体"/>
          <w:b w:val="0"/>
          <w:color w:val="000000"/>
          <w:sz w:val="24"/>
        </w:rPr>
        <w:t>用 Z 轴分层解决 2D 多重连线重叠问题</w:t>
      </w:r>
    </w:p>
    <w:p>
      <w:pPr>
        <w:pStyle w:val="ListBullet"/>
      </w:pPr>
      <w:r>
        <w:rPr>
          <w:rFonts w:ascii="Times New Roman" w:hAnsi="Times New Roman" w:eastAsia="宋体"/>
          <w:b w:val="0"/>
          <w:color w:val="000000"/>
          <w:sz w:val="24"/>
        </w:rPr>
        <w:t>保留 2D 全部功能与数据逻辑</w:t>
      </w:r>
    </w:p>
    <w:p>
      <w:pPr>
        <w:pStyle w:val="ListBullet"/>
      </w:pPr>
      <w:r>
        <w:rPr>
          <w:rFonts w:ascii="Times New Roman" w:hAnsi="Times New Roman" w:eastAsia="宋体"/>
          <w:b w:val="0"/>
          <w:color w:val="000000"/>
          <w:sz w:val="24"/>
        </w:rPr>
        <w:t>2D 俯视图作为辅助总览保留</w:t>
      </w:r>
    </w:p>
    <w:p>
      <w:pPr>
        <w:pStyle w:val="Heading2"/>
      </w:pPr>
      <w:r>
        <w:rPr>
          <w:rFonts w:ascii="Times New Roman" w:hAnsi="Times New Roman" w:eastAsia="黑体"/>
          <w:b/>
          <w:color w:val="000000"/>
          <w:sz w:val="28"/>
        </w:rPr>
        <w:t>7.2 3D 场景规范</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rPr>
          <w:tblHeader w:val="true"/>
        </w:trPr>
        <w:tc>
          <w:tcPr>
            <w:tcW w:type="dxa" w:w="4536"/>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元素</w:t>
            </w:r>
          </w:p>
        </w:tc>
        <w:tc>
          <w:tcPr>
            <w:tcW w:type="dxa" w:w="4536"/>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规范</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背景</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黑色 #000000（与 2D 一致）</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地面</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深灰网格 #2A2A2A</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节点</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GLB 模型 + 扁圆柱底座</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企业色</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建筑材质默认 #82C9E0（与 2D 统一）</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关系大类</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Z 轴分层：底层物料流、中层资金账期、上层技术合作</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关系子类型</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线型 + 同色系深浅</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担保</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独立层或贴地线，深绿色</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同控分组</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底座外圈色环 + 悬停贴地点划线</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风险表达</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描边/光晕 + 标签，不改建筑固有色</w:t>
            </w:r>
          </w:p>
        </w:tc>
      </w:tr>
    </w:tbl>
    <w:p>
      <w:pPr>
        <w:spacing w:after="120" w:line="240" w:lineRule="auto"/>
      </w:pPr>
    </w:p>
    <w:p>
      <w:pPr>
        <w:pStyle w:val="Heading2"/>
      </w:pPr>
      <w:r>
        <w:rPr>
          <w:rFonts w:ascii="Times New Roman" w:hAnsi="Times New Roman" w:eastAsia="黑体"/>
          <w:b/>
          <w:color w:val="000000"/>
          <w:sz w:val="28"/>
        </w:rPr>
        <w:t>7.3 3D 节点组装</w:t>
      </w:r>
    </w:p>
    <w:p>
      <w:r>
        <w:rPr>
          <w:rFonts w:ascii="Times New Roman" w:hAnsi="Times New Roman" w:eastAsia="宋体"/>
          <w:b w:val="0"/>
          <w:color w:val="000000"/>
          <w:sz w:val="24"/>
        </w:rPr>
        <w:t>每个企业节点 = 扁圆柱底座（半径 = 建筑底面外接圆 × 1.1，高 0.08）+ 建筑 GLB 模型（居中，底面贴底座顶面）。</w:t>
      </w:r>
    </w:p>
    <w:p>
      <w:pPr>
        <w:pStyle w:val="ListBullet"/>
      </w:pPr>
      <w:r>
        <w:rPr>
          <w:rFonts w:ascii="Times New Roman" w:hAnsi="Times New Roman" w:eastAsia="宋体"/>
          <w:b w:val="0"/>
          <w:color w:val="000000"/>
          <w:sz w:val="24"/>
        </w:rPr>
        <w:t>底座材质：低饱和灰，用于遮挡模型底部开口</w:t>
      </w:r>
    </w:p>
    <w:p>
      <w:pPr>
        <w:pStyle w:val="ListBullet"/>
      </w:pPr>
      <w:r>
        <w:rPr>
          <w:rFonts w:ascii="Times New Roman" w:hAnsi="Times New Roman" w:eastAsia="宋体"/>
          <w:b w:val="0"/>
          <w:color w:val="000000"/>
          <w:sz w:val="24"/>
        </w:rPr>
        <w:t>底座外圈：同控分组色环</w:t>
      </w:r>
    </w:p>
    <w:p>
      <w:pPr>
        <w:pStyle w:val="ListBullet"/>
      </w:pPr>
      <w:r>
        <w:rPr>
          <w:rFonts w:ascii="Times New Roman" w:hAnsi="Times New Roman" w:eastAsia="宋体"/>
          <w:b w:val="0"/>
          <w:color w:val="000000"/>
          <w:sz w:val="24"/>
        </w:rPr>
        <w:t>底座/建筑描边：风险等级色</w:t>
      </w:r>
    </w:p>
    <w:p>
      <w:pPr>
        <w:pStyle w:val="Heading2"/>
      </w:pPr>
      <w:r>
        <w:rPr>
          <w:rFonts w:ascii="Times New Roman" w:hAnsi="Times New Roman" w:eastAsia="黑体"/>
          <w:b/>
          <w:color w:val="000000"/>
          <w:sz w:val="28"/>
        </w:rPr>
        <w:t>7.4 3D 交互</w:t>
      </w:r>
    </w:p>
    <w:p>
      <w:pPr>
        <w:pStyle w:val="ListBullet"/>
      </w:pPr>
      <w:r>
        <w:rPr>
          <w:rFonts w:ascii="Times New Roman" w:hAnsi="Times New Roman" w:eastAsia="宋体"/>
          <w:b w:val="0"/>
          <w:color w:val="000000"/>
          <w:sz w:val="24"/>
        </w:rPr>
        <w:t>自由旋转、缩放、拖拽</w:t>
      </w:r>
    </w:p>
    <w:p>
      <w:pPr>
        <w:pStyle w:val="ListBullet"/>
      </w:pPr>
      <w:r>
        <w:rPr>
          <w:rFonts w:ascii="Times New Roman" w:hAnsi="Times New Roman" w:eastAsia="宋体"/>
          <w:b w:val="0"/>
          <w:color w:val="000000"/>
          <w:sz w:val="24"/>
        </w:rPr>
        <w:t>2D 俯视图切换</w:t>
      </w:r>
    </w:p>
    <w:p>
      <w:pPr>
        <w:pStyle w:val="ListBullet"/>
      </w:pPr>
      <w:r>
        <w:rPr>
          <w:rFonts w:ascii="Times New Roman" w:hAnsi="Times New Roman" w:eastAsia="宋体"/>
          <w:b w:val="0"/>
          <w:color w:val="000000"/>
          <w:sz w:val="24"/>
        </w:rPr>
        <w:t>关系层显隐开关</w:t>
      </w:r>
    </w:p>
    <w:p>
      <w:pPr>
        <w:pStyle w:val="ListBullet"/>
      </w:pPr>
      <w:r>
        <w:rPr>
          <w:rFonts w:ascii="Times New Roman" w:hAnsi="Times New Roman" w:eastAsia="宋体"/>
          <w:b w:val="0"/>
          <w:color w:val="000000"/>
          <w:sz w:val="24"/>
        </w:rPr>
        <w:t>单点聚焦、阈值筛选、反选（与 2D 逻辑一致）</w:t>
      </w:r>
    </w:p>
    <w:p>
      <w:pPr>
        <w:pStyle w:val="ListBullet"/>
      </w:pPr>
      <w:r>
        <w:rPr>
          <w:rFonts w:ascii="Times New Roman" w:hAnsi="Times New Roman" w:eastAsia="宋体"/>
          <w:b w:val="0"/>
          <w:color w:val="000000"/>
          <w:sz w:val="24"/>
        </w:rPr>
        <w:t>标签 LOD：远看名称，近看详情</w:t>
      </w:r>
    </w:p>
    <w:p>
      <w:pPr>
        <w:pStyle w:val="Heading2"/>
      </w:pPr>
      <w:r>
        <w:rPr>
          <w:rFonts w:ascii="Times New Roman" w:hAnsi="Times New Roman" w:eastAsia="黑体"/>
          <w:b/>
          <w:color w:val="000000"/>
          <w:sz w:val="28"/>
        </w:rPr>
        <w:t>7.5 3D 模型生成路线</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rPr>
          <w:tblHeader w:val="true"/>
        </w:trPr>
        <w:tc>
          <w:tcPr>
            <w:tcW w:type="dxa" w:w="4536"/>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路线</w:t>
            </w:r>
          </w:p>
        </w:tc>
        <w:tc>
          <w:tcPr>
            <w:tcW w:type="dxa" w:w="4536"/>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说明</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Three.js 程序化几何</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首选，零外部资产，可控</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Tripo 文生 3D</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补充复杂造型，导出 GLB</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Blender 程序化建模</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参数化精修</w:t>
            </w:r>
          </w:p>
        </w:tc>
      </w:tr>
    </w:tbl>
    <w:p>
      <w:pPr>
        <w:spacing w:after="120" w:line="240" w:lineRule="auto"/>
      </w:pPr>
    </w:p>
    <w:p>
      <w:r>
        <w:rPr>
          <w:rFonts w:ascii="Times New Roman" w:hAnsi="Times New Roman" w:eastAsia="宋体"/>
          <w:b w:val="0"/>
          <w:color w:val="000000"/>
          <w:sz w:val="24"/>
        </w:rPr>
        <w:t>六类建筑提示词见附录 A。</w:t>
      </w:r>
    </w:p>
    <w:p>
      <w:pPr>
        <w:pStyle w:val="Heading2"/>
      </w:pPr>
      <w:r>
        <w:rPr>
          <w:rFonts w:ascii="Times New Roman" w:hAnsi="Times New Roman" w:eastAsia="黑体"/>
          <w:b/>
          <w:color w:val="000000"/>
          <w:sz w:val="28"/>
        </w:rPr>
        <w:t>7.6 2D → 3D 迁移清单</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rPr>
          <w:tblHeader w:val="true"/>
        </w:trPr>
        <w:tc>
          <w:tcPr>
            <w:tcW w:type="dxa" w:w="4536"/>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模块</w:t>
            </w:r>
          </w:p>
        </w:tc>
        <w:tc>
          <w:tcPr>
            <w:tcW w:type="dxa" w:w="4536"/>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迁移工作量</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数据层 / 图模型层 / 推演层</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零</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交互逻辑 / RenderModel / UI 面板 / 图例</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零或小</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渲染器</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大，独立替换</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布局算法</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中（3D 坐标 + Z 轴分层）</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节点/边表现</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中</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同控表达</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中</w:t>
            </w:r>
          </w:p>
        </w:tc>
      </w:tr>
    </w:tbl>
    <w:p>
      <w:pPr>
        <w:spacing w:after="120" w:line="240" w:lineRule="auto"/>
      </w:pPr>
    </w:p>
    <w:p>
      <w:pPr>
        <w:pStyle w:val="Heading2"/>
      </w:pPr>
      <w:r>
        <w:rPr>
          <w:rFonts w:ascii="Times New Roman" w:hAnsi="Times New Roman" w:eastAsia="黑体"/>
          <w:b/>
          <w:color w:val="000000"/>
          <w:sz w:val="28"/>
        </w:rPr>
        <w:t>7.7 3D 增强（阶段三）</w:t>
      </w:r>
    </w:p>
    <w:p>
      <w:pPr>
        <w:pStyle w:val="ListBullet"/>
      </w:pPr>
      <w:r>
        <w:rPr>
          <w:rFonts w:ascii="Times New Roman" w:hAnsi="Times New Roman" w:eastAsia="宋体"/>
          <w:b w:val="0"/>
          <w:color w:val="000000"/>
          <w:sz w:val="24"/>
        </w:rPr>
        <w:t>D-S 证据融合 + 冲突检测</w:t>
      </w:r>
    </w:p>
    <w:p>
      <w:pPr>
        <w:pStyle w:val="ListBullet"/>
      </w:pPr>
      <w:r>
        <w:rPr>
          <w:rFonts w:ascii="Times New Roman" w:hAnsi="Times New Roman" w:eastAsia="宋体"/>
          <w:b w:val="0"/>
          <w:color w:val="000000"/>
          <w:sz w:val="24"/>
        </w:rPr>
        <w:t>担保环结构证据</w:t>
      </w:r>
    </w:p>
    <w:p>
      <w:pPr>
        <w:pStyle w:val="ListBullet"/>
      </w:pPr>
      <w:r>
        <w:rPr>
          <w:rFonts w:ascii="Times New Roman" w:hAnsi="Times New Roman" w:eastAsia="宋体"/>
          <w:b w:val="0"/>
          <w:color w:val="000000"/>
          <w:sz w:val="24"/>
        </w:rPr>
        <w:t>控制人个人风险信号开关</w:t>
      </w:r>
    </w:p>
    <w:p>
      <w:pPr>
        <w:pStyle w:val="ListBullet"/>
      </w:pPr>
      <w:r>
        <w:rPr>
          <w:rFonts w:ascii="Times New Roman" w:hAnsi="Times New Roman" w:eastAsia="宋体"/>
          <w:b w:val="0"/>
          <w:color w:val="000000"/>
          <w:sz w:val="24"/>
        </w:rPr>
        <w:t>同控 + 互保叠加提示</w:t>
      </w:r>
    </w:p>
    <w:p>
      <w:pPr>
        <w:pStyle w:val="ListBullet"/>
      </w:pPr>
      <w:r>
        <w:rPr>
          <w:rFonts w:ascii="Times New Roman" w:hAnsi="Times New Roman" w:eastAsia="宋体"/>
          <w:b w:val="0"/>
          <w:color w:val="000000"/>
          <w:sz w:val="24"/>
        </w:rPr>
        <w:t>模糊推理增强担保/同控牵连强度</w:t>
      </w:r>
    </w:p>
    <w:p>
      <w:pPr>
        <w:pStyle w:val="Heading1"/>
      </w:pPr>
      <w:r>
        <w:rPr>
          <w:rFonts w:ascii="Times New Roman" w:hAnsi="Times New Roman" w:eastAsia="黑体"/>
          <w:b/>
          <w:color w:val="000000"/>
          <w:sz w:val="32"/>
        </w:rPr>
        <w:t>八、测试用产业链数据集（必做）</w:t>
      </w:r>
    </w:p>
    <w:p>
      <w:pPr>
        <w:pStyle w:val="Heading2"/>
      </w:pPr>
      <w:r>
        <w:rPr>
          <w:rFonts w:ascii="Times New Roman" w:hAnsi="Times New Roman" w:eastAsia="黑体"/>
          <w:b/>
          <w:color w:val="000000"/>
          <w:sz w:val="28"/>
        </w:rPr>
        <w:t>8.1 目的</w:t>
      </w:r>
    </w:p>
    <w:p>
      <w:r>
        <w:rPr>
          <w:rFonts w:ascii="Times New Roman" w:hAnsi="Times New Roman" w:eastAsia="宋体"/>
          <w:b w:val="0"/>
          <w:color w:val="000000"/>
          <w:sz w:val="24"/>
        </w:rPr>
        <w:t>上传后可临时检测所有功能是否正常：导入、校验、关系计算、推演、风险源开关、企业列表筛选、结果展示、工作区切换、重置。</w:t>
      </w:r>
    </w:p>
    <w:p>
      <w:pPr>
        <w:pStyle w:val="Heading2"/>
      </w:pPr>
      <w:r>
        <w:rPr>
          <w:rFonts w:ascii="Times New Roman" w:hAnsi="Times New Roman" w:eastAsia="黑体"/>
          <w:b/>
          <w:color w:val="000000"/>
          <w:sz w:val="28"/>
        </w:rPr>
        <w:t>8.2 数据集要求</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rPr>
          <w:tblHeader w:val="true"/>
        </w:trPr>
        <w:tc>
          <w:tcPr>
            <w:tcW w:type="dxa" w:w="3024"/>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项目</w:t>
            </w:r>
          </w:p>
        </w:tc>
        <w:tc>
          <w:tcPr>
            <w:tcW w:type="dxa" w:w="3024"/>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数量</w:t>
            </w:r>
          </w:p>
        </w:tc>
        <w:tc>
          <w:tcPr>
            <w:tcW w:type="dxa" w:w="3024"/>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说明</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企业</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15 家</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覆盖六种类型，含 2 组同控关系</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关系</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30 条</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含物料/资金/技术/担保/同控；至少 5 对企业之间有多条关系，用于测试 2D 连线防交叉与 3D 分层</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风险源</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3 个</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物料断供、资金逾期、控制人风险各 1</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担保环</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1 个</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A↔B 互保，深绿色</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同控组</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2 组</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每组 2~3 家企业</w:t>
            </w:r>
          </w:p>
        </w:tc>
      </w:tr>
      <w:tr>
        <w:trPr>
          <w:cantSplit/>
        </w:trPr>
        <w:tc>
          <w:tcPr>
            <w:tcW w:type="dxa" w:w="3024"/>
            <w:vAlign w:val="center"/>
          </w:tcPr>
          <w:p>
            <w:pPr>
              <w:spacing w:line="240" w:lineRule="auto" w:before="40" w:after="40"/>
              <w:jc w:val="center"/>
              <w:ind w:firstLineChars="0" w:firstLine="0" w:left="0" w:right="0"/>
            </w:pPr>
            <w:r>
              <w:rPr>
                <w:rFonts w:ascii="Times New Roman" w:hAnsi="Times New Roman" w:eastAsia="宋体"/>
                <w:b w:val="0"/>
                <w:color w:val="000000"/>
                <w:sz w:val="21"/>
              </w:rPr>
              <w:t>风险企业</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若干</w:t>
            </w:r>
          </w:p>
        </w:tc>
        <w:tc>
          <w:tcPr>
            <w:tcW w:type="dxa" w:w="3024"/>
            <w:vAlign w:val="center"/>
          </w:tcPr>
          <w:p>
            <w:pPr>
              <w:spacing w:line="240" w:lineRule="auto" w:before="40" w:after="40"/>
              <w:jc w:val="left"/>
              <w:ind w:firstLineChars="0" w:firstLine="0" w:left="0" w:right="0"/>
            </w:pPr>
            <w:r>
              <w:rPr>
                <w:rFonts w:ascii="Times New Roman" w:hAnsi="Times New Roman" w:eastAsia="宋体"/>
                <w:b w:val="0"/>
                <w:color w:val="000000"/>
                <w:sz w:val="21"/>
              </w:rPr>
              <w:t>预设可触发高/中/低风险传导，验证色阶</w:t>
            </w:r>
          </w:p>
        </w:tc>
      </w:tr>
    </w:tbl>
    <w:p>
      <w:pPr>
        <w:spacing w:after="120" w:line="240" w:lineRule="auto"/>
      </w:pPr>
    </w:p>
    <w:p>
      <w:pPr>
        <w:pStyle w:val="Heading2"/>
      </w:pPr>
      <w:r>
        <w:rPr>
          <w:rFonts w:ascii="Times New Roman" w:hAnsi="Times New Roman" w:eastAsia="黑体"/>
          <w:b/>
          <w:color w:val="000000"/>
          <w:sz w:val="28"/>
        </w:rPr>
        <w:t>8.3 一键加载</w:t>
      </w:r>
    </w:p>
    <w:p>
      <w:pPr>
        <w:pStyle w:val="ListBullet"/>
      </w:pPr>
      <w:r>
        <w:rPr>
          <w:rFonts w:ascii="Times New Roman" w:hAnsi="Times New Roman" w:eastAsia="宋体"/>
          <w:b w:val="0"/>
          <w:color w:val="000000"/>
          <w:sz w:val="24"/>
        </w:rPr>
        <w:t>界面提供“加载测试数据”按钮</w:t>
      </w:r>
    </w:p>
    <w:p>
      <w:pPr>
        <w:pStyle w:val="ListBullet"/>
      </w:pPr>
      <w:r>
        <w:rPr>
          <w:rFonts w:ascii="Times New Roman" w:hAnsi="Times New Roman" w:eastAsia="宋体"/>
          <w:b w:val="0"/>
          <w:color w:val="000000"/>
          <w:sz w:val="24"/>
        </w:rPr>
        <w:t>加载后自动生成图、计算关联值、执行推演</w:t>
      </w:r>
    </w:p>
    <w:p>
      <w:pPr>
        <w:pStyle w:val="ListBullet"/>
      </w:pPr>
      <w:r>
        <w:rPr>
          <w:rFonts w:ascii="Times New Roman" w:hAnsi="Times New Roman" w:eastAsia="宋体"/>
          <w:b w:val="0"/>
          <w:color w:val="000000"/>
          <w:sz w:val="24"/>
        </w:rPr>
        <w:t>用于开发自测和答辩演示</w:t>
      </w:r>
    </w:p>
    <w:p>
      <w:pPr>
        <w:pStyle w:val="Heading2"/>
      </w:pPr>
      <w:r>
        <w:rPr>
          <w:rFonts w:ascii="Times New Roman" w:hAnsi="Times New Roman" w:eastAsia="黑体"/>
          <w:b/>
          <w:color w:val="000000"/>
          <w:sz w:val="28"/>
        </w:rPr>
        <w:t>8.4 验收检查项</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rPr>
          <w:tblHeader w:val="true"/>
        </w:trPr>
        <w:tc>
          <w:tcPr>
            <w:tcW w:type="dxa" w:w="4536"/>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w:t>
            </w:r>
          </w:p>
        </w:tc>
        <w:tc>
          <w:tcPr>
            <w:tcW w:type="dxa" w:w="4536"/>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验收检查项</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导入成功，无错误行</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六类企业图形正确显示</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五类关系颜色/线型正确</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多关系企业连线错开不重合</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3 个风险源均可在列表开关</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关闭任一风险源，相关传导消失</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删除企业，其风险源同步删除</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企业列表筛选受影响/不受影响、搜索名称/等级</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结果展示区数量正确</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工作区新建/切换不重置原数据</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重置清空当前工作区</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全局控制器展开/收回两侧</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点击企业显示路径、分值、等级、对策</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风险传导边按等级变色</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同控企业外环颜色一致</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决策辅助声明可见</w:t>
            </w:r>
          </w:p>
        </w:tc>
      </w:tr>
    </w:tbl>
    <w:p>
      <w:pPr>
        <w:spacing w:after="120" w:line="240" w:lineRule="auto"/>
      </w:pPr>
    </w:p>
    <w:p>
      <w:pPr>
        <w:pStyle w:val="Heading1"/>
      </w:pPr>
      <w:r>
        <w:rPr>
          <w:rFonts w:ascii="Times New Roman" w:hAnsi="Times New Roman" w:eastAsia="黑体"/>
          <w:b/>
          <w:color w:val="000000"/>
          <w:sz w:val="32"/>
        </w:rPr>
        <w:t>九、模块划分与技术栈</w:t>
      </w:r>
    </w:p>
    <w:p>
      <w:pPr>
        <w:pStyle w:val="Heading2"/>
      </w:pPr>
      <w:r>
        <w:rPr>
          <w:rFonts w:ascii="Times New Roman" w:hAnsi="Times New Roman" w:eastAsia="黑体"/>
          <w:b/>
          <w:color w:val="000000"/>
          <w:sz w:val="28"/>
        </w:rPr>
        <w:t>9.1 技术栈</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rPr>
          <w:tblHeader w:val="true"/>
        </w:trPr>
        <w:tc>
          <w:tcPr>
            <w:tcW w:type="dxa" w:w="4536"/>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层级</w:t>
            </w:r>
          </w:p>
        </w:tc>
        <w:tc>
          <w:tcPr>
            <w:tcW w:type="dxa" w:w="4536"/>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选型</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前端框架</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Vue 3 + TypeScript + Vite + Pinia</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2D 渲染</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ECharts Graph（力导向/固定布局 + 边弯曲）</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3D 渲染（阶段二）</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Three.js + GLTFLoader + OrbitControls</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2D 俯视图（阶段二）</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ECharts Graph（复用 2D 渲染器）</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后端（可选）</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FastAPI 或 Node.js</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Excel</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SheetJS（前端）或 openpyxl（后端）</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状态</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内存图 + JSON 规则库 + 工作区隔离</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持久化</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localStorage 或 IndexedDB（工作区数据）</w:t>
            </w:r>
          </w:p>
        </w:tc>
      </w:tr>
    </w:tbl>
    <w:p>
      <w:pPr>
        <w:spacing w:after="120" w:line="240" w:lineRule="auto"/>
      </w:pPr>
    </w:p>
    <w:p>
      <w:pPr>
        <w:pStyle w:val="Heading2"/>
      </w:pPr>
      <w:r>
        <w:rPr>
          <w:rFonts w:ascii="Times New Roman" w:hAnsi="Times New Roman" w:eastAsia="黑体"/>
          <w:b/>
          <w:color w:val="000000"/>
          <w:sz w:val="28"/>
        </w:rPr>
        <w:t>9.2 模块划分</w:t>
      </w:r>
    </w:p>
    <w:p>
      <w:pPr>
        <w:spacing w:line="240" w:lineRule="auto" w:before="80" w:after="120"/>
        <w:ind w:firstLineChars="0" w:firstLine="0" w:left="180"/>
        <w:shd w:val="clear" w:fill="F5F5F5"/>
      </w:pPr>
      <w:r>
        <w:rPr>
          <w:rFonts w:ascii="Consolas" w:hAnsi="Consolas"/>
          <w:rFonts w:ascii="Consolas" w:hAnsi="Consolas" w:eastAsia="Consolas"/>
          <w:sz w:val="18"/>
        </w:rPr>
        <w:t>data/          Excel 导入、校验、解析、测试数据集</w:t>
        <w:br/>
      </w:r>
      <w:r>
        <w:rPr>
          <w:rFonts w:ascii="Consolas" w:hAnsi="Consolas"/>
          <w:rFonts w:ascii="Consolas" w:hAnsi="Consolas" w:eastAsia="Consolas"/>
          <w:sz w:val="18"/>
        </w:rPr>
        <w:t>graph/         图模型构建、同控推导、担保环识别</w:t>
        <w:br/>
      </w:r>
      <w:r>
        <w:rPr>
          <w:rFonts w:ascii="Consolas" w:hAnsi="Consolas"/>
          <w:rFonts w:ascii="Consolas" w:hAnsi="Consolas" w:eastAsia="Consolas"/>
          <w:sz w:val="18"/>
        </w:rPr>
        <w:t>propagation/   关联值计算、逐边传播、路径记录（纯函数）</w:t>
        <w:br/>
      </w:r>
      <w:r>
        <w:rPr>
          <w:rFonts w:ascii="Consolas" w:hAnsi="Consolas"/>
          <w:rFonts w:ascii="Consolas" w:hAnsi="Consolas" w:eastAsia="Consolas"/>
          <w:sz w:val="18"/>
        </w:rPr>
        <w:t>rules/         基础强度、模糊规则、对策库 JSON</w:t>
        <w:br/>
      </w:r>
      <w:r>
        <w:rPr>
          <w:rFonts w:ascii="Consolas" w:hAnsi="Consolas"/>
          <w:rFonts w:ascii="Consolas" w:hAnsi="Consolas" w:eastAsia="Consolas"/>
          <w:sz w:val="18"/>
        </w:rPr>
        <w:t>render2d/      ECharts 渲染、布局、边弯曲、变色</w:t>
        <w:br/>
      </w:r>
      <w:r>
        <w:rPr>
          <w:rFonts w:ascii="Consolas" w:hAnsi="Consolas"/>
          <w:rFonts w:ascii="Consolas" w:hAnsi="Consolas" w:eastAsia="Consolas"/>
          <w:sz w:val="18"/>
        </w:rPr>
        <w:t>render3d/      Three.js 场景、节点、连线、底座（阶段二）</w:t>
        <w:br/>
      </w:r>
      <w:r>
        <w:rPr>
          <w:rFonts w:ascii="Consolas" w:hAnsi="Consolas"/>
          <w:rFonts w:ascii="Consolas" w:hAnsi="Consolas" w:eastAsia="Consolas"/>
          <w:sz w:val="18"/>
        </w:rPr>
        <w:t>interaction/   聚焦、筛选、反选、图层、工作区</w:t>
        <w:br/>
      </w:r>
      <w:r>
        <w:rPr>
          <w:rFonts w:ascii="Consolas" w:hAnsi="Consolas"/>
          <w:rFonts w:ascii="Consolas" w:hAnsi="Consolas" w:eastAsia="Consolas"/>
          <w:sz w:val="18"/>
        </w:rPr>
        <w:t>ui/            左右功能区、面板、图例、控件、详情</w:t>
        <w:br/>
      </w:r>
      <w:r>
        <w:rPr>
          <w:rFonts w:ascii="Consolas" w:hAnsi="Consolas"/>
          <w:rFonts w:ascii="Consolas" w:hAnsi="Consolas" w:eastAsia="Consolas"/>
          <w:sz w:val="18"/>
        </w:rPr>
        <w:t>workspace/     工作区管理、持久化</w:t>
      </w:r>
    </w:p>
    <w:p>
      <w:pPr>
        <w:pStyle w:val="Heading1"/>
      </w:pPr>
      <w:r>
        <w:rPr>
          <w:rFonts w:ascii="Times New Roman" w:hAnsi="Times New Roman" w:eastAsia="黑体"/>
          <w:b/>
          <w:color w:val="000000"/>
          <w:sz w:val="32"/>
        </w:rPr>
        <w:t>十、开发顺序</w:t>
      </w:r>
    </w:p>
    <w:p>
      <w:pPr>
        <w:pStyle w:val="Heading2"/>
      </w:pPr>
      <w:r>
        <w:rPr>
          <w:rFonts w:ascii="Times New Roman" w:hAnsi="Times New Roman" w:eastAsia="黑体"/>
          <w:b/>
          <w:color w:val="000000"/>
          <w:sz w:val="28"/>
        </w:rPr>
        <w:t>阶段一：2D 全功能闭环</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rPr>
          <w:tblHeader w:val="true"/>
        </w:trPr>
        <w:tc>
          <w:tcPr>
            <w:tcW w:type="dxa" w:w="4536"/>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Step</w:t>
            </w:r>
          </w:p>
        </w:tc>
        <w:tc>
          <w:tcPr>
            <w:tcW w:type="dxa" w:w="4536"/>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内容</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Step 1</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项目骨架 + 类型定义 + RenderModel 接口 + 全局布局</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Step 2</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Excel 模板 + 导入 + 校验 + 测试数据集（15企业/30关系/3风险源）</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Step 3</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图模型构建（含同控推导、担保环识别）</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Step 4</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关联值计算（四类业务流）+ 单元测试</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Step 5</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风险传导 + 路径记录 + 单元测试</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Step 6</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ECharts 渲染 RenderModel（六类图形/五类关系/风险色阶/图例）</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Step 7</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风险源列表 + 开关 + 同步删除</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Step 8</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企业列表（筛选/搜索/排序）+ 结果展示区</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Step 9</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详情面板（路径/分值/等级/对策/声明）</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Step 10</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聚焦 + 阈值筛选 + 图层开关 + 全局控制器</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Step 11</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工作区管理 + 重置</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Step 12</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连线防交叉优化 + 多重关系重叠截图留证</w:t>
            </w:r>
          </w:p>
        </w:tc>
      </w:tr>
    </w:tbl>
    <w:p>
      <w:pPr>
        <w:spacing w:after="120" w:line="240" w:lineRule="auto"/>
      </w:pPr>
    </w:p>
    <w:p>
      <w:pPr>
        <w:pStyle w:val="Heading2"/>
      </w:pPr>
      <w:r>
        <w:rPr>
          <w:rFonts w:ascii="Times New Roman" w:hAnsi="Times New Roman" w:eastAsia="黑体"/>
          <w:b/>
          <w:color w:val="000000"/>
          <w:sz w:val="28"/>
        </w:rPr>
        <w:t>阶段二：3D 迭代</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rPr>
          <w:tblHeader w:val="true"/>
        </w:trPr>
        <w:tc>
          <w:tcPr>
            <w:tcW w:type="dxa" w:w="4536"/>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Step</w:t>
            </w:r>
          </w:p>
        </w:tc>
        <w:tc>
          <w:tcPr>
            <w:tcW w:type="dxa" w:w="4536"/>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内容</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Step 13</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Three.js 场景 + 黑色背景 + 节点/边基础渲染</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Step 14</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GLB 模型加载 + 底座组装 + 同控色环</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Step 15</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Z 轴分层 + 关系层显隐 + 2D/3D 切换</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Step 16</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3D 交互（旋转/缩放/聚焦/筛选）+ 标签 LOD</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Step 17</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2D 俯视图 + 3D 视角遮挡弥补</w:t>
            </w:r>
          </w:p>
        </w:tc>
      </w:tr>
    </w:tbl>
    <w:p>
      <w:pPr>
        <w:spacing w:after="120" w:line="240" w:lineRule="auto"/>
      </w:pPr>
    </w:p>
    <w:p>
      <w:pPr>
        <w:pStyle w:val="Heading2"/>
      </w:pPr>
      <w:r>
        <w:rPr>
          <w:rFonts w:ascii="Times New Roman" w:hAnsi="Times New Roman" w:eastAsia="黑体"/>
          <w:b/>
          <w:color w:val="000000"/>
          <w:sz w:val="28"/>
        </w:rPr>
        <w:t>阶段三：增强</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rPr>
          <w:tblHeader w:val="true"/>
        </w:trPr>
        <w:tc>
          <w:tcPr>
            <w:tcW w:type="dxa" w:w="4536"/>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Step</w:t>
            </w:r>
          </w:p>
        </w:tc>
        <w:tc>
          <w:tcPr>
            <w:tcW w:type="dxa" w:w="4536"/>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内容</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Step 18</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模糊推理（担保/同控）</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Step 19</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D-S 融合 + 冲突检测</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Step 20</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反选视图 + 报告导出 + 控制人风险信号</w:t>
            </w:r>
          </w:p>
        </w:tc>
      </w:tr>
    </w:tbl>
    <w:p>
      <w:pPr>
        <w:spacing w:after="120" w:line="240" w:lineRule="auto"/>
      </w:pPr>
    </w:p>
    <w:p>
      <w:pPr>
        <w:pStyle w:val="Heading1"/>
      </w:pPr>
      <w:r>
        <w:rPr>
          <w:rFonts w:ascii="Times New Roman" w:hAnsi="Times New Roman" w:eastAsia="黑体"/>
          <w:b/>
          <w:color w:val="000000"/>
          <w:sz w:val="32"/>
        </w:rPr>
        <w:t>十一、验收断言（2D 阶段）</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rPr>
          <w:tblHeader w:val="true"/>
        </w:trPr>
        <w:tc>
          <w:tcPr>
            <w:tcW w:type="dxa" w:w="4536"/>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w:t>
            </w:r>
          </w:p>
        </w:tc>
        <w:tc>
          <w:tcPr>
            <w:tcW w:type="dxa" w:w="4536"/>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验收断言</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左右功能区、全局控制器（左上）、工作区+重置（右上）位置正确</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中间建模区背景始终黑色</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企业节点填充色统一 #82C9E0</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六类企业图形可区分</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五类关系颜色/线型正确，常态无红色</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同一对企业多条关系连线错开</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风险传导边按低/中/高变为浅橙/橙/红</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风险源深红双环 + 列表可开关</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删除企业时风险源同步删除</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企业列表可筛选受影响/不受影响，可搜索名称/等级</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结果展示区显示有风险/无风险企业及数量</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工作区可新建/切换/重命名/删除，互不重置</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重置清空当前工作区数据</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全局控制器可展开/收回两侧功能区</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测试数据集一键加载后所有功能可自检</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详情面板展示路径、分值、等级、对策、声明</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同控企业外环颜色一致，图例说明</w:t>
            </w:r>
          </w:p>
        </w:tc>
      </w:tr>
      <w:tr>
        <w:trPr>
          <w:cantSplit/>
        </w:trPr>
        <w:tc>
          <w:tcPr>
            <w:tcW w:type="dxa" w:w="4536"/>
            <w:vAlign w:val="center"/>
          </w:tcPr>
          <w:p>
            <w:pPr>
              <w:spacing w:line="240" w:lineRule="auto" w:before="40" w:after="40"/>
              <w:jc w:val="center"/>
              <w:ind w:firstLineChars="0" w:firstLine="0" w:left="0" w:right="0"/>
            </w:pPr>
            <w:r>
              <w:rPr>
                <w:rFonts w:ascii="Times New Roman" w:hAnsi="Times New Roman" w:eastAsia="宋体"/>
                <w:b w:val="0"/>
                <w:color w:val="000000"/>
                <w:sz w:val="21"/>
              </w:rPr>
              <w:t>□</w:t>
            </w:r>
          </w:p>
        </w:tc>
        <w:tc>
          <w:tcPr>
            <w:tcW w:type="dxa" w:w="4536"/>
            <w:vAlign w:val="center"/>
          </w:tcPr>
          <w:p>
            <w:pPr>
              <w:spacing w:line="240" w:lineRule="auto" w:before="40" w:after="40"/>
              <w:jc w:val="left"/>
              <w:ind w:firstLineChars="0" w:firstLine="0" w:left="0" w:right="0"/>
            </w:pPr>
            <w:r>
              <w:rPr>
                <w:rFonts w:ascii="Times New Roman" w:hAnsi="Times New Roman" w:eastAsia="宋体"/>
                <w:b w:val="0"/>
                <w:color w:val="000000"/>
                <w:sz w:val="21"/>
              </w:rPr>
              <w:t>2D 多重关系重叠截图已保存（3D 必要性证据）</w:t>
            </w:r>
          </w:p>
        </w:tc>
      </w:tr>
    </w:tbl>
    <w:p>
      <w:pPr>
        <w:spacing w:after="120" w:line="240" w:lineRule="auto"/>
      </w:pPr>
    </w:p>
    <w:p>
      <w:r>
        <w:br w:type="page"/>
      </w:r>
    </w:p>
    <w:p>
      <w:pPr>
        <w:pStyle w:val="Heading1"/>
      </w:pPr>
      <w:r>
        <w:rPr>
          <w:rFonts w:ascii="Times New Roman" w:hAnsi="Times New Roman" w:eastAsia="黑体"/>
          <w:b/>
          <w:color w:val="000000"/>
          <w:sz w:val="32"/>
        </w:rPr>
        <w:t>附录 A：六类建筑 Tripo 提示词（3D 阶段用）</w:t>
      </w:r>
    </w:p>
    <w:p>
      <w:pPr>
        <w:ind w:firstLineChars="0" w:firstLine="0"/>
      </w:pPr>
      <w:r>
        <w:rPr>
          <w:rFonts w:ascii="Times New Roman" w:hAnsi="Times New Roman" w:eastAsia="宋体"/>
          <w:b w:val="0"/>
          <w:color w:val="000000"/>
          <w:sz w:val="24"/>
        </w:rPr>
        <w:t>1. 原料坊</w:t>
      </w:r>
    </w:p>
    <w:p>
      <w:pPr>
        <w:ind w:firstLineChars="0" w:firstLine="0"/>
      </w:pPr>
      <w:r>
        <w:rPr>
          <w:rFonts w:ascii="Times New Roman" w:hAnsi="Times New Roman" w:eastAsia="宋体"/>
          <w:b w:val="0"/>
          <w:color w:val="000000"/>
          <w:sz w:val="24"/>
        </w:rPr>
        <w:t>Low-poly ancient Chinese raw material workshop. Low single-story shed with a large open material bay, flat roof, clean hard edges, flat color material, no textures, no extra decoration. Closed bottom with a solid flat base, watertight mesh. Single object, centered at origin, clean topology, under 500 triangles. Suitable for GLB export. No floating parts.</w:t>
      </w:r>
    </w:p>
    <w:p>
      <w:pPr>
        <w:ind w:firstLineChars="0" w:firstLine="0"/>
      </w:pPr>
      <w:r>
        <w:rPr>
          <w:rFonts w:ascii="Times New Roman" w:hAnsi="Times New Roman" w:eastAsia="宋体"/>
          <w:b w:val="0"/>
          <w:color w:val="000000"/>
          <w:sz w:val="24"/>
        </w:rPr>
        <w:t>2. 仓栈</w:t>
      </w:r>
    </w:p>
    <w:p>
      <w:pPr>
        <w:ind w:firstLineChars="0" w:firstLine="0"/>
      </w:pPr>
      <w:r>
        <w:rPr>
          <w:rFonts w:ascii="Times New Roman" w:hAnsi="Times New Roman" w:eastAsia="宋体"/>
          <w:b w:val="0"/>
          <w:color w:val="000000"/>
          <w:sz w:val="24"/>
        </w:rPr>
        <w:t>Low-poly ancient Chinese warehouse. Rectangular large storage building, thick walls, narrow door and window openings, flat roof, clean hard edges, flat color material, no textures, no extra decoration. Closed bottom with a solid flat base, watertight mesh. Single object, centered at origin, clean topology, under 500 triangles. Suitable for GLB export. No floating parts.</w:t>
      </w:r>
    </w:p>
    <w:p>
      <w:pPr>
        <w:ind w:firstLineChars="0" w:firstLine="0"/>
      </w:pPr>
      <w:r>
        <w:rPr>
          <w:rFonts w:ascii="Times New Roman" w:hAnsi="Times New Roman" w:eastAsia="宋体"/>
          <w:b w:val="0"/>
          <w:color w:val="000000"/>
          <w:sz w:val="24"/>
        </w:rPr>
        <w:t>3. 工坊</w:t>
      </w:r>
    </w:p>
    <w:p>
      <w:pPr>
        <w:ind w:firstLineChars="0" w:firstLine="0"/>
      </w:pPr>
      <w:r>
        <w:rPr>
          <w:rFonts w:ascii="Times New Roman" w:hAnsi="Times New Roman" w:eastAsia="宋体"/>
          <w:b w:val="0"/>
          <w:color w:val="000000"/>
          <w:sz w:val="24"/>
        </w:rPr>
        <w:t>Low-poly ancient Chinese workshop. Single-story workshop with a simple chimney, square blocky form, clean hard edges, flat color material, no textures, no extra decoration. Closed bottom with a solid flat base, watertight mesh. Single object, centered at origin, clean topology, under 500 triangles. Suitable for GLB export. No floating parts.</w:t>
      </w:r>
    </w:p>
    <w:p>
      <w:pPr>
        <w:ind w:firstLineChars="0" w:firstLine="0"/>
      </w:pPr>
      <w:r>
        <w:rPr>
          <w:rFonts w:ascii="Times New Roman" w:hAnsi="Times New Roman" w:eastAsia="宋体"/>
          <w:b w:val="0"/>
          <w:color w:val="000000"/>
          <w:sz w:val="24"/>
        </w:rPr>
        <w:t>4. 商行</w:t>
      </w:r>
    </w:p>
    <w:p>
      <w:pPr>
        <w:ind w:firstLineChars="0" w:firstLine="0"/>
      </w:pPr>
      <w:r>
        <w:rPr>
          <w:rFonts w:ascii="Times New Roman" w:hAnsi="Times New Roman" w:eastAsia="宋体"/>
          <w:b w:val="0"/>
          <w:color w:val="000000"/>
          <w:sz w:val="24"/>
        </w:rPr>
        <w:t>Low-poly ancient Chinese shopfront. Street-facing storefront with a simple eave, square compact form, clean hard edges, flat color material, no textures, no extra decoration. Closed bottom with a solid flat base, watertight mesh. Single object, centered at origin, clean topology, under 500 triangles. Suitable for GLB export. No floating parts.</w:t>
      </w:r>
    </w:p>
    <w:p>
      <w:pPr>
        <w:ind w:firstLineChars="0" w:firstLine="0"/>
      </w:pPr>
      <w:r>
        <w:rPr>
          <w:rFonts w:ascii="Times New Roman" w:hAnsi="Times New Roman" w:eastAsia="宋体"/>
          <w:b w:val="0"/>
          <w:color w:val="000000"/>
          <w:sz w:val="24"/>
        </w:rPr>
        <w:t>5. 驿馆</w:t>
      </w:r>
    </w:p>
    <w:p>
      <w:pPr>
        <w:ind w:firstLineChars="0" w:firstLine="0"/>
      </w:pPr>
      <w:r>
        <w:rPr>
          <w:rFonts w:ascii="Times New Roman" w:hAnsi="Times New Roman" w:eastAsia="宋体"/>
          <w:b w:val="0"/>
          <w:color w:val="000000"/>
          <w:sz w:val="24"/>
        </w:rPr>
        <w:t>Low-poly ancient Chinese relay station. A small main hall with an attached low side veranda running along one facade, forming one connected L-shaped volume. Lower and more horizontal than a workshop, with an open covered porch instead of enclosed rooms. Flat roof, clean hard edges, flat color material, no textures, no extra decoration. Closed bottom with a solid flat base, watertight mesh. Single object, centered at origin, clean topology, under 500 triangles. Suitable for GLB export. No floating parts, no detached corridor.</w:t>
      </w:r>
    </w:p>
    <w:p>
      <w:pPr>
        <w:ind w:firstLineChars="0" w:firstLine="0"/>
      </w:pPr>
      <w:r>
        <w:rPr>
          <w:rFonts w:ascii="Times New Roman" w:hAnsi="Times New Roman" w:eastAsia="宋体"/>
          <w:b w:val="0"/>
          <w:color w:val="000000"/>
          <w:sz w:val="24"/>
        </w:rPr>
        <w:t>6. 金融机构</w:t>
      </w:r>
    </w:p>
    <w:p>
      <w:pPr>
        <w:ind w:firstLineChars="0" w:firstLine="0"/>
      </w:pPr>
      <w:r>
        <w:rPr>
          <w:rFonts w:ascii="Times New Roman" w:hAnsi="Times New Roman" w:eastAsia="宋体"/>
          <w:b w:val="0"/>
          <w:color w:val="000000"/>
          <w:sz w:val="24"/>
        </w:rPr>
        <w:t>Low-poly ancient Chinese financial hall. Solid and rectangular, slightly taller than other buildings, solemn and compact, clean hard edges, flat color material, no textures, no extra decoration. Closed bottom with a solid flat base, watertight mesh. Single object, centered at origin, clean topology, under 500 triangles. Suitable for GLB export. No floating parts.</w:t>
      </w:r>
    </w:p>
    <w:p>
      <w:r>
        <w:br w:type="page"/>
      </w:r>
    </w:p>
    <w:p>
      <w:pPr>
        <w:pStyle w:val="Heading1"/>
      </w:pPr>
      <w:r>
        <w:rPr>
          <w:rFonts w:ascii="Times New Roman" w:hAnsi="Times New Roman" w:eastAsia="黑体"/>
          <w:b/>
          <w:color w:val="000000"/>
          <w:sz w:val="32"/>
        </w:rPr>
        <w:t>附录 B：风险等级与颜色速查</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tblHeader w:val="true"/>
        </w:trPr>
        <w:tc>
          <w:tcPr>
            <w:tcW w:type="dxa" w:w="1512"/>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等级</w:t>
            </w:r>
          </w:p>
        </w:tc>
        <w:tc>
          <w:tcPr>
            <w:tcW w:type="dxa" w:w="1512"/>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分值</w:t>
            </w:r>
          </w:p>
        </w:tc>
        <w:tc>
          <w:tcPr>
            <w:tcW w:type="dxa" w:w="1512"/>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颜色</w:t>
            </w:r>
          </w:p>
        </w:tc>
        <w:tc>
          <w:tcPr>
            <w:tcW w:type="dxa" w:w="1512"/>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色值</w:t>
            </w:r>
          </w:p>
        </w:tc>
        <w:tc>
          <w:tcPr>
            <w:tcW w:type="dxa" w:w="1512"/>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节点表达</w:t>
            </w:r>
          </w:p>
        </w:tc>
        <w:tc>
          <w:tcPr>
            <w:tcW w:type="dxa" w:w="1512"/>
            <w:shd w:val="clear" w:color="auto" w:fill="D9D9D9"/>
            <w:vAlign w:val="center"/>
          </w:tcPr>
          <w:p>
            <w:pPr>
              <w:spacing w:line="240" w:lineRule="auto" w:before="40" w:after="40"/>
              <w:jc w:val="center"/>
              <w:ind w:firstLineChars="0" w:firstLine="0" w:left="0" w:right="0"/>
            </w:pPr>
            <w:r>
              <w:rPr>
                <w:rFonts w:ascii="Times New Roman" w:hAnsi="Times New Roman" w:eastAsia="宋体"/>
                <w:b/>
                <w:color w:val="000000"/>
                <w:sz w:val="21"/>
              </w:rPr>
              <w:t>连线表达</w:t>
            </w:r>
          </w:p>
        </w:tc>
      </w:tr>
      <w:tr>
        <w:trPr>
          <w:cantSplit/>
        </w:trPr>
        <w:tc>
          <w:tcPr>
            <w:tcW w:type="dxa" w:w="1512"/>
            <w:vAlign w:val="center"/>
          </w:tcPr>
          <w:p>
            <w:pPr>
              <w:spacing w:line="240" w:lineRule="auto" w:before="40" w:after="40"/>
              <w:jc w:val="center"/>
              <w:ind w:firstLineChars="0" w:firstLine="0" w:left="0" w:right="0"/>
            </w:pPr>
            <w:r>
              <w:rPr>
                <w:rFonts w:ascii="Times New Roman" w:hAnsi="Times New Roman" w:eastAsia="宋体"/>
                <w:b w:val="0"/>
                <w:color w:val="000000"/>
                <w:sz w:val="21"/>
              </w:rPr>
              <w:t>无</w:t>
            </w:r>
          </w:p>
        </w:tc>
        <w:tc>
          <w:tcPr>
            <w:tcW w:type="dxa" w:w="1512"/>
            <w:vAlign w:val="center"/>
          </w:tcPr>
          <w:p>
            <w:pPr>
              <w:spacing w:line="240" w:lineRule="auto" w:before="40" w:after="40"/>
              <w:jc w:val="right"/>
              <w:ind w:firstLineChars="0" w:firstLine="0" w:left="0" w:right="0"/>
            </w:pPr>
            <w:r>
              <w:rPr>
                <w:rFonts w:ascii="Times New Roman" w:hAnsi="Times New Roman" w:eastAsia="宋体"/>
                <w:b w:val="0"/>
                <w:color w:val="000000"/>
                <w:sz w:val="21"/>
              </w:rPr>
              <w:t>0</w:t>
            </w:r>
          </w:p>
        </w:tc>
        <w:tc>
          <w:tcPr>
            <w:tcW w:type="dxa" w:w="1512"/>
            <w:vAlign w:val="center"/>
          </w:tcPr>
          <w:p>
            <w:pPr>
              <w:spacing w:line="240" w:lineRule="auto" w:before="40" w:after="40"/>
              <w:jc w:val="left"/>
              <w:ind w:firstLineChars="0" w:firstLine="0" w:left="0" w:right="0"/>
            </w:pPr>
            <w:r>
              <w:rPr>
                <w:rFonts w:ascii="Times New Roman" w:hAnsi="Times New Roman" w:eastAsia="宋体"/>
                <w:b w:val="0"/>
                <w:color w:val="000000"/>
                <w:sz w:val="21"/>
              </w:rPr>
              <w:t>企业固有色</w:t>
            </w:r>
          </w:p>
        </w:tc>
        <w:tc>
          <w:tcPr>
            <w:tcW w:type="dxa" w:w="1512"/>
            <w:vAlign w:val="center"/>
          </w:tcPr>
          <w:p>
            <w:pPr>
              <w:spacing w:line="240" w:lineRule="auto" w:before="40" w:after="40"/>
              <w:jc w:val="left"/>
              <w:ind w:firstLineChars="0" w:firstLine="0" w:left="0" w:right="0"/>
            </w:pPr>
            <w:r>
              <w:rPr>
                <w:rFonts w:ascii="Times New Roman" w:hAnsi="Times New Roman" w:eastAsia="宋体"/>
                <w:b w:val="0"/>
                <w:color w:val="000000"/>
                <w:sz w:val="21"/>
              </w:rPr>
              <w:t>#82C9E0</w:t>
            </w:r>
          </w:p>
        </w:tc>
        <w:tc>
          <w:tcPr>
            <w:tcW w:type="dxa" w:w="1512"/>
            <w:vAlign w:val="center"/>
          </w:tcPr>
          <w:p>
            <w:pPr>
              <w:spacing w:line="240" w:lineRule="auto" w:before="40" w:after="40"/>
              <w:jc w:val="left"/>
              <w:ind w:firstLineChars="0" w:firstLine="0" w:left="0" w:right="0"/>
            </w:pPr>
            <w:r>
              <w:rPr>
                <w:rFonts w:ascii="Times New Roman" w:hAnsi="Times New Roman" w:eastAsia="宋体"/>
                <w:b w:val="0"/>
                <w:color w:val="000000"/>
                <w:sz w:val="21"/>
              </w:rPr>
              <w:t>填充不变</w:t>
            </w:r>
          </w:p>
        </w:tc>
        <w:tc>
          <w:tcPr>
            <w:tcW w:type="dxa" w:w="1512"/>
            <w:vAlign w:val="center"/>
          </w:tcPr>
          <w:p>
            <w:pPr>
              <w:spacing w:line="240" w:lineRule="auto" w:before="40" w:after="40"/>
              <w:jc w:val="left"/>
              <w:ind w:firstLineChars="0" w:firstLine="0" w:left="0" w:right="0"/>
            </w:pPr>
            <w:r>
              <w:rPr>
                <w:rFonts w:ascii="Times New Roman" w:hAnsi="Times New Roman" w:eastAsia="宋体"/>
                <w:b w:val="0"/>
                <w:color w:val="000000"/>
                <w:sz w:val="21"/>
              </w:rPr>
              <w:t>关系本色</w:t>
            </w:r>
          </w:p>
        </w:tc>
      </w:tr>
      <w:tr>
        <w:trPr>
          <w:cantSplit/>
        </w:trPr>
        <w:tc>
          <w:tcPr>
            <w:tcW w:type="dxa" w:w="1512"/>
            <w:vAlign w:val="center"/>
          </w:tcPr>
          <w:p>
            <w:pPr>
              <w:spacing w:line="240" w:lineRule="auto" w:before="40" w:after="40"/>
              <w:jc w:val="center"/>
              <w:ind w:firstLineChars="0" w:firstLine="0" w:left="0" w:right="0"/>
            </w:pPr>
            <w:r>
              <w:rPr>
                <w:rFonts w:ascii="Times New Roman" w:hAnsi="Times New Roman" w:eastAsia="宋体"/>
                <w:b w:val="0"/>
                <w:color w:val="000000"/>
                <w:sz w:val="21"/>
              </w:rPr>
              <w:t>低</w:t>
            </w:r>
          </w:p>
        </w:tc>
        <w:tc>
          <w:tcPr>
            <w:tcW w:type="dxa" w:w="1512"/>
            <w:vAlign w:val="center"/>
          </w:tcPr>
          <w:p>
            <w:pPr>
              <w:spacing w:line="240" w:lineRule="auto" w:before="40" w:after="40"/>
              <w:jc w:val="right"/>
              <w:ind w:firstLineChars="0" w:firstLine="0" w:left="0" w:right="0"/>
            </w:pPr>
            <w:r>
              <w:rPr>
                <w:rFonts w:ascii="Times New Roman" w:hAnsi="Times New Roman" w:eastAsia="宋体"/>
                <w:b w:val="0"/>
                <w:color w:val="000000"/>
                <w:sz w:val="21"/>
              </w:rPr>
              <w:t>0~0.35</w:t>
            </w:r>
          </w:p>
        </w:tc>
        <w:tc>
          <w:tcPr>
            <w:tcW w:type="dxa" w:w="1512"/>
            <w:vAlign w:val="center"/>
          </w:tcPr>
          <w:p>
            <w:pPr>
              <w:spacing w:line="240" w:lineRule="auto" w:before="40" w:after="40"/>
              <w:jc w:val="left"/>
              <w:ind w:firstLineChars="0" w:firstLine="0" w:left="0" w:right="0"/>
            </w:pPr>
            <w:r>
              <w:rPr>
                <w:rFonts w:ascii="Times New Roman" w:hAnsi="Times New Roman" w:eastAsia="宋体"/>
                <w:b w:val="0"/>
                <w:color w:val="000000"/>
                <w:sz w:val="21"/>
              </w:rPr>
              <w:t>浅橙</w:t>
            </w:r>
          </w:p>
        </w:tc>
        <w:tc>
          <w:tcPr>
            <w:tcW w:type="dxa" w:w="1512"/>
            <w:vAlign w:val="center"/>
          </w:tcPr>
          <w:p>
            <w:pPr>
              <w:spacing w:line="240" w:lineRule="auto" w:before="40" w:after="40"/>
              <w:jc w:val="left"/>
              <w:ind w:firstLineChars="0" w:firstLine="0" w:left="0" w:right="0"/>
            </w:pPr>
            <w:r>
              <w:rPr>
                <w:rFonts w:ascii="Times New Roman" w:hAnsi="Times New Roman" w:eastAsia="宋体"/>
                <w:b w:val="0"/>
                <w:color w:val="000000"/>
                <w:sz w:val="21"/>
              </w:rPr>
              <w:t>#FFB74D</w:t>
            </w:r>
          </w:p>
        </w:tc>
        <w:tc>
          <w:tcPr>
            <w:tcW w:type="dxa" w:w="1512"/>
            <w:vAlign w:val="center"/>
          </w:tcPr>
          <w:p>
            <w:pPr>
              <w:spacing w:line="240" w:lineRule="auto" w:before="40" w:after="40"/>
              <w:jc w:val="left"/>
              <w:ind w:firstLineChars="0" w:firstLine="0" w:left="0" w:right="0"/>
            </w:pPr>
            <w:r>
              <w:rPr>
                <w:rFonts w:ascii="Times New Roman" w:hAnsi="Times New Roman" w:eastAsia="宋体"/>
                <w:b w:val="0"/>
                <w:color w:val="000000"/>
                <w:sz w:val="21"/>
              </w:rPr>
              <w:t>描边 2px</w:t>
            </w:r>
          </w:p>
        </w:tc>
        <w:tc>
          <w:tcPr>
            <w:tcW w:type="dxa" w:w="1512"/>
            <w:vAlign w:val="center"/>
          </w:tcPr>
          <w:p>
            <w:pPr>
              <w:spacing w:line="240" w:lineRule="auto" w:before="40" w:after="40"/>
              <w:jc w:val="left"/>
              <w:ind w:firstLineChars="0" w:firstLine="0" w:left="0" w:right="0"/>
            </w:pPr>
            <w:r>
              <w:rPr>
                <w:rFonts w:ascii="Times New Roman" w:hAnsi="Times New Roman" w:eastAsia="宋体"/>
                <w:b w:val="0"/>
                <w:color w:val="000000"/>
                <w:sz w:val="21"/>
              </w:rPr>
              <w:t>线色变浅橙</w:t>
            </w:r>
          </w:p>
        </w:tc>
      </w:tr>
      <w:tr>
        <w:trPr>
          <w:cantSplit/>
        </w:trPr>
        <w:tc>
          <w:tcPr>
            <w:tcW w:type="dxa" w:w="1512"/>
            <w:vAlign w:val="center"/>
          </w:tcPr>
          <w:p>
            <w:pPr>
              <w:spacing w:line="240" w:lineRule="auto" w:before="40" w:after="40"/>
              <w:jc w:val="center"/>
              <w:ind w:firstLineChars="0" w:firstLine="0" w:left="0" w:right="0"/>
            </w:pPr>
            <w:r>
              <w:rPr>
                <w:rFonts w:ascii="Times New Roman" w:hAnsi="Times New Roman" w:eastAsia="宋体"/>
                <w:b w:val="0"/>
                <w:color w:val="000000"/>
                <w:sz w:val="21"/>
              </w:rPr>
              <w:t>中</w:t>
            </w:r>
          </w:p>
        </w:tc>
        <w:tc>
          <w:tcPr>
            <w:tcW w:type="dxa" w:w="1512"/>
            <w:vAlign w:val="center"/>
          </w:tcPr>
          <w:p>
            <w:pPr>
              <w:spacing w:line="240" w:lineRule="auto" w:before="40" w:after="40"/>
              <w:jc w:val="right"/>
              <w:ind w:firstLineChars="0" w:firstLine="0" w:left="0" w:right="0"/>
            </w:pPr>
            <w:r>
              <w:rPr>
                <w:rFonts w:ascii="Times New Roman" w:hAnsi="Times New Roman" w:eastAsia="宋体"/>
                <w:b w:val="0"/>
                <w:color w:val="000000"/>
                <w:sz w:val="21"/>
              </w:rPr>
              <w:t>0.35~0.65</w:t>
            </w:r>
          </w:p>
        </w:tc>
        <w:tc>
          <w:tcPr>
            <w:tcW w:type="dxa" w:w="1512"/>
            <w:vAlign w:val="center"/>
          </w:tcPr>
          <w:p>
            <w:pPr>
              <w:spacing w:line="240" w:lineRule="auto" w:before="40" w:after="40"/>
              <w:jc w:val="left"/>
              <w:ind w:firstLineChars="0" w:firstLine="0" w:left="0" w:right="0"/>
            </w:pPr>
            <w:r>
              <w:rPr>
                <w:rFonts w:ascii="Times New Roman" w:hAnsi="Times New Roman" w:eastAsia="宋体"/>
                <w:b w:val="0"/>
                <w:color w:val="000000"/>
                <w:sz w:val="21"/>
              </w:rPr>
              <w:t>橙</w:t>
            </w:r>
          </w:p>
        </w:tc>
        <w:tc>
          <w:tcPr>
            <w:tcW w:type="dxa" w:w="1512"/>
            <w:vAlign w:val="center"/>
          </w:tcPr>
          <w:p>
            <w:pPr>
              <w:spacing w:line="240" w:lineRule="auto" w:before="40" w:after="40"/>
              <w:jc w:val="left"/>
              <w:ind w:firstLineChars="0" w:firstLine="0" w:left="0" w:right="0"/>
            </w:pPr>
            <w:r>
              <w:rPr>
                <w:rFonts w:ascii="Times New Roman" w:hAnsi="Times New Roman" w:eastAsia="宋体"/>
                <w:b w:val="0"/>
                <w:color w:val="000000"/>
                <w:sz w:val="21"/>
              </w:rPr>
              <w:t>#FF8C42</w:t>
            </w:r>
          </w:p>
        </w:tc>
        <w:tc>
          <w:tcPr>
            <w:tcW w:type="dxa" w:w="1512"/>
            <w:vAlign w:val="center"/>
          </w:tcPr>
          <w:p>
            <w:pPr>
              <w:spacing w:line="240" w:lineRule="auto" w:before="40" w:after="40"/>
              <w:jc w:val="left"/>
              <w:ind w:firstLineChars="0" w:firstLine="0" w:left="0" w:right="0"/>
            </w:pPr>
            <w:r>
              <w:rPr>
                <w:rFonts w:ascii="Times New Roman" w:hAnsi="Times New Roman" w:eastAsia="宋体"/>
                <w:b w:val="0"/>
                <w:color w:val="000000"/>
                <w:sz w:val="21"/>
              </w:rPr>
              <w:t>描边 3px + 光晕</w:t>
            </w:r>
          </w:p>
        </w:tc>
        <w:tc>
          <w:tcPr>
            <w:tcW w:type="dxa" w:w="1512"/>
            <w:vAlign w:val="center"/>
          </w:tcPr>
          <w:p>
            <w:pPr>
              <w:spacing w:line="240" w:lineRule="auto" w:before="40" w:after="40"/>
              <w:jc w:val="left"/>
              <w:ind w:firstLineChars="0" w:firstLine="0" w:left="0" w:right="0"/>
            </w:pPr>
            <w:r>
              <w:rPr>
                <w:rFonts w:ascii="Times New Roman" w:hAnsi="Times New Roman" w:eastAsia="宋体"/>
                <w:b w:val="0"/>
                <w:color w:val="000000"/>
                <w:sz w:val="21"/>
              </w:rPr>
              <w:t>线色变橙</w:t>
            </w:r>
          </w:p>
        </w:tc>
      </w:tr>
      <w:tr>
        <w:trPr>
          <w:cantSplit/>
        </w:trPr>
        <w:tc>
          <w:tcPr>
            <w:tcW w:type="dxa" w:w="1512"/>
            <w:vAlign w:val="center"/>
          </w:tcPr>
          <w:p>
            <w:pPr>
              <w:spacing w:line="240" w:lineRule="auto" w:before="40" w:after="40"/>
              <w:jc w:val="center"/>
              <w:ind w:firstLineChars="0" w:firstLine="0" w:left="0" w:right="0"/>
            </w:pPr>
            <w:r>
              <w:rPr>
                <w:rFonts w:ascii="Times New Roman" w:hAnsi="Times New Roman" w:eastAsia="宋体"/>
                <w:b w:val="0"/>
                <w:color w:val="000000"/>
                <w:sz w:val="21"/>
              </w:rPr>
              <w:t>高</w:t>
            </w:r>
          </w:p>
        </w:tc>
        <w:tc>
          <w:tcPr>
            <w:tcW w:type="dxa" w:w="1512"/>
            <w:vAlign w:val="center"/>
          </w:tcPr>
          <w:p>
            <w:pPr>
              <w:spacing w:line="240" w:lineRule="auto" w:before="40" w:after="40"/>
              <w:jc w:val="right"/>
              <w:ind w:firstLineChars="0" w:firstLine="0" w:left="0" w:right="0"/>
            </w:pPr>
            <w:r>
              <w:rPr>
                <w:rFonts w:ascii="Times New Roman" w:hAnsi="Times New Roman" w:eastAsia="宋体"/>
                <w:b w:val="0"/>
                <w:color w:val="000000"/>
                <w:sz w:val="21"/>
              </w:rPr>
              <w:t>0.65~1.0</w:t>
            </w:r>
          </w:p>
        </w:tc>
        <w:tc>
          <w:tcPr>
            <w:tcW w:type="dxa" w:w="1512"/>
            <w:vAlign w:val="center"/>
          </w:tcPr>
          <w:p>
            <w:pPr>
              <w:spacing w:line="240" w:lineRule="auto" w:before="40" w:after="40"/>
              <w:jc w:val="left"/>
              <w:ind w:firstLineChars="0" w:firstLine="0" w:left="0" w:right="0"/>
            </w:pPr>
            <w:r>
              <w:rPr>
                <w:rFonts w:ascii="Times New Roman" w:hAnsi="Times New Roman" w:eastAsia="宋体"/>
                <w:b w:val="0"/>
                <w:color w:val="000000"/>
                <w:sz w:val="21"/>
              </w:rPr>
              <w:t>红</w:t>
            </w:r>
          </w:p>
        </w:tc>
        <w:tc>
          <w:tcPr>
            <w:tcW w:type="dxa" w:w="1512"/>
            <w:vAlign w:val="center"/>
          </w:tcPr>
          <w:p>
            <w:pPr>
              <w:spacing w:line="240" w:lineRule="auto" w:before="40" w:after="40"/>
              <w:jc w:val="left"/>
              <w:ind w:firstLineChars="0" w:firstLine="0" w:left="0" w:right="0"/>
            </w:pPr>
            <w:r>
              <w:rPr>
                <w:rFonts w:ascii="Times New Roman" w:hAnsi="Times New Roman" w:eastAsia="宋体"/>
                <w:b w:val="0"/>
                <w:color w:val="000000"/>
                <w:sz w:val="21"/>
              </w:rPr>
              <w:t>#E53935</w:t>
            </w:r>
          </w:p>
        </w:tc>
        <w:tc>
          <w:tcPr>
            <w:tcW w:type="dxa" w:w="1512"/>
            <w:vAlign w:val="center"/>
          </w:tcPr>
          <w:p>
            <w:pPr>
              <w:spacing w:line="240" w:lineRule="auto" w:before="40" w:after="40"/>
              <w:jc w:val="left"/>
              <w:ind w:firstLineChars="0" w:firstLine="0" w:left="0" w:right="0"/>
            </w:pPr>
            <w:r>
              <w:rPr>
                <w:rFonts w:ascii="Times New Roman" w:hAnsi="Times New Roman" w:eastAsia="宋体"/>
                <w:b w:val="0"/>
                <w:color w:val="000000"/>
                <w:sz w:val="21"/>
              </w:rPr>
              <w:t>描边 4px + 光晕</w:t>
            </w:r>
          </w:p>
        </w:tc>
        <w:tc>
          <w:tcPr>
            <w:tcW w:type="dxa" w:w="1512"/>
            <w:vAlign w:val="center"/>
          </w:tcPr>
          <w:p>
            <w:pPr>
              <w:spacing w:line="240" w:lineRule="auto" w:before="40" w:after="40"/>
              <w:jc w:val="left"/>
              <w:ind w:firstLineChars="0" w:firstLine="0" w:left="0" w:right="0"/>
            </w:pPr>
            <w:r>
              <w:rPr>
                <w:rFonts w:ascii="Times New Roman" w:hAnsi="Times New Roman" w:eastAsia="宋体"/>
                <w:b w:val="0"/>
                <w:color w:val="000000"/>
                <w:sz w:val="21"/>
              </w:rPr>
              <w:t>线色变红</w:t>
            </w:r>
          </w:p>
        </w:tc>
      </w:tr>
      <w:tr>
        <w:trPr>
          <w:cantSplit/>
        </w:trPr>
        <w:tc>
          <w:tcPr>
            <w:tcW w:type="dxa" w:w="1512"/>
            <w:vAlign w:val="center"/>
          </w:tcPr>
          <w:p>
            <w:pPr>
              <w:spacing w:line="240" w:lineRule="auto" w:before="40" w:after="40"/>
              <w:jc w:val="center"/>
              <w:ind w:firstLineChars="0" w:firstLine="0" w:left="0" w:right="0"/>
            </w:pPr>
            <w:r>
              <w:rPr>
                <w:rFonts w:ascii="Times New Roman" w:hAnsi="Times New Roman" w:eastAsia="宋体"/>
                <w:b w:val="0"/>
                <w:color w:val="000000"/>
                <w:sz w:val="21"/>
              </w:rPr>
              <w:t>风险源</w:t>
            </w:r>
          </w:p>
        </w:tc>
        <w:tc>
          <w:tcPr>
            <w:tcW w:type="dxa" w:w="1512"/>
            <w:vAlign w:val="center"/>
          </w:tcPr>
          <w:p>
            <w:pPr>
              <w:spacing w:line="240" w:lineRule="auto" w:before="40" w:after="40"/>
              <w:jc w:val="left"/>
              <w:ind w:firstLineChars="0" w:firstLine="0" w:left="0" w:right="0"/>
            </w:pPr>
            <w:r>
              <w:rPr>
                <w:rFonts w:ascii="Times New Roman" w:hAnsi="Times New Roman" w:eastAsia="宋体"/>
                <w:b w:val="0"/>
                <w:color w:val="000000"/>
                <w:sz w:val="21"/>
              </w:rPr>
              <w:t>—</w:t>
            </w:r>
          </w:p>
        </w:tc>
        <w:tc>
          <w:tcPr>
            <w:tcW w:type="dxa" w:w="1512"/>
            <w:vAlign w:val="center"/>
          </w:tcPr>
          <w:p>
            <w:pPr>
              <w:spacing w:line="240" w:lineRule="auto" w:before="40" w:after="40"/>
              <w:jc w:val="left"/>
              <w:ind w:firstLineChars="0" w:firstLine="0" w:left="0" w:right="0"/>
            </w:pPr>
            <w:r>
              <w:rPr>
                <w:rFonts w:ascii="Times New Roman" w:hAnsi="Times New Roman" w:eastAsia="宋体"/>
                <w:b w:val="0"/>
                <w:color w:val="000000"/>
                <w:sz w:val="21"/>
              </w:rPr>
              <w:t>深红</w:t>
            </w:r>
          </w:p>
        </w:tc>
        <w:tc>
          <w:tcPr>
            <w:tcW w:type="dxa" w:w="1512"/>
            <w:vAlign w:val="center"/>
          </w:tcPr>
          <w:p>
            <w:pPr>
              <w:spacing w:line="240" w:lineRule="auto" w:before="40" w:after="40"/>
              <w:jc w:val="left"/>
              <w:ind w:firstLineChars="0" w:firstLine="0" w:left="0" w:right="0"/>
            </w:pPr>
            <w:r>
              <w:rPr>
                <w:rFonts w:ascii="Times New Roman" w:hAnsi="Times New Roman" w:eastAsia="宋体"/>
                <w:b w:val="0"/>
                <w:color w:val="000000"/>
                <w:sz w:val="21"/>
              </w:rPr>
              <w:t>#B71C1C</w:t>
            </w:r>
          </w:p>
        </w:tc>
        <w:tc>
          <w:tcPr>
            <w:tcW w:type="dxa" w:w="1512"/>
            <w:vAlign w:val="center"/>
          </w:tcPr>
          <w:p>
            <w:pPr>
              <w:spacing w:line="240" w:lineRule="auto" w:before="40" w:after="40"/>
              <w:jc w:val="left"/>
              <w:ind w:firstLineChars="0" w:firstLine="0" w:left="0" w:right="0"/>
            </w:pPr>
            <w:r>
              <w:rPr>
                <w:rFonts w:ascii="Times New Roman" w:hAnsi="Times New Roman" w:eastAsia="宋体"/>
                <w:b w:val="0"/>
                <w:color w:val="000000"/>
                <w:sz w:val="21"/>
              </w:rPr>
              <w:t>双环 + 脉冲</w:t>
            </w:r>
          </w:p>
        </w:tc>
        <w:tc>
          <w:tcPr>
            <w:tcW w:type="dxa" w:w="1512"/>
            <w:vAlign w:val="center"/>
          </w:tcPr>
          <w:p>
            <w:pPr>
              <w:spacing w:line="240" w:lineRule="auto" w:before="40" w:after="40"/>
              <w:jc w:val="left"/>
              <w:ind w:firstLineChars="0" w:firstLine="0" w:left="0" w:right="0"/>
            </w:pPr>
            <w:r>
              <w:rPr>
                <w:rFonts w:ascii="Times New Roman" w:hAnsi="Times New Roman" w:eastAsia="宋体"/>
                <w:b w:val="0"/>
                <w:color w:val="000000"/>
                <w:sz w:val="21"/>
              </w:rPr>
              <w:t>—</w:t>
            </w:r>
          </w:p>
        </w:tc>
      </w:tr>
    </w:tbl>
    <w:p>
      <w:pPr>
        <w:spacing w:after="120" w:line="240" w:lineRule="auto"/>
      </w:pPr>
    </w:p>
    <w:p>
      <w:pPr>
        <w:ind w:firstLineChars="0" w:firstLine="0"/>
      </w:pPr>
      <w:r>
        <w:rPr>
          <w:rFonts w:ascii="Times New Roman" w:hAnsi="Times New Roman" w:eastAsia="宋体"/>
          <w:b w:val="0"/>
          <w:color w:val="000000"/>
          <w:sz w:val="24"/>
        </w:rPr>
        <w:t>关系常态色：</w:t>
      </w:r>
    </w:p>
    <w:p>
      <w:pPr>
        <w:pStyle w:val="ListBullet"/>
      </w:pPr>
      <w:r>
        <w:rPr>
          <w:rFonts w:ascii="Times New Roman" w:hAnsi="Times New Roman" w:eastAsia="宋体"/>
          <w:b w:val="0"/>
          <w:color w:val="000000"/>
          <w:sz w:val="24"/>
        </w:rPr>
        <w:t>物料 #4A90D9 实线 / 资金 #9B59B6 虚线 / 技术 #1ABC9C 点划线 / 担保 #2E7D32 粗实线。</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Chars="200"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line="360" w:lineRule="auto"/>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line="360" w:lineRule="auto"/>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before="0"/>
      <w:contextualSpacing/>
      <w:jc w:val="center"/>
    </w:pPr>
    <w:rPr>
      <w:rFonts w:asciiTheme="majorHAnsi" w:eastAsiaTheme="majorEastAsia" w:hAnsiTheme="majorHAnsi" w:cstheme="majorBidi" w:ascii="Times New Roman" w:hAnsi="Times New Roman"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