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企业关系分类与风险传递规则详解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版本：</w:t>
      </w:r>
      <w:r>
        <w:rPr>
          <w:rFonts w:ascii="Times New Roman" w:hAnsi="Times New Roman" w:eastAsia="宋体"/>
          <w:b w:val="0"/>
          <w:color w:val="000000"/>
          <w:sz w:val="24"/>
        </w:rPr>
        <w:t>v1.0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适用：</w:t>
      </w:r>
      <w:r>
        <w:rPr>
          <w:rFonts w:ascii="Times New Roman" w:hAnsi="Times New Roman" w:eastAsia="宋体"/>
          <w:b w:val="0"/>
          <w:color w:val="000000"/>
          <w:sz w:val="24"/>
        </w:rPr>
        <w:t>2D 先行阶段与 3D 迭代阶段共用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定位：</w:t>
      </w:r>
      <w:r>
        <w:rPr>
          <w:rFonts w:ascii="Times New Roman" w:hAnsi="Times New Roman" w:eastAsia="宋体"/>
          <w:b w:val="0"/>
          <w:color w:val="000000"/>
          <w:sz w:val="24"/>
        </w:rPr>
        <w:t>产业链风控系统的关系语义层与推演规则层规格，独立于 UI 与渲染</w:t>
      </w:r>
    </w:p>
    <w:p>
      <w:pPr>
        <w:ind w:firstLineChars="0" w:firstLine="0"/>
      </w:pPr>
      <w:r>
        <w:rPr>
          <w:rFonts w:ascii="Times New Roman" w:hAnsi="Times New Roman" w:eastAsia="宋体"/>
          <w:b/>
          <w:color w:val="000000"/>
          <w:sz w:val="24"/>
        </w:rPr>
        <w:t>核心约定：</w:t>
      </w:r>
      <w:r>
        <w:rPr>
          <w:rFonts w:ascii="Times New Roman" w:hAnsi="Times New Roman" w:eastAsia="宋体"/>
          <w:b w:val="0"/>
          <w:color w:val="000000"/>
          <w:sz w:val="24"/>
        </w:rPr>
        <w:t>风险值统一归一到 [0, 1]；风险源自身风险值恒为 1.0；线段视觉由中类决定颜色与线型，小类通过箭头/标签/细节区分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一、文档目的与设计原则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1.1 目的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本文档回答三个问题：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企业之间到底有哪些关系：三级分类，大类 → 中类 → 小类，小类必须具体到可录入、可判断。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每种关系如何传递风险：传导方向、触发条件、衰减机制、关联值计算。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多个证据如何合成最终风险值：模糊推理处理程度模糊性，D-S 证据理论融合多源证据，输出 [0,1] 风险值。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1.2 设计原则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原则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分类到小类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小类必须具体，例如“企业互保”“A 给 B 单向作保”是不同小类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视觉按中类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线段颜色/线型由中类决定，小类不另设颜色，避免颜色爆炸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机制分三类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业务流逐边衰减、担保条件触发、同控组内同步，三者机制不同，不能共用一套公式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谓词管条件，函数管分值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一阶谓词负责“是否触发”，数值函数负责“触发后多强”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风险值归一到 [0,1]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风险源 = 1.0，传播后严格落在 [0,1]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可回溯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每个分值可追到风险源、路径、每跳关联值、证据来源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二、关系分类体系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 三级分类总览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中类数量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小类数量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传导模式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视觉通道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逐边衰减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Z 轴底层 / 蓝色系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逐边衰减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Z 轴中层 / 紫色系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技术/服务流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逐边衰减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Z 轴上层 / 青色系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担保关系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条件触发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独立层或贴地线 / 绿色系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同控关系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组内同步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不画连线，节点外环 / 灰紫色系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合计：5 大类、19 中类、38 小类。实际录入时小类可扩展，中类固定，保证视觉稳定。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 物料流（MATERIAL）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传导方向：上游 → 下游（供应方 → 需求方）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传导模式：逐边衰减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视觉：Z 轴底层，蓝色系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小类定义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关键业务字段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原材料供应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RAW_MATERIAL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主原料供应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MAIN_RAW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下游生产不可或缺的核心原料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purchase_share、alternative_suppliers、inventory_days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辅料供应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AUX_RAW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辅助性原料，可短期替代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purchase_share、alternative_suppliers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零部件供应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COMPONENT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核心零部件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CORE_PART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定制化、切换周期长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purchase_share、switch_lead_time_days、inventory_days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通用零部件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STD_PART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标准化、市场可采购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purchase_share、alternative_suppliers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设备供应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EQUIPMENT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生产设备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PROD_EQUIP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产线关键设备，停机影响大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purchase_share、switch_lead_time_days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辅助设备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AUX_EQUIP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非核心设备，可延迟采购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purchase_share、alternative_suppliers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能源供应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ENERGY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电力/燃气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POWER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连续供应，中断即停线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purchase_share、inventory_days、alternative_suppliers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水/蒸汽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WATER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通常有储备，影响较小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purchase_share、inventory_days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传导规则：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上游 impact &gt; 0 AND 关系为物料流 THEN 下游获得证据：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association = base_material × purchase_share × (1 - substitutability) × decay_by_inventory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下游 impact = impact(上游) × association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参数：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base_material 按中类给：原材料 0.8、零部件 0.75、设备 0.6、能源 0.7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substitutability = f(alternative_suppliers, switch_lead_time_days)，备选越多、切换越快，可替代性越高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decay_by_inventory = 1 / (1 + inventory_days / 30)，库存 0 天衰减 1.0，30 天衰减 0.5，60 天衰减 0.33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2.3 资金流（CAPITAL）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传导方向：付款方 → 收款方（债务方 → 债权方）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传导模式：逐边衰减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视觉：Z 轴中层，紫色系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小类定义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关键业务字段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应收账款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RECEIVABLE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货款应收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GOODS_AR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下游欠上游货款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receivable_share、payment_terms_days、overdue_amount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服务费应收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SERVICE_AR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下游欠上游服务费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receivable_share、payment_terms_days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预付账款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PREPAYMENT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采购预付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PURCHASE_PREPAY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上游预付给下游锁定产能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prepay_share、payment_terms_days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工程预付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PROJECT_PREPAY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项目类预付款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prepay_share、payment_terms_days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票据结算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BILL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银行承兑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BANK_BILL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银行信用背书，风险较低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bill_amount、maturity_days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商业承兑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COMMERCIAL_BILL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企业信用背书，风险较高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bill_amount、maturity_days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借贷资金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LOAN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委托贷款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ENTRUSTED_LOAN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企业间委托贷款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loan_amount、interest_rate、term_days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资金拆借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FUND_LENDING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短期资金拆借，常伴同控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loan_amount、term_days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传导规则：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付款方 impact &gt; 0 AND 关系为资金流 THEN 收款方获得证据：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association = base_capital × receivable_share × (1 - customer_diversification) × decay_by_term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收款方 impact = impact(付款方) × association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参数：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base_capital 按中类给：应收 0.6、预付 0.5、票据 0.4（银行承兑）/0.55（商业承兑）、借贷 0.65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customer_diversification：客户越分散，单一客户逾期影响越小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decay_by_term = 1 / (1 + payment_terms_days / 90)，账期越长，传导越慢但越确定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2.4 技术/服务流（TECH）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传导方向：服务方 → 需求方（按依赖方向）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传导模式：逐边衰减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视觉：Z 轴上层，青色系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小类定义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关键业务字段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技术授权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TECH_LICENSE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专利授权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PATENT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核心专利授权使用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tech_dependency、contract_lock_months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软件授权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SOFTWARE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软件/系统授权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tech_dependency、contract_lock_months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技术服务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TECH_SERVICE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运维服务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MAINTENANCE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设备/系统运维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tech_dependency、switch_cost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咨询服务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CONSULTING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管理/技术咨询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tech_dependency、switch_cost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外包服务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OUTSOURCE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生产外包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PROD_OUTSOURCE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产能外包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outsource_share、switch_lead_time_days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流程外包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PROCESS_OUTSOURCE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财务/人力等流程外包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outsource_share、switch_cost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物流服务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LOGISTICS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干线运输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TRUNK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主干运输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logistics_dependency、alternative_carriers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仓储服务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WAREHOUSE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仓储外包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logistics_dependency、alternative_carriers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传导规则：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服务方 impact &gt; 0 AND 关系为技术/服务流 THEN 需求方获得证据：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association = base_tech × tech_dependency × (1 - substitutability) × decay_by_lock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需求方 impact = impact(服务方) × association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参数：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base_tech 按中类给：授权 0.6、技术服务 0.5、外包 0.55、物流 0.45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substitutability = f(switch_cost, alternative_providers)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decay_by_lock = 1 / (1 + contract_lock_months / 12)，锁定期越长，短期越难切换，但长期传导越确定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2.5 担保关系（GUARANTEE）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传导方向：被担保方 → 担保方（违约方 → 代偿方）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传导模式：条件触发，不按跳衰减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视觉：独立层或贴地线，绿色系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小类定义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关键业务字段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企业互保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MUTUAL_GUARANTEE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等额互保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EQUAL_MUTUAL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A↔B 互相担保同等金额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coverage_ratio、guarantee_amount、mutual=true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差额互保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DIFF_MUTUAL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A↔B 互保金额不等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coverage_ratio、guarantee_amount、mutual=true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单向担保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ONE_WAY_GUARANTEE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给 B 单向作保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A_TO_B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为 B 的债务提供保证，无反担保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coverage_ratio、has_counter_guarantee=false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给 B 单向作保（有反担保）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A_TO_B_COUNTER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为 B 担保，B 提供反担保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coverage_ratio、has_counter_guarantee=true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连带责任担保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JOINT_GUARANTEE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一般连带责任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GENERAL_JOINT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担保方承担一般连带责任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coverage_ratio、liability_type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无限连带责任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UNLIMITED_JOINT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担保方承担无限连带责任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coverage_ratio、liability_type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反担保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COUNTER_GUARANTEE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抵押反担保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MORTGAGE_COUNTER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以抵押物提供反担保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counter_ratio、collateral_type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质押反担保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PLEDGE_COUNTER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以质押物提供反担保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counter_ratio、collateral_type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传导规则（条件触发）：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被担保方 impact &gt; 违约阈值（默认 0.5） THEN 担保方获得证据：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guarantee_strength = 模糊推理(coverage_ratio, fragility, has_counter_guarantee, mutual)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担保方 impact 证据 = impact(被担保方) × guarantee_strength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关键：担保传导不按跳数衰减，一次触发即生效，但强度由模糊推理决定。互保触发双向传导；有反担保则强度降档。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2.6 同控关系（CONTROL）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传导方向：非方向性，组内同步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传导模式：组内同步，不按跳衰减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视觉：不画连线，节点外环色环 + 悬停贴地虚影线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小类编码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小类定义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关键业务字段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同一实际控制人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SAME_CONTROLLER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直接控股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DIRECT_HOLDING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控制人直接持股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control_ratio、is_actual_controller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间接控股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INDIRECT_HOLDING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通过中间层持股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control_ratio、holding_chain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同一集团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SAME_GROUP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全资子公司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WHOLLY_OWNED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集团 100% 控股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group_id、control_ratio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控股/参股子公司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HOLDING_SUB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集团控股或参股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group_id、control_ratio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关联交易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RELATED_PARTY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购销关联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RP_PURCHASE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关联方购销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related_party_ratio、has_cash_pool</w:t>
            </w:r>
          </w:p>
        </w:tc>
      </w:tr>
      <w:tr>
        <w:trPr>
          <w:cantSplit/>
        </w:trPr>
        <w:tc>
          <w:tcPr>
            <w:tcW w:type="dxa" w:w="1512"/>
            <w:vMerge w:val="continue"/>
          </w:tcPr>
          <w:p/>
        </w:tc>
        <w:tc>
          <w:tcPr>
            <w:tcW w:type="dxa" w:w="1512"/>
            <w:vMerge w:val="continue"/>
          </w:tcPr>
          <w:p/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资金拆借关联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RP_LENDING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关联方资金拆借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related_party_ratio、has_cash_pool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传导规则（组内同步）：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组内任一企业 impact &gt; 阈值（默认 0.5） THEN 组内其他企业获得证据：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control_strength = 模糊推理(control_ratio, related_party_ratio, independence)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组内其他企业 impact 证据 = impact(组内最高) × control_strength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额外规则：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controller_risk_flag = true（控制人失信/限高/股权冻结） THEN 该控制人下所有企业直接获得初始证据：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m({受影响}) = 0.6，m(Θ) = 0.4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三、风险传递机制总览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 三类传导模式对比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模式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适用关系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衰减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计算方式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逐边衰减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物料流、资金流、技术/服务流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上游 impact &gt; 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每跳乘关联值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单向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impact(v) = impact(u) × association × decay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条件触发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担保关系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被担保方 impact &gt; 违约阈值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不按跳衰减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被担保方→担保方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模糊推理给强度，一次触发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组内同步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同控关系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组内任一企业 impact &gt; 阈值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不按跳衰减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非方向性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模糊推理给强度，全组覆盖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 风险值归一化规则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风险源自身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恒为 1.0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不参与衰减，作为传播起点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业务流传播后节点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[0, 1]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逐边衰减，严格小于 1.0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担保触发后节点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[0, 1]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模糊推理输出 × 被担保方 impact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同控同步后节点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[0, 1]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模糊推理输出 × 组内最高 impact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多证据融合后节点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[0, 1]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D-S 输出 Pl，保守模式取 Pl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无风险节点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无任何证据到达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风险等级划分（与 UI 一致）：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等级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分值区间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颜色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企业固有色 #82C9E0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(0, 0.35]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浅橙 #FFB74D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(0.35, 0.65]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橙 #FF8C42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(0.65, 1.0)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红 #E53935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风险源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深红 #B71C1C</w:t>
            </w:r>
          </w:p>
        </w:tc>
      </w:tr>
    </w:tbl>
    <w:p>
      <w:pPr>
        <w:spacing w:after="120" w:line="240" w:lineRule="auto"/>
      </w:pP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四、关联值计算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4.1 通用公式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关联值 = 基础强度(中类) × 依赖度修正 × 可替代性修正 × 时间衰减修正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基础强度：中类先验，写在规则 JSON 中，可配置、可审计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依赖度修正：来自导入数据（采购占比、应收占比、担保覆盖率等）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可替代性修正：由备选数量、切换周期、切换成本计算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时间衰减修正：由库存天数、账期、合同锁定期计算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4.2 物料流关联值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association_material = base_material(中类)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    × purchase_share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    × (1 - substitutability)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    × (1 / (1 + inventory_days / 30))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base_material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原材料供应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零部件供应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0.75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设备供应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能源供应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0.70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4.3 资金流关联值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association_capital = base_capital(中类)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   × receivable_share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   × (1 - customer_diversification)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   × (1 / (1 + payment_terms_days / 90))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base_capital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应收账款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预付账款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票据结算（银行承兑）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票据结算（商业承兑）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0.55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借贷资金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0.65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4.4 技术/服务流关联值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association_tech = base_tech(中类)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× tech_dependency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× (1 - substitutability)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× (1 / (1 + contract_lock_months / 12))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base_tech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技术授权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技术服务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外包服务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0.55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物流服务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0.45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4.5 担保关联值（模糊推理）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输入变量与隶属度函数：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coverage_ratio（担保覆盖率）: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低 [0, 0, 0.3]     中 [0.2, 0.5, 0.8]     高 [0.7, 1, 1]</w:t>
        <w:br/>
      </w:r>
      <w:r>
        <w:rPr>
          <w:rFonts w:ascii="Consolas" w:hAnsi="Consolas"/>
          <w:rFonts w:ascii="Consolas" w:hAnsi="Consolas" w:eastAsia="Consolas"/>
          <w:sz w:val="18"/>
        </w:rPr>
        <w:t>fragility（被担保方脆弱度，由现金流/负债率/速动比率归一化）: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弱 [0, 0, 0.4]     中 [0.3, 0.5, 0.7]     强 [0.6, 1, 1]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规则库（9 条）：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条件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权重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 高 AND fragility 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 高 AND fragility 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 高 AND fragility 弱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 中 AND fragility 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 中 AND fragility 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 中 AND fragility 弱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弱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coverage 低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弱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righ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has_counter_guarantee = true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× 0.7（降档修正）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mutual = true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× 1.2（升档修正，封顶 1.0）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去模糊化（重心法）：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guarantee_strength = Σ(μ_i × center_i) / Σ(μ_i)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输出严格落在 [0, 1]。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4.6 同控关联值（模糊推理）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输入变量与隶属度函数：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control_ratio（控制强度）: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弱 [0, 0, 0.3]     中 [0.2, 0.5, 0.8]     强 [0.7, 1, 1]</w:t>
        <w:br/>
      </w:r>
      <w:r>
        <w:rPr>
          <w:rFonts w:ascii="Consolas" w:hAnsi="Consolas"/>
          <w:rFonts w:ascii="Consolas" w:hAnsi="Consolas" w:eastAsia="Consolas"/>
          <w:sz w:val="18"/>
        </w:rPr>
        <w:t>related_party_ratio（资金关联度）: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低 [0, 0, 0.2]     中 [0.15, 0.35, 0.55]     高 [0.5, 1, 1]</w:t>
        <w:br/>
      </w:r>
      <w:r>
        <w:rPr>
          <w:rFonts w:ascii="Consolas" w:hAnsi="Consolas"/>
          <w:rFonts w:ascii="Consolas" w:hAnsi="Consolas" w:eastAsia="Consolas"/>
          <w:sz w:val="18"/>
        </w:rPr>
        <w:t>independence（企业独立性）: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低 [0, 0, 0.4]     中 [0.3, 0.5, 0.7]     高 [0.6, 1, 1]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规则库（8 条）：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条件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 强 AND related_party 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 强 AND independence 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中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 强 AND independence 低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 中 AND related_party 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中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 中 AND related_party 低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弱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 弱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弱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controller_risk_flag = true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× 1.2（升档，封顶 1.0）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有独立融资/独立品牌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strength × 0.8（降档修正）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去模糊化：重心法，输出严格落在 [0, 1]。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五、节点风险融合（D-S 证据理论）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5.1 识别框架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Θ = { H: 受影响, ¬H: 不受影响 }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每个证据给出 m({H})、m({¬H})、m(Θ)，满足 m({H}) + m({¬H}) + m(Θ) = 1。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5.2 证据 mass 分配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E1：业务流入边证据（物料/资金/技术）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m1({H}) = impact(u) × association(u→v) × 0.9</w:t>
        <w:br/>
      </w:r>
      <w:r>
        <w:rPr>
          <w:rFonts w:ascii="Consolas" w:hAnsi="Consolas"/>
          <w:rFonts w:ascii="Consolas" w:hAnsi="Consolas" w:eastAsia="Consolas"/>
          <w:sz w:val="18"/>
        </w:rPr>
        <w:t>m1({¬H}) = (1 - impact(u) × association(u→v)) × 0.3</w:t>
        <w:br/>
      </w:r>
      <w:r>
        <w:rPr>
          <w:rFonts w:ascii="Consolas" w:hAnsi="Consolas"/>
          <w:rFonts w:ascii="Consolas" w:hAnsi="Consolas" w:eastAsia="Consolas"/>
          <w:sz w:val="18"/>
        </w:rPr>
        <w:t>m1(Θ) = 1 - m1({H}) - m1({¬H})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E2：担保证据（条件触发后）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m2({H}) = impact(被担保方) × guarantee_strength × 0.8</w:t>
        <w:br/>
      </w:r>
      <w:r>
        <w:rPr>
          <w:rFonts w:ascii="Consolas" w:hAnsi="Consolas"/>
          <w:rFonts w:ascii="Consolas" w:hAnsi="Consolas" w:eastAsia="Consolas"/>
          <w:sz w:val="18"/>
        </w:rPr>
        <w:t>m2({¬H}) = (1 - guarantee_strength) × 0.2</w:t>
        <w:br/>
      </w:r>
      <w:r>
        <w:rPr>
          <w:rFonts w:ascii="Consolas" w:hAnsi="Consolas"/>
          <w:rFonts w:ascii="Consolas" w:hAnsi="Consolas" w:eastAsia="Consolas"/>
          <w:sz w:val="18"/>
        </w:rPr>
        <w:t>m2(Θ) = 1 - m2({H}) - m2({¬H})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E3：同控证据（组内同步）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m3({H}) = max(组内其他企业 impact) × control_strength × 0.9</w:t>
        <w:br/>
      </w:r>
      <w:r>
        <w:rPr>
          <w:rFonts w:ascii="Consolas" w:hAnsi="Consolas"/>
          <w:rFonts w:ascii="Consolas" w:hAnsi="Consolas" w:eastAsia="Consolas"/>
          <w:sz w:val="18"/>
        </w:rPr>
        <w:t>m3({¬H}) = (1 - control_strength) × 0.2</w:t>
        <w:br/>
      </w:r>
      <w:r>
        <w:rPr>
          <w:rFonts w:ascii="Consolas" w:hAnsi="Consolas"/>
          <w:rFonts w:ascii="Consolas" w:hAnsi="Consolas" w:eastAsia="Consolas"/>
          <w:sz w:val="18"/>
        </w:rPr>
        <w:t>m3(Θ) = 1 - m3({H}) - m3({¬H})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E4：控制人风险信号证据（根节点级）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controller_risk_flag = true</w:t>
        <w:br/>
      </w:r>
      <w:r>
        <w:rPr>
          <w:rFonts w:ascii="Consolas" w:hAnsi="Consolas"/>
          <w:rFonts w:ascii="Consolas" w:hAnsi="Consolas" w:eastAsia="Consolas"/>
          <w:sz w:val="18"/>
        </w:rPr>
        <w:t>m4({H}) = 0.6</w:t>
        <w:br/>
      </w:r>
      <w:r>
        <w:rPr>
          <w:rFonts w:ascii="Consolas" w:hAnsi="Consolas"/>
          <w:rFonts w:ascii="Consolas" w:hAnsi="Consolas" w:eastAsia="Consolas"/>
          <w:sz w:val="18"/>
        </w:rPr>
        <w:t>m4({¬H}) = 0</w:t>
        <w:br/>
      </w:r>
      <w:r>
        <w:rPr>
          <w:rFonts w:ascii="Consolas" w:hAnsi="Consolas"/>
          <w:rFonts w:ascii="Consolas" w:hAnsi="Consolas" w:eastAsia="Consolas"/>
          <w:sz w:val="18"/>
        </w:rPr>
        <w:t>m4(Θ) = 0.4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E5：担保环结构证据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企业处于长度 ≤ 3 的担保环中</w:t>
        <w:br/>
      </w:r>
      <w:r>
        <w:rPr>
          <w:rFonts w:ascii="Consolas" w:hAnsi="Consolas"/>
          <w:rFonts w:ascii="Consolas" w:hAnsi="Consolas" w:eastAsia="Consolas"/>
          <w:sz w:val="18"/>
        </w:rPr>
        <w:t>m5({H}) = 0.3</w:t>
        <w:br/>
      </w:r>
      <w:r>
        <w:rPr>
          <w:rFonts w:ascii="Consolas" w:hAnsi="Consolas"/>
          <w:rFonts w:ascii="Consolas" w:hAnsi="Consolas" w:eastAsia="Consolas"/>
          <w:sz w:val="18"/>
        </w:rPr>
        <w:t>m5({¬H}) = 0</w:t>
        <w:br/>
      </w:r>
      <w:r>
        <w:rPr>
          <w:rFonts w:ascii="Consolas" w:hAnsi="Consolas"/>
          <w:rFonts w:ascii="Consolas" w:hAnsi="Consolas" w:eastAsia="Consolas"/>
          <w:sz w:val="18"/>
        </w:rPr>
        <w:t>m5(Θ) = 0.7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5.3 Dempster 组合规则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对两个证据 m1、m2：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K = m1({H}) × m2({¬H}) + m1({¬H}) × m2({H})     // 冲突系数</w:t>
        <w:br/>
      </w:r>
      <w:r>
        <w:rPr>
          <w:rFonts w:ascii="Consolas" w:hAnsi="Consolas"/>
          <w:rFonts w:ascii="Consolas" w:hAnsi="Consolas" w:eastAsia="Consolas"/>
          <w:sz w:val="18"/>
        </w:rPr>
        <w:t>m({H}) = [m1({H})×m2({H}) + m1({H})×m2(Θ) + m1(Θ)×m2({H})] / (1 - K)</w:t>
        <w:br/>
      </w:r>
      <w:r>
        <w:rPr>
          <w:rFonts w:ascii="Consolas" w:hAnsi="Consolas"/>
          <w:rFonts w:ascii="Consolas" w:hAnsi="Consolas" w:eastAsia="Consolas"/>
          <w:sz w:val="18"/>
        </w:rPr>
        <w:t>m({¬H}) = [m1({¬H})×m2({¬H}) + m1({¬H})×m2(Θ) + m1(Θ)×m2({¬H})] / (1 - K)</w:t>
        <w:br/>
      </w:r>
      <w:r>
        <w:rPr>
          <w:rFonts w:ascii="Consolas" w:hAnsi="Consolas"/>
          <w:rFonts w:ascii="Consolas" w:hAnsi="Consolas" w:eastAsia="Consolas"/>
          <w:sz w:val="18"/>
        </w:rPr>
        <w:t>m(Θ) = [m1(Θ)×m2(Θ)] / (1 - K)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多证据依次两两组合。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5.4 冲突处理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IF K &gt; 0.9: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标记“证据冲突，需人工复核”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降级为加权平均：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impact = Σ(weight_i × impact_i) / Σ(weight_i)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详情面板展示冲突提示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5.5 输出与归一化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Bel(H) = m({H})</w:t>
        <w:br/>
      </w:r>
      <w:r>
        <w:rPr>
          <w:rFonts w:ascii="Consolas" w:hAnsi="Consolas"/>
          <w:rFonts w:ascii="Consolas" w:hAnsi="Consolas" w:eastAsia="Consolas"/>
          <w:sz w:val="18"/>
        </w:rPr>
        <w:t>Pl(H) = m({H}) + m(Θ)</w:t>
        <w:br/>
      </w:r>
      <w:r>
        <w:rPr>
          <w:rFonts w:ascii="Consolas" w:hAnsi="Consolas"/>
          <w:rFonts w:ascii="Consolas" w:hAnsi="Consolas" w:eastAsia="Consolas"/>
          <w:sz w:val="18"/>
        </w:rPr>
        <w:t>impact(v) = Pl(H)          // 保守模式，默认</w:t>
        <w:br/>
      </w:r>
      <w:r>
        <w:rPr>
          <w:rFonts w:ascii="Consolas" w:hAnsi="Consolas"/>
          <w:rFonts w:ascii="Consolas" w:hAnsi="Consolas" w:eastAsia="Consolas"/>
          <w:sz w:val="18"/>
        </w:rPr>
        <w:t>impact(v) = Bel(H)         // 乐观模式，可切换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归一化保证：所有 mass 值非负且和为 1；Dempster 组合后 Bel + Pl ≤ 1 + m(Θ)，Pl ∈ [0, 1]；impact(v) = Pl(H) 严格落在 [0, 1]；风险源自身 impact = 1.0，不参与融合。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详情面板展示：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受影响信度：Bel 0.58 / Pl 0.79 / 不确定 0.21</w:t>
        <w:br/>
      </w:r>
      <w:r>
        <w:rPr>
          <w:rFonts w:ascii="Consolas" w:hAnsi="Consolas"/>
          <w:rFonts w:ascii="Consolas" w:hAnsi="Consolas" w:eastAsia="Consolas"/>
          <w:sz w:val="18"/>
        </w:rPr>
        <w:t>证据来源：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- 物料流 A→B，关联值 0.60，路径 A→B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- 担保 A→B，覆盖率 0.7，guarantee_strength 0.72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- 担保环 A↔B 结构证据，m({H}) = 0.3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- 同控关联（控制人：张某），control_strength 0.65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六、视觉映射规则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6.1 大类 → Z 轴分层（3D）/ 图层开关（2D）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3D Z 轴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2D 图层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图例分组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物料流图层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蓝色系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资金流图层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紫色系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技术/服务流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技术流图层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青色系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担保关系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独立层/贴地线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担保图层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绿色系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同控关系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不画线，节点外环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同控分组开关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灰紫色系</w:t>
            </w:r>
          </w:p>
        </w:tc>
      </w:tr>
    </w:tbl>
    <w:p>
      <w:pPr>
        <w:spacing w:after="120" w:line="240" w:lineRule="auto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6.2 中类 → 颜色与线型（2D/3D 共用）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物料流（蓝色系）：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颜色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线型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原材料供应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#3B6EA5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零部件供应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#4A90D9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设备供应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#6BA3E0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能源供应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#5B9BD5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实线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资金流（紫色系）：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颜色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线型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应收账款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#7B3FA0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虚线（6,4）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预付账款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#9B59B6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虚线（6,4）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票据结算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#B07CC6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虚线（4,4）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借贷资金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#8E44AD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虚线（6,4）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技术/服务流（青色系）：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颜色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线型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技术授权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#0E7C7B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点划线（8,3,2,3）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#1ABC9C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点划线（8,3,2,3）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外包服务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#48C9B0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点划线（8,3,2,3）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物流服务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#16A085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点划线（8,3,2,3）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担保关系（绿色系）：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颜色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线型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箭头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企业互保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#2E7D32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粗实线（2.5px）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双向箭头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单向担保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#43A047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实线（1.5px）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单向箭头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连带责任担保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#66BB6A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实线（2px）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单向箭头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反担保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#1B5E20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点划线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单向箭头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同控关系：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不画连线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节点外环颜色：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同一实际控制人 #8E7CC3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同一集团 #7F9DB9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关联交易 #A89BC7（虚线外环）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悬停时显示贴地细虚影线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6.3 小类 → 细节区分（不另设颜色）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小类差异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表达方式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主原料/辅料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线宽：主 2px，辅 1px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核心/通用零部件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线宽：核心 2px，通用 1px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有/无反担保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标签后缀“（反）”或“（无）”，线型不变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等额/差额互保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标签显示金额比例，线型不变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一般/无限连带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标签显示“一般”/“无限”，线宽区分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直接/间接控股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外环粗细：直接 3px，间接 2px</w:t>
            </w:r>
          </w:p>
        </w:tc>
      </w:tr>
    </w:tbl>
    <w:p>
      <w:pPr>
        <w:spacing w:after="120" w:line="240" w:lineRule="auto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小类名称展示位置：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图例只列中类，不列小类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悬停边时 tooltip 显示完整中类 + 小类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详情面板列出完整关系链（中类 + 小类）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6.4 风险传导时的变色规则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常态：按中类颜色</w:t>
        <w:br/>
      </w:r>
      <w:r>
        <w:rPr>
          <w:rFonts w:ascii="Consolas" w:hAnsi="Consolas"/>
          <w:rFonts w:ascii="Consolas" w:hAnsi="Consolas" w:eastAsia="Consolas"/>
          <w:sz w:val="18"/>
        </w:rPr>
        <w:t>传导中：该边颜色改为风险等级色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- 低风险传导：#FFB74D（浅橙）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- 中风险传导：#FF8C42（橙）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- 高风险传导：#E53935（红）</w:t>
        <w:br/>
      </w:r>
      <w:r>
        <w:rPr>
          <w:rFonts w:ascii="Consolas" w:hAnsi="Consolas"/>
          <w:rFonts w:ascii="Consolas" w:hAnsi="Consolas" w:eastAsia="Consolas"/>
          <w:sz w:val="18"/>
        </w:rPr>
        <w:t>传导结束：恢复中类颜色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只有处于当前风险传导路径上的边才变色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非传导边保持中类颜色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虚化时透明度降至 0.2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风险源节点：深红 #B71C1C 双环 + 脉冲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七、数据结构定义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7.1 relation 表字段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{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"id": "REL_001",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"from_id": "E001",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"to_id": "E002",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"major_category": "GUARANTEE",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"middle_category": "MUTUAL_GUARANTEE",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"minor_category": "EQUAL_MUTUAL",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"direction": "bidirectional",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"business_fields": {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"coverage_ratio": 0.8,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"guarantee_amount": 5000000,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"debt_amount": 6250000,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"has_counter_guarantee": false,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"mutual": true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},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"association": 0.86,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"computed_at": "2025-01-01T00:00:00Z"</w:t>
        <w:br/>
      </w:r>
      <w:r>
        <w:rPr>
          <w:rFonts w:ascii="Consolas" w:hAnsi="Consolas"/>
          <w:rFonts w:ascii="Consolas" w:hAnsi="Consolas" w:eastAsia="Consolas"/>
          <w:sz w:val="18"/>
        </w:rPr>
        <w:t>}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7.2 关联值计算输出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{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"relation_id": "REL_001",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"association": 0.86,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"breakdown": {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"base": 0.9,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"coverage_factor": 0.8,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"counter_factor": 1.0,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"mutual_factor": 1.2,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"final": 0.86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/>
          <w:rFonts w:ascii="Consolas" w:hAnsi="Consolas" w:eastAsia="Consolas"/>
          <w:sz w:val="18"/>
        </w:rPr>
        <w:t>}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7.3 节点融合输出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{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"enterprise_id": "E002",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"impact": 0.79,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"bel": 0.58,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"pl": 0.79,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"uncertainty": 0.21,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"level": "high",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"evidence": [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{"type": "material", "from": "E001", "association": 0.60, "impact_contribution": 0.48},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{"type": "guarantee", "from": "E001", "guarantee_strength": 0.72, "impact_contribution": 0.58},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{"type": "guarantee_ring", "members": ["E001", "E002"], "mass_h": 0.3}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],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"conflict_flag": false</w:t>
        <w:br/>
      </w:r>
      <w:r>
        <w:rPr>
          <w:rFonts w:ascii="Consolas" w:hAnsi="Consolas"/>
          <w:rFonts w:ascii="Consolas" w:hAnsi="Consolas" w:eastAsia="Consolas"/>
          <w:sz w:val="18"/>
        </w:rPr>
        <w:t>}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八、完整算例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8.1 场景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A：原料坊，风险源（断供），impact(A) = 1.0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B：工坊，与 A 有物料流（主原料，purchase_share=0.65，alternative_suppliers=1，inventory_days=12）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B 与 C 等额互保（coverage_ratio=0.8，mutual=true）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4"/>
        </w:rPr>
        <w:t>C：商行，被担保方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8.2 计算 A→B 物料流关联值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base_material(原材料供应) = 0.80</w:t>
        <w:br/>
      </w:r>
      <w:r>
        <w:rPr>
          <w:rFonts w:ascii="Consolas" w:hAnsi="Consolas"/>
          <w:rFonts w:ascii="Consolas" w:hAnsi="Consolas" w:eastAsia="Consolas"/>
          <w:sz w:val="18"/>
        </w:rPr>
        <w:t>purchase_share = 0.65</w:t>
        <w:br/>
      </w:r>
      <w:r>
        <w:rPr>
          <w:rFonts w:ascii="Consolas" w:hAnsi="Consolas"/>
          <w:rFonts w:ascii="Consolas" w:hAnsi="Consolas" w:eastAsia="Consolas"/>
          <w:sz w:val="18"/>
        </w:rPr>
        <w:t>substitutability = f(1 个备选, 切换周期 45 天) ≈ 0.4</w:t>
        <w:br/>
      </w:r>
      <w:r>
        <w:rPr>
          <w:rFonts w:ascii="Consolas" w:hAnsi="Consolas"/>
          <w:rFonts w:ascii="Consolas" w:hAnsi="Consolas" w:eastAsia="Consolas"/>
          <w:sz w:val="18"/>
        </w:rPr>
        <w:t>decay_by_inventory = 1 / (1 + 12/30) = 1 / 1.4 = 0.714</w:t>
        <w:br/>
      </w:r>
      <w:r>
        <w:rPr>
          <w:rFonts w:ascii="Consolas" w:hAnsi="Consolas"/>
          <w:rFonts w:ascii="Consolas" w:hAnsi="Consolas" w:eastAsia="Consolas"/>
          <w:sz w:val="18"/>
        </w:rPr>
        <w:t>association(A→B) = 0.80 × 0.65 × (1 - 0.4) × 0.714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= 0.80 × 0.65 × 0.6 × 0.714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≈ 0.223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8.3 B 的物料流证据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m1({H}) = 1.0 × 0.223 × 0.9 = 0.201</w:t>
        <w:br/>
      </w:r>
      <w:r>
        <w:rPr>
          <w:rFonts w:ascii="Consolas" w:hAnsi="Consolas"/>
          <w:rFonts w:ascii="Consolas" w:hAnsi="Consolas" w:eastAsia="Consolas"/>
          <w:sz w:val="18"/>
        </w:rPr>
        <w:t>m1({¬H}) = (1 - 0.223) × 0.3 = 0.233</w:t>
        <w:br/>
      </w:r>
      <w:r>
        <w:rPr>
          <w:rFonts w:ascii="Consolas" w:hAnsi="Consolas"/>
          <w:rFonts w:ascii="Consolas" w:hAnsi="Consolas" w:eastAsia="Consolas"/>
          <w:sz w:val="18"/>
        </w:rPr>
        <w:t>m1(Θ) = 1 - 0.201 - 0.233 = 0.566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8.4 互保触发：B→C 担保证据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假设 B 的 impact 经物料流证据后为 0.45（低于违约阈值 0.5，暂不触发担保）。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若 B 另有其他证据使 impact(B) = 0.72，则触发 B→C 担保：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fragility(C) = 0.7（较强）</w:t>
        <w:br/>
      </w:r>
      <w:r>
        <w:rPr>
          <w:rFonts w:ascii="Consolas" w:hAnsi="Consolas"/>
          <w:rFonts w:ascii="Consolas" w:hAnsi="Consolas" w:eastAsia="Consolas"/>
          <w:sz w:val="18"/>
        </w:rPr>
        <w:t>coverage_ratio = 0.8</w:t>
        <w:br/>
      </w:r>
      <w:r>
        <w:rPr>
          <w:rFonts w:ascii="Consolas" w:hAnsi="Consolas"/>
          <w:rFonts w:ascii="Consolas" w:hAnsi="Consolas" w:eastAsia="Consolas"/>
          <w:sz w:val="18"/>
        </w:rPr>
        <w:t>guarantee_strength = 模糊推理(0.8, 0.7, no_counter, mutual=true)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            ≈ 0.86（互保加成后）</w:t>
        <w:br/>
      </w:r>
      <w:r>
        <w:rPr>
          <w:rFonts w:ascii="Consolas" w:hAnsi="Consolas"/>
          <w:rFonts w:ascii="Consolas" w:hAnsi="Consolas" w:eastAsia="Consolas"/>
          <w:sz w:val="18"/>
        </w:rPr>
        <w:t>m2({H}) = 0.72 × 0.86 × 0.8 = 0.495</w:t>
        <w:br/>
      </w:r>
      <w:r>
        <w:rPr>
          <w:rFonts w:ascii="Consolas" w:hAnsi="Consolas"/>
          <w:rFonts w:ascii="Consolas" w:hAnsi="Consolas" w:eastAsia="Consolas"/>
          <w:sz w:val="18"/>
        </w:rPr>
        <w:t>m2({¬H}) = (1 - 0.86) × 0.2 = 0.028</w:t>
        <w:br/>
      </w:r>
      <w:r>
        <w:rPr>
          <w:rFonts w:ascii="Consolas" w:hAnsi="Consolas"/>
          <w:rFonts w:ascii="Consolas" w:hAnsi="Consolas" w:eastAsia="Consolas"/>
          <w:sz w:val="18"/>
        </w:rPr>
        <w:t>m2(Θ) = 1 - 0.495 - 0.028 = 0.477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8.5 C 的证据融合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假设 C 只收到担保证据：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Bel(H) = 0.495</w:t>
        <w:br/>
      </w:r>
      <w:r>
        <w:rPr>
          <w:rFonts w:ascii="Consolas" w:hAnsi="Consolas"/>
          <w:rFonts w:ascii="Consolas" w:hAnsi="Consolas" w:eastAsia="Consolas"/>
          <w:sz w:val="18"/>
        </w:rPr>
        <w:t>Pl(H) = 0.495 + 0.477 = 0.972</w:t>
        <w:br/>
      </w:r>
      <w:r>
        <w:rPr>
          <w:rFonts w:ascii="Consolas" w:hAnsi="Consolas"/>
          <w:rFonts w:ascii="Consolas" w:hAnsi="Consolas" w:eastAsia="Consolas"/>
          <w:sz w:val="18"/>
        </w:rPr>
        <w:t>impact(C) = Pl = 0.972 → 高风险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若 C 同时收到资金流证据 m3({H})=0.3, m3({¬H})=0.1, m3(Θ)=0.6，则 Dempster 组合：</w:t>
      </w:r>
    </w:p>
    <w:p>
      <w:pPr>
        <w:spacing w:line="240" w:lineRule="auto" w:before="80" w:after="120"/>
        <w:ind w:firstLineChars="0" w:firstLine="0" w:left="180"/>
        <w:shd w:val="clear" w:fill="F5F5F5"/>
      </w:pPr>
      <w:r>
        <w:rPr>
          <w:rFonts w:ascii="Consolas" w:hAnsi="Consolas"/>
          <w:rFonts w:ascii="Consolas" w:hAnsi="Consolas" w:eastAsia="Consolas"/>
          <w:sz w:val="18"/>
        </w:rPr>
        <w:t>K = 0.495×0.1 + 0.028×0.3 = 0.0495 + 0.0084 = 0.0579</w:t>
        <w:br/>
      </w:r>
      <w:r>
        <w:rPr>
          <w:rFonts w:ascii="Consolas" w:hAnsi="Consolas"/>
          <w:rFonts w:ascii="Consolas" w:hAnsi="Consolas" w:eastAsia="Consolas"/>
          <w:sz w:val="18"/>
        </w:rPr>
        <w:t>m({H}) = [0.495×0.3 + 0.495×0.6 + 0.477×0.3] / (1-0.0579)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= [0.1485 + 0.297 + 0.1431] / 0.9421</w:t>
        <w:br/>
      </w:r>
      <w:r>
        <w:rPr>
          <w:rFonts w:ascii="Consolas" w:hAnsi="Consolas"/>
          <w:rFonts w:ascii="Consolas" w:hAnsi="Consolas" w:eastAsia="Consolas"/>
          <w:sz w:val="18"/>
        </w:rPr>
        <w:t xml:space="preserve">        = 0.5886 / 0.9421 ≈ 0.625</w:t>
        <w:br/>
      </w:r>
      <w:r>
        <w:rPr>
          <w:rFonts w:ascii="Consolas" w:hAnsi="Consolas"/>
          <w:rFonts w:ascii="Consolas" w:hAnsi="Consolas" w:eastAsia="Consolas"/>
          <w:sz w:val="18"/>
        </w:rPr>
        <w:t>m(Θ) = [0.477×0.6] / 0.9421 ≈ 0.304</w:t>
        <w:br/>
      </w:r>
      <w:r>
        <w:rPr>
          <w:rFonts w:ascii="Consolas" w:hAnsi="Consolas"/>
          <w:rFonts w:ascii="Consolas" w:hAnsi="Consolas" w:eastAsia="Consolas"/>
          <w:sz w:val="18"/>
        </w:rPr>
        <w:t>Pl(H) = 0.625 + 0.304 = 0.929</w:t>
        <w:br/>
      </w:r>
      <w:r>
        <w:rPr>
          <w:rFonts w:ascii="Consolas" w:hAnsi="Consolas"/>
          <w:rFonts w:ascii="Consolas" w:hAnsi="Consolas" w:eastAsia="Consolas"/>
          <w:sz w:val="18"/>
        </w:rPr>
        <w:t>impact(C) ≈ 0.93 → 高风险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九、边界与假设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边界/假设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证据独立性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D-S 要求证据独立；物料流与资金流可能相关，文档声明“假设关系类型间证据弱相关”，不做复杂相关性修正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高冲突降级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 &gt; 0.9 时降级为加权平均并提示人工复核，避免 Zadeh 悖论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模糊规则数量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 9 条、同控 8 条，控制在 15~25 条总量，过多答辩讲不清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基础强度来源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来自传导机制先验，非数据拟合；真实场景需历史违约数据校准，课程作品声明边界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违约阈值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 0.5，可配置；担保和同控触发共用同一阈值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担保环识别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长度 ≤ 3 的担保环生成结构证据，长度 &gt; 3 暂不处理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同控推导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由 controller_id 自动推导，不手工录入；is_actual_controller = true 才生成强关联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风险值范围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 impact 严格落在 [0,1]；风险源恒为 1.0；无风险节点为 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小类扩展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中类固定，小类可在 Excel 中扩展；新增小类不改变视觉颜色，只影响标签和详情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center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视觉颜色上限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jc w:val="left"/>
              <w:ind w:firstLineChars="0"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中类颜色控制在 16 个以内（4 大类 × 4 中类），同控不占连线颜色</w:t>
            </w:r>
          </w:p>
        </w:tc>
      </w:tr>
    </w:tbl>
    <w:p>
      <w:pPr>
        <w:spacing w:after="120" w:line="240" w:lineRule="auto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  <w:rFonts w:ascii="Times New Roman" w:hAnsi="Times New Roman" w:eastAsia="黑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