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84DDBE">
      <w:pPr>
        <w:widowControl w:val="0"/>
        <w:spacing w:after="0" w:line="600" w:lineRule="exact"/>
        <w:jc w:val="center"/>
        <w:rPr>
          <w:rFonts w:hint="eastAsia" w:ascii="仿宋" w:hAnsi="仿宋" w:eastAsia="仿宋" w:cs="仿宋"/>
          <w:sz w:val="28"/>
          <w:szCs w:val="28"/>
        </w:rPr>
      </w:pPr>
      <w:r>
        <w:rPr>
          <w:rFonts w:hint="eastAsia" w:ascii="方正小标宋_GBK" w:hAnsi="方正小标宋_GBK" w:eastAsia="方正小标宋_GBK" w:cs="方正小标宋_GBK"/>
          <w:b/>
          <w:bCs/>
          <w:kern w:val="2"/>
          <w:sz w:val="44"/>
          <w:szCs w:val="44"/>
          <w:lang w:eastAsia="zh-CN"/>
          <w14:ligatures w14:val="none"/>
        </w:rPr>
        <w:t>2025年度重庆市生态文明传播指数体系</w:t>
      </w:r>
    </w:p>
    <w:p w14:paraId="06A826E8">
      <w:pPr>
        <w:pStyle w:val="3"/>
        <w:widowControl w:val="0"/>
        <w:spacing w:before="340" w:after="330" w:line="600" w:lineRule="exact"/>
        <w:jc w:val="both"/>
        <w:rPr>
          <w:rFonts w:hint="eastAsia" w:eastAsia="黑体" w:asciiTheme="minorHAnsi" w:hAnsiTheme="minorHAnsi" w:cstheme="minorBidi"/>
          <w:color w:val="000000" w:themeColor="text1"/>
          <w:kern w:val="44"/>
          <w:sz w:val="30"/>
          <w:szCs w:val="44"/>
          <w:lang w:eastAsia="zh-CN"/>
          <w14:textFill>
            <w14:solidFill>
              <w14:schemeClr w14:val="tx1"/>
            </w14:solidFill>
          </w14:textFill>
          <w14:ligatures w14:val="standardContextual"/>
        </w:rPr>
      </w:pPr>
      <w:bookmarkStart w:id="0" w:name="_GoBack"/>
      <w:r>
        <w:rPr>
          <w:rFonts w:hint="eastAsia" w:eastAsia="黑体" w:asciiTheme="minorHAnsi" w:hAnsiTheme="minorHAnsi" w:cstheme="minorBidi"/>
          <w:color w:val="000000" w:themeColor="text1"/>
          <w:kern w:val="44"/>
          <w:sz w:val="30"/>
          <w:szCs w:val="44"/>
          <w:lang w:eastAsia="zh-CN"/>
          <w14:textFill>
            <w14:solidFill>
              <w14:schemeClr w14:val="tx1"/>
            </w14:solidFill>
          </w14:textFill>
          <w14:ligatures w14:val="standardContextual"/>
        </w:rPr>
        <w:t>一、引言</w:t>
      </w:r>
    </w:p>
    <w:bookmarkEnd w:id="0"/>
    <w:p w14:paraId="1211FDDB">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党的十八大以来，以习近平同志为核心的党中央把生态文明建设作为统筹推进 “五位一体” 总体布局和协调推进 “四个全面” 战略布局的重要内容，把坚持人与自然和谐共生纳入新时代坚持和发展中国特色社会主义基本方略。立足 “十五五” 美丽中国建设纵深推进的新阶段，绿色低碳发展、生态环境提质增效成为重点任务，对生态文明宣传普及工作提出了更高要求。在此背景下，加强生态文明理念的传播与普及，持续提升全民生态文明素养，是扎实推进生态文明建设、夯实绿色发展社会根基的重要环节。</w:t>
      </w:r>
    </w:p>
    <w:p w14:paraId="6855C8EC">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研究发现，当前生态文明传播工作仍面临诸多挑战，如传播渠道单一、传播内容不够丰富、传播效果不够显著等。因此，构建相应的生态文明传播指数，对于全面、客观、科学地评估生态文明传播的现状与效果，发现存在的问题和不足，具有重要的现实意义和战略价值。本项目立足重庆、放眼全国，以测算方法与数据实证为支撑，构建一套科学、系统、可比、可操作的生态文明传播指数体系，以量化评估生态文明传播效果，精准指导生态文明传播策略，促进生态文明建设的深入发展。</w:t>
      </w:r>
    </w:p>
    <w:p w14:paraId="58EDF928">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二、构建原则</w:t>
      </w:r>
    </w:p>
    <w:p w14:paraId="32A35E30">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1.科学性：基于生态学、传播学等多学科理论，确保指标的科学性和合理性。</w:t>
      </w:r>
    </w:p>
    <w:p w14:paraId="52280CE0">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2.系统性：全面考虑传播主体、传播内容、传播渠道、传播效果等方面，形成完整的系统。</w:t>
      </w:r>
    </w:p>
    <w:p w14:paraId="5FE3E9F9">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3.可比性：采用标准化、量化的指标，确保不同时间、不同地区的传播效果具有可比性。</w:t>
      </w:r>
    </w:p>
    <w:p w14:paraId="7BD76273">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4.可操作性：指标体系简单明了，数据收集和处理方法易于操作。</w:t>
      </w:r>
    </w:p>
    <w:p w14:paraId="153F8372">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三、构建内容</w:t>
      </w:r>
    </w:p>
    <w:p w14:paraId="736DB904">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val="en-US" w:eastAsia="zh-CN"/>
          <w14:ligatures w14:val="standardContextual"/>
        </w:rPr>
      </w:pPr>
      <w:r>
        <w:rPr>
          <w:rFonts w:hint="eastAsia" w:ascii="仿宋" w:hAnsi="仿宋" w:eastAsia="仿宋" w:cs="仿宋"/>
          <w:color w:val="auto"/>
          <w:kern w:val="2"/>
          <w:sz w:val="28"/>
          <w:szCs w:val="28"/>
          <w:lang w:val="en-US" w:eastAsia="zh-CN"/>
          <w14:ligatures w14:val="standardContextual"/>
        </w:rPr>
        <w:t>（一）指标体系</w:t>
      </w:r>
    </w:p>
    <w:p w14:paraId="381E6475">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生态文明传播指数体系由五个一级指标构成，分别为中央媒体传播指数、市级媒体传播指数、行业媒体传播指数、区县媒体传播指数和公众行为引导指数。每个一级指标下包含3个二级指标，最终形成覆盖5个维度、15个指标的生态文明传播指数体系，具体如下：</w:t>
      </w:r>
    </w:p>
    <w:p w14:paraId="3D003573">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一级指标分为五类：</w:t>
      </w:r>
    </w:p>
    <w:p w14:paraId="13A93871">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中央媒体传播指数，反映中央媒体的生态文明传播类报道情况，主要衡量新华社、中央电视台、《光明日报》全媒体、《人民日报》全媒体对重庆市39个地区的报道在数量、主题及传播速度上是否存在明显的差别；市级媒体传播指数主要包括：重庆日报、华龙网、上游新闻、七一网、视界网等重庆市级主流媒体对生态文明传播类报道情况；行业媒体传播指数，反映行业媒体的生态文明传播类报道情况，主要衡量中国环境报及美丽重庆全媒体对重庆市39个地区的报道在数量、主题及传播速度上是否存在明显的差别；区县媒体传播指数，反映区县媒体的生态文明传播类报道情况，主要衡量重庆市39个地区融媒体及生态环境类政务新媒体在生态文明传播类报道的数量、主题及传播速度上是否存在明显的差别；公众行为引导指数，反映线下宣传活动的举办情况，主要衡量重庆市39个地区生态环境局所举办线下宣传活动在数量、主题及举办时间上是否存在明显的差别。</w:t>
      </w:r>
    </w:p>
    <w:p w14:paraId="4676B758">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二级指标分为三类：</w:t>
      </w:r>
    </w:p>
    <w:p w14:paraId="43ADEDBB">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（1）报道数量/活动数量</w:t>
      </w:r>
    </w:p>
    <w:p w14:paraId="0721131A">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生态文明传播活动在线上线下一体化的“全域”空间中展开实践，线上媒体报道与线下宣传活动共同服务于传播目标的实现，报道与活动总量充分体现生态文明传播的整体规模。同时，媒体报道与宣传活动又承担着不同的功能：中央媒体报道主要面向全国用户传播重庆生态文明建设理念及成果，扩展生态文明宣传的广度；行业媒体报道主要面向业内人士及业余爱好者提供新锐观点及趣味内容，延展生态文明宣传的深度；区县媒体报道基于“近地性”展现本地用户关心的大事小情，结合本地实践开展生态文明建设系列报道，提升生态文明宣传的精度；区县线下宣传活动把握“六五环境日”等关键时间节点推出特色主题活动，将线上内容传播力在线下转化为对公众行为的引导力，强化生态文明宣传的力度。</w:t>
      </w:r>
    </w:p>
    <w:p w14:paraId="4358A373">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通过对四类报道及活动总量与分类别数量的统计，本指标能够从传播规模的角度较好地体现重庆市39个地区生态文明宣传的广度、深度、精度、力度，进一步引导区县“向上管理”和“向下负责”。</w:t>
      </w:r>
    </w:p>
    <w:p w14:paraId="7F2C3D6D">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（2）报道主题丰富度/活动主题丰富度</w:t>
      </w:r>
    </w:p>
    <w:p w14:paraId="4188390E">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媒体报道内容及线下宣传活动应当与生态文明传播议题高度相关，避免偏题、离题、无关内容，应体现生态文明传播的中心思想、核心主题、热点话题，并具有针对性的建议与指导，以调动目标受众的适应性行动。为了更好地甄别报道及活动与相关主题之间的贴近性，有必要对生态文明传播议题进行归纳总结。</w:t>
      </w:r>
    </w:p>
    <w:p w14:paraId="4CAD5C51">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课题组结合《论坚持人与自然和谐共生》《习近平生态文明思想学习纲要》《习近平关于社会主义生态文明建设论述摘编》等重要学习材料以及中共中央、国务院印发的《关于加快推进生态文明建设的意见》等重要文件的梳理，提炼出多个生态文明传播主题关键词，经3位课题组成员及5位专家共同筛选和打分，得到提及次数最多且重要性排名靠前的16个关键词，如表3-1所示。</w:t>
      </w:r>
    </w:p>
    <w:tbl>
      <w:tblPr>
        <w:tblStyle w:val="48"/>
        <w:tblW w:w="8856" w:type="dxa"/>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1001"/>
        <w:gridCol w:w="1841"/>
        <w:gridCol w:w="6014"/>
      </w:tblGrid>
      <w:tr w14:paraId="705E136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tblHeader/>
          <w:jc w:val="center"/>
        </w:trPr>
        <w:tc>
          <w:tcPr>
            <w:tcW w:w="1001" w:type="dxa"/>
            <w:tcBorders>
              <w:top w:val="single" w:color="00B050" w:sz="8" w:space="0"/>
              <w:left w:val="single" w:color="00B050" w:sz="8" w:space="0"/>
              <w:bottom w:val="single" w:color="00B050" w:sz="8" w:space="0"/>
              <w:right w:val="nil"/>
            </w:tcBorders>
            <w:shd w:val="clear" w:color="auto" w:fill="00B050"/>
            <w:vAlign w:val="center"/>
          </w:tcPr>
          <w:p w14:paraId="4AFB877C">
            <w:pPr>
              <w:keepNext/>
              <w:snapToGrid w:val="0"/>
              <w:spacing w:after="0" w:line="240" w:lineRule="auto"/>
              <w:ind w:left="0" w:leftChars="0" w:right="0" w:rightChars="0" w:firstLine="0" w:firstLineChars="0"/>
              <w:jc w:val="center"/>
              <w:rPr>
                <w:rFonts w:hint="eastAsia" w:ascii="仿宋" w:hAnsi="仿宋" w:eastAsia="仿宋" w:cs="仿宋"/>
                <w:b/>
                <w:i w:val="0"/>
                <w:color w:val="FFFFFF"/>
                <w:sz w:val="28"/>
                <w:szCs w:val="28"/>
              </w:rPr>
            </w:pPr>
            <w:r>
              <w:rPr>
                <w:rFonts w:hint="eastAsia" w:ascii="仿宋" w:hAnsi="仿宋" w:eastAsia="仿宋" w:cs="仿宋"/>
                <w:b/>
                <w:i w:val="0"/>
                <w:color w:val="FFFFFF"/>
                <w:sz w:val="28"/>
                <w:szCs w:val="28"/>
              </w:rPr>
              <w:t>序号</w:t>
            </w:r>
          </w:p>
        </w:tc>
        <w:tc>
          <w:tcPr>
            <w:tcW w:w="1841" w:type="dxa"/>
            <w:tcBorders>
              <w:top w:val="single" w:color="00B050" w:sz="8" w:space="0"/>
              <w:left w:val="nil"/>
              <w:bottom w:val="single" w:color="00B050" w:sz="8" w:space="0"/>
              <w:right w:val="nil"/>
            </w:tcBorders>
            <w:shd w:val="clear" w:color="auto" w:fill="00B050"/>
            <w:vAlign w:val="center"/>
          </w:tcPr>
          <w:p w14:paraId="5AFA9FB0">
            <w:pPr>
              <w:keepNext/>
              <w:snapToGrid w:val="0"/>
              <w:spacing w:after="0" w:line="240" w:lineRule="auto"/>
              <w:ind w:left="0" w:leftChars="0" w:right="0" w:rightChars="0" w:firstLine="0" w:firstLineChars="0"/>
              <w:jc w:val="center"/>
              <w:rPr>
                <w:rFonts w:hint="eastAsia" w:ascii="仿宋" w:hAnsi="仿宋" w:eastAsia="仿宋" w:cs="仿宋"/>
                <w:b/>
                <w:i w:val="0"/>
                <w:color w:val="FFFFFF"/>
                <w:sz w:val="28"/>
                <w:szCs w:val="28"/>
              </w:rPr>
            </w:pPr>
            <w:r>
              <w:rPr>
                <w:rFonts w:hint="eastAsia" w:ascii="仿宋" w:hAnsi="仿宋" w:eastAsia="仿宋" w:cs="仿宋"/>
                <w:b/>
                <w:i w:val="0"/>
                <w:color w:val="FFFFFF"/>
                <w:sz w:val="28"/>
                <w:szCs w:val="28"/>
              </w:rPr>
              <w:t>共词</w:t>
            </w:r>
          </w:p>
        </w:tc>
        <w:tc>
          <w:tcPr>
            <w:tcW w:w="6013" w:type="dxa"/>
            <w:tcBorders>
              <w:top w:val="single" w:color="00B050" w:sz="8" w:space="0"/>
              <w:left w:val="nil"/>
              <w:bottom w:val="single" w:color="00B050" w:sz="8" w:space="0"/>
              <w:right w:val="single" w:color="00B050" w:sz="8" w:space="0"/>
            </w:tcBorders>
            <w:shd w:val="clear" w:color="auto" w:fill="00B050"/>
            <w:vAlign w:val="center"/>
          </w:tcPr>
          <w:p w14:paraId="76ECA9A4">
            <w:pPr>
              <w:keepNext/>
              <w:snapToGrid w:val="0"/>
              <w:spacing w:after="0" w:line="240" w:lineRule="auto"/>
              <w:ind w:left="0" w:leftChars="0" w:right="0" w:rightChars="0" w:firstLine="0" w:firstLineChars="0"/>
              <w:jc w:val="center"/>
              <w:rPr>
                <w:rFonts w:hint="eastAsia" w:ascii="仿宋" w:hAnsi="仿宋" w:eastAsia="仿宋" w:cs="仿宋"/>
                <w:b/>
                <w:i w:val="0"/>
                <w:color w:val="FFFFFF"/>
                <w:sz w:val="28"/>
                <w:szCs w:val="28"/>
              </w:rPr>
            </w:pPr>
            <w:r>
              <w:rPr>
                <w:rFonts w:hint="eastAsia" w:ascii="仿宋" w:hAnsi="仿宋" w:eastAsia="仿宋" w:cs="仿宋"/>
                <w:b/>
                <w:i w:val="0"/>
                <w:color w:val="FFFFFF"/>
                <w:sz w:val="28"/>
                <w:szCs w:val="28"/>
              </w:rPr>
              <w:t>近似称谓</w:t>
            </w:r>
          </w:p>
        </w:tc>
      </w:tr>
      <w:tr w14:paraId="4D79FEB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single" w:color="00B050" w:sz="8" w:space="0"/>
              <w:left w:val="single" w:color="00B050" w:sz="8" w:space="0"/>
              <w:bottom w:val="nil"/>
              <w:right w:val="nil"/>
            </w:tcBorders>
            <w:shd w:val="clear" w:color="auto" w:fill="BCFFDB"/>
            <w:vAlign w:val="center"/>
          </w:tcPr>
          <w:p w14:paraId="431BEE1B">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w:t>
            </w:r>
          </w:p>
        </w:tc>
        <w:tc>
          <w:tcPr>
            <w:tcW w:w="1841" w:type="dxa"/>
            <w:tcBorders>
              <w:top w:val="single" w:color="00B050" w:sz="8" w:space="0"/>
              <w:left w:val="nil"/>
              <w:bottom w:val="nil"/>
              <w:right w:val="nil"/>
            </w:tcBorders>
            <w:shd w:val="clear" w:color="auto" w:fill="FFFFFF"/>
            <w:vAlign w:val="center"/>
          </w:tcPr>
          <w:p w14:paraId="0700CE3D">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美丽中国</w:t>
            </w:r>
          </w:p>
        </w:tc>
        <w:tc>
          <w:tcPr>
            <w:tcW w:w="6013" w:type="dxa"/>
            <w:tcBorders>
              <w:top w:val="single" w:color="00B050" w:sz="8" w:space="0"/>
              <w:left w:val="nil"/>
              <w:bottom w:val="nil"/>
              <w:right w:val="single" w:color="00B050" w:sz="8" w:space="0"/>
            </w:tcBorders>
            <w:shd w:val="clear" w:color="auto" w:fill="FFFFFF"/>
            <w:vAlign w:val="center"/>
          </w:tcPr>
          <w:p w14:paraId="73CF091A">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美丽中国建设、生态宜居</w:t>
            </w:r>
          </w:p>
        </w:tc>
      </w:tr>
      <w:tr w14:paraId="0F5D67F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5D4B8EE9">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2</w:t>
            </w:r>
          </w:p>
        </w:tc>
        <w:tc>
          <w:tcPr>
            <w:tcW w:w="1841" w:type="dxa"/>
            <w:tcBorders>
              <w:top w:val="nil"/>
              <w:left w:val="nil"/>
              <w:bottom w:val="nil"/>
              <w:right w:val="nil"/>
            </w:tcBorders>
            <w:shd w:val="clear" w:color="auto" w:fill="FFFFFF"/>
            <w:vAlign w:val="center"/>
          </w:tcPr>
          <w:p w14:paraId="33607C88">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综合治理</w:t>
            </w:r>
          </w:p>
        </w:tc>
        <w:tc>
          <w:tcPr>
            <w:tcW w:w="6013" w:type="dxa"/>
            <w:tcBorders>
              <w:top w:val="nil"/>
              <w:left w:val="nil"/>
              <w:bottom w:val="nil"/>
              <w:right w:val="single" w:color="00B050" w:sz="8" w:space="0"/>
            </w:tcBorders>
            <w:shd w:val="clear" w:color="auto" w:fill="FFFFFF"/>
            <w:vAlign w:val="center"/>
          </w:tcPr>
          <w:p w14:paraId="0CD03466">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生态保护、生态修复、生态环境综合治理、系统治理、环境治理</w:t>
            </w:r>
          </w:p>
        </w:tc>
      </w:tr>
      <w:tr w14:paraId="6EEEC44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31E7EB0A">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3</w:t>
            </w:r>
          </w:p>
        </w:tc>
        <w:tc>
          <w:tcPr>
            <w:tcW w:w="1841" w:type="dxa"/>
            <w:tcBorders>
              <w:top w:val="nil"/>
              <w:left w:val="nil"/>
              <w:bottom w:val="nil"/>
              <w:right w:val="nil"/>
            </w:tcBorders>
            <w:shd w:val="clear" w:color="auto" w:fill="FFFFFF"/>
            <w:vAlign w:val="center"/>
          </w:tcPr>
          <w:p w14:paraId="6B3E8BC6">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绿色发展</w:t>
            </w:r>
          </w:p>
        </w:tc>
        <w:tc>
          <w:tcPr>
            <w:tcW w:w="6013" w:type="dxa"/>
            <w:tcBorders>
              <w:top w:val="nil"/>
              <w:left w:val="nil"/>
              <w:bottom w:val="nil"/>
              <w:right w:val="single" w:color="00B050" w:sz="8" w:space="0"/>
            </w:tcBorders>
            <w:shd w:val="clear" w:color="auto" w:fill="FFFFFF"/>
            <w:vAlign w:val="center"/>
          </w:tcPr>
          <w:p w14:paraId="563024A2">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绿色低碳、低碳发展、绿色转型、零碳蓝碳</w:t>
            </w:r>
          </w:p>
        </w:tc>
      </w:tr>
      <w:tr w14:paraId="1180243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350C3757">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4</w:t>
            </w:r>
          </w:p>
        </w:tc>
        <w:tc>
          <w:tcPr>
            <w:tcW w:w="1841" w:type="dxa"/>
            <w:tcBorders>
              <w:top w:val="nil"/>
              <w:left w:val="nil"/>
              <w:bottom w:val="nil"/>
              <w:right w:val="nil"/>
            </w:tcBorders>
            <w:shd w:val="clear" w:color="auto" w:fill="FFFFFF"/>
            <w:vAlign w:val="center"/>
          </w:tcPr>
          <w:p w14:paraId="384364B7">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双碳</w:t>
            </w:r>
          </w:p>
        </w:tc>
        <w:tc>
          <w:tcPr>
            <w:tcW w:w="6013" w:type="dxa"/>
            <w:tcBorders>
              <w:top w:val="nil"/>
              <w:left w:val="nil"/>
              <w:bottom w:val="nil"/>
              <w:right w:val="single" w:color="00B050" w:sz="8" w:space="0"/>
            </w:tcBorders>
            <w:shd w:val="clear" w:color="auto" w:fill="FFFFFF"/>
            <w:vAlign w:val="center"/>
          </w:tcPr>
          <w:p w14:paraId="5EC69091">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碳达峰碳中和、降污减碳、碳交易</w:t>
            </w:r>
          </w:p>
        </w:tc>
      </w:tr>
      <w:tr w14:paraId="1E06CB6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5900EB9E">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5</w:t>
            </w:r>
          </w:p>
        </w:tc>
        <w:tc>
          <w:tcPr>
            <w:tcW w:w="1841" w:type="dxa"/>
            <w:tcBorders>
              <w:top w:val="nil"/>
              <w:left w:val="nil"/>
              <w:bottom w:val="nil"/>
              <w:right w:val="nil"/>
            </w:tcBorders>
            <w:shd w:val="clear" w:color="auto" w:fill="FFFFFF"/>
            <w:vAlign w:val="center"/>
          </w:tcPr>
          <w:p w14:paraId="29BA8599">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和谐共生</w:t>
            </w:r>
          </w:p>
        </w:tc>
        <w:tc>
          <w:tcPr>
            <w:tcW w:w="6013" w:type="dxa"/>
            <w:tcBorders>
              <w:top w:val="nil"/>
              <w:left w:val="nil"/>
              <w:bottom w:val="nil"/>
              <w:right w:val="single" w:color="00B050" w:sz="8" w:space="0"/>
            </w:tcBorders>
            <w:shd w:val="clear" w:color="auto" w:fill="FFFFFF"/>
            <w:vAlign w:val="center"/>
          </w:tcPr>
          <w:p w14:paraId="10CD115D">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地球生命共同体、绿色丝绸之路</w:t>
            </w:r>
          </w:p>
        </w:tc>
      </w:tr>
      <w:tr w14:paraId="340F4EF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63733027">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6</w:t>
            </w:r>
          </w:p>
        </w:tc>
        <w:tc>
          <w:tcPr>
            <w:tcW w:w="1841" w:type="dxa"/>
            <w:tcBorders>
              <w:top w:val="nil"/>
              <w:left w:val="nil"/>
              <w:bottom w:val="nil"/>
              <w:right w:val="nil"/>
            </w:tcBorders>
            <w:shd w:val="clear" w:color="auto" w:fill="FFFFFF"/>
            <w:vAlign w:val="center"/>
          </w:tcPr>
          <w:p w14:paraId="19FB8F7C">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长江生态</w:t>
            </w:r>
          </w:p>
        </w:tc>
        <w:tc>
          <w:tcPr>
            <w:tcW w:w="6013" w:type="dxa"/>
            <w:tcBorders>
              <w:top w:val="nil"/>
              <w:left w:val="nil"/>
              <w:bottom w:val="nil"/>
              <w:right w:val="single" w:color="00B050" w:sz="8" w:space="0"/>
            </w:tcBorders>
            <w:shd w:val="clear" w:color="auto" w:fill="FFFFFF"/>
            <w:vAlign w:val="center"/>
          </w:tcPr>
          <w:p w14:paraId="19CEB777">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长江经济带生态保护、长江经济带、长江大保护、长江共抓大保护</w:t>
            </w:r>
          </w:p>
        </w:tc>
      </w:tr>
      <w:tr w14:paraId="5A2EEAA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10B72538">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7</w:t>
            </w:r>
          </w:p>
        </w:tc>
        <w:tc>
          <w:tcPr>
            <w:tcW w:w="1841" w:type="dxa"/>
            <w:tcBorders>
              <w:top w:val="nil"/>
              <w:left w:val="nil"/>
              <w:bottom w:val="nil"/>
              <w:right w:val="nil"/>
            </w:tcBorders>
            <w:shd w:val="clear" w:color="auto" w:fill="FFFFFF"/>
            <w:vAlign w:val="center"/>
          </w:tcPr>
          <w:p w14:paraId="3EA2A958">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绿水青山</w:t>
            </w:r>
          </w:p>
        </w:tc>
        <w:tc>
          <w:tcPr>
            <w:tcW w:w="6013" w:type="dxa"/>
            <w:tcBorders>
              <w:top w:val="nil"/>
              <w:left w:val="nil"/>
              <w:bottom w:val="nil"/>
              <w:right w:val="single" w:color="00B050" w:sz="8" w:space="0"/>
            </w:tcBorders>
            <w:shd w:val="clear" w:color="auto" w:fill="FFFFFF"/>
            <w:vAlign w:val="center"/>
          </w:tcPr>
          <w:p w14:paraId="108B3D5A">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绿水青山就是金山银山、两山</w:t>
            </w:r>
          </w:p>
        </w:tc>
      </w:tr>
      <w:tr w14:paraId="30EF26D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689D33D5">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8</w:t>
            </w:r>
          </w:p>
        </w:tc>
        <w:tc>
          <w:tcPr>
            <w:tcW w:w="1841" w:type="dxa"/>
            <w:tcBorders>
              <w:top w:val="nil"/>
              <w:left w:val="nil"/>
              <w:bottom w:val="nil"/>
              <w:right w:val="nil"/>
            </w:tcBorders>
            <w:shd w:val="clear" w:color="auto" w:fill="FFFFFF"/>
            <w:vAlign w:val="center"/>
          </w:tcPr>
          <w:p w14:paraId="584B34ED">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制度建设</w:t>
            </w:r>
          </w:p>
        </w:tc>
        <w:tc>
          <w:tcPr>
            <w:tcW w:w="6013" w:type="dxa"/>
            <w:tcBorders>
              <w:top w:val="nil"/>
              <w:left w:val="nil"/>
              <w:bottom w:val="nil"/>
              <w:right w:val="single" w:color="00B050" w:sz="8" w:space="0"/>
            </w:tcBorders>
            <w:shd w:val="clear" w:color="auto" w:fill="FFFFFF"/>
            <w:vAlign w:val="center"/>
          </w:tcPr>
          <w:p w14:paraId="0A50384A">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生态文明制度、生态文明建设、生态文明体制改革</w:t>
            </w:r>
          </w:p>
        </w:tc>
      </w:tr>
      <w:tr w14:paraId="63B7F75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5875233F">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9</w:t>
            </w:r>
          </w:p>
        </w:tc>
        <w:tc>
          <w:tcPr>
            <w:tcW w:w="1841" w:type="dxa"/>
            <w:tcBorders>
              <w:top w:val="nil"/>
              <w:left w:val="nil"/>
              <w:bottom w:val="nil"/>
              <w:right w:val="nil"/>
            </w:tcBorders>
            <w:shd w:val="clear" w:color="auto" w:fill="FFFFFF"/>
            <w:vAlign w:val="center"/>
          </w:tcPr>
          <w:p w14:paraId="5EFA6840">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资源节约</w:t>
            </w:r>
          </w:p>
        </w:tc>
        <w:tc>
          <w:tcPr>
            <w:tcW w:w="6013" w:type="dxa"/>
            <w:tcBorders>
              <w:top w:val="nil"/>
              <w:left w:val="nil"/>
              <w:bottom w:val="nil"/>
              <w:right w:val="single" w:color="00B050" w:sz="8" w:space="0"/>
            </w:tcBorders>
            <w:shd w:val="clear" w:color="auto" w:fill="FFFFFF"/>
            <w:vAlign w:val="center"/>
          </w:tcPr>
          <w:p w14:paraId="515A48B8">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资源节约集约利用、资源可循环</w:t>
            </w:r>
          </w:p>
        </w:tc>
      </w:tr>
      <w:tr w14:paraId="5D60386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05DD804D">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10</w:t>
            </w:r>
          </w:p>
        </w:tc>
        <w:tc>
          <w:tcPr>
            <w:tcW w:w="1841" w:type="dxa"/>
            <w:tcBorders>
              <w:top w:val="nil"/>
              <w:left w:val="nil"/>
              <w:bottom w:val="nil"/>
              <w:right w:val="nil"/>
            </w:tcBorders>
            <w:shd w:val="clear" w:color="auto" w:fill="FFFFFF"/>
            <w:vAlign w:val="center"/>
          </w:tcPr>
          <w:p w14:paraId="1DDF4EA7">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污染防治攻坚战</w:t>
            </w:r>
          </w:p>
        </w:tc>
        <w:tc>
          <w:tcPr>
            <w:tcW w:w="6013" w:type="dxa"/>
            <w:tcBorders>
              <w:top w:val="nil"/>
              <w:left w:val="nil"/>
              <w:bottom w:val="nil"/>
              <w:right w:val="single" w:color="00B050" w:sz="8" w:space="0"/>
            </w:tcBorders>
            <w:shd w:val="clear" w:color="auto" w:fill="FFFFFF"/>
            <w:vAlign w:val="center"/>
          </w:tcPr>
          <w:p w14:paraId="02E56EDE">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蓝天、碧水、净土保卫战</w:t>
            </w:r>
          </w:p>
        </w:tc>
      </w:tr>
      <w:tr w14:paraId="4477E36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1B38A914">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11</w:t>
            </w:r>
          </w:p>
        </w:tc>
        <w:tc>
          <w:tcPr>
            <w:tcW w:w="1841" w:type="dxa"/>
            <w:tcBorders>
              <w:top w:val="nil"/>
              <w:left w:val="nil"/>
              <w:bottom w:val="nil"/>
              <w:right w:val="nil"/>
            </w:tcBorders>
            <w:shd w:val="clear" w:color="auto" w:fill="FFFFFF"/>
            <w:vAlign w:val="center"/>
          </w:tcPr>
          <w:p w14:paraId="55B3F670">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清洁能源</w:t>
            </w:r>
          </w:p>
        </w:tc>
        <w:tc>
          <w:tcPr>
            <w:tcW w:w="6013" w:type="dxa"/>
            <w:tcBorders>
              <w:top w:val="nil"/>
              <w:left w:val="nil"/>
              <w:bottom w:val="nil"/>
              <w:right w:val="single" w:color="00B050" w:sz="8" w:space="0"/>
            </w:tcBorders>
            <w:shd w:val="clear" w:color="auto" w:fill="FFFFFF"/>
            <w:vAlign w:val="center"/>
          </w:tcPr>
          <w:p w14:paraId="0DE46995">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lang w:eastAsia="zh-CN"/>
              </w:rPr>
            </w:pPr>
            <w:r>
              <w:rPr>
                <w:rFonts w:hint="eastAsia" w:ascii="仿宋" w:hAnsi="仿宋" w:eastAsia="仿宋" w:cs="仿宋"/>
                <w:b w:val="0"/>
                <w:i w:val="0"/>
                <w:color w:val="000000"/>
                <w:sz w:val="28"/>
                <w:szCs w:val="28"/>
              </w:rPr>
              <w:t>能源消费革命、新型能源体系、</w:t>
            </w:r>
            <w:r>
              <w:rPr>
                <w:rFonts w:hint="eastAsia" w:ascii="仿宋" w:hAnsi="仿宋" w:eastAsia="仿宋" w:cs="仿宋"/>
                <w:b w:val="0"/>
                <w:i w:val="0"/>
                <w:color w:val="000000"/>
                <w:sz w:val="28"/>
                <w:szCs w:val="28"/>
                <w:lang w:eastAsia="zh-CN"/>
              </w:rPr>
              <w:t>“</w:t>
            </w:r>
            <w:r>
              <w:rPr>
                <w:rFonts w:hint="eastAsia" w:ascii="仿宋" w:hAnsi="仿宋" w:eastAsia="仿宋" w:cs="仿宋"/>
                <w:b w:val="0"/>
                <w:i w:val="0"/>
                <w:color w:val="000000"/>
                <w:sz w:val="28"/>
                <w:szCs w:val="28"/>
              </w:rPr>
              <w:t>无废城市</w:t>
            </w:r>
            <w:r>
              <w:rPr>
                <w:rFonts w:hint="eastAsia" w:ascii="仿宋" w:hAnsi="仿宋" w:eastAsia="仿宋" w:cs="仿宋"/>
                <w:b w:val="0"/>
                <w:i w:val="0"/>
                <w:color w:val="000000"/>
                <w:sz w:val="28"/>
                <w:szCs w:val="28"/>
                <w:lang w:eastAsia="zh-CN"/>
              </w:rPr>
              <w:t>”</w:t>
            </w:r>
          </w:p>
        </w:tc>
      </w:tr>
      <w:tr w14:paraId="41BAB29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62697FFE">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12</w:t>
            </w:r>
          </w:p>
        </w:tc>
        <w:tc>
          <w:tcPr>
            <w:tcW w:w="1841" w:type="dxa"/>
            <w:tcBorders>
              <w:top w:val="nil"/>
              <w:left w:val="nil"/>
              <w:bottom w:val="nil"/>
              <w:right w:val="nil"/>
            </w:tcBorders>
            <w:shd w:val="clear" w:color="auto" w:fill="FFFFFF"/>
            <w:vAlign w:val="center"/>
          </w:tcPr>
          <w:p w14:paraId="4A1733FE">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国家公园</w:t>
            </w:r>
          </w:p>
        </w:tc>
        <w:tc>
          <w:tcPr>
            <w:tcW w:w="6013" w:type="dxa"/>
            <w:tcBorders>
              <w:top w:val="nil"/>
              <w:left w:val="nil"/>
              <w:bottom w:val="nil"/>
              <w:right w:val="single" w:color="00B050" w:sz="8" w:space="0"/>
            </w:tcBorders>
            <w:shd w:val="clear" w:color="auto" w:fill="FFFFFF"/>
            <w:vAlign w:val="center"/>
          </w:tcPr>
          <w:p w14:paraId="59F8EC4E">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国家森林公园</w:t>
            </w:r>
          </w:p>
        </w:tc>
      </w:tr>
      <w:tr w14:paraId="54887B7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493355A5">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13</w:t>
            </w:r>
          </w:p>
        </w:tc>
        <w:tc>
          <w:tcPr>
            <w:tcW w:w="1841" w:type="dxa"/>
            <w:tcBorders>
              <w:top w:val="nil"/>
              <w:left w:val="nil"/>
              <w:bottom w:val="nil"/>
              <w:right w:val="nil"/>
            </w:tcBorders>
            <w:shd w:val="clear" w:color="auto" w:fill="FFFFFF"/>
            <w:vAlign w:val="center"/>
          </w:tcPr>
          <w:p w14:paraId="520142BB">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环保督察</w:t>
            </w:r>
          </w:p>
        </w:tc>
        <w:tc>
          <w:tcPr>
            <w:tcW w:w="6013" w:type="dxa"/>
            <w:tcBorders>
              <w:top w:val="nil"/>
              <w:left w:val="nil"/>
              <w:bottom w:val="nil"/>
              <w:right w:val="single" w:color="00B050" w:sz="8" w:space="0"/>
            </w:tcBorders>
            <w:shd w:val="clear" w:color="auto" w:fill="FFFFFF"/>
            <w:vAlign w:val="center"/>
          </w:tcPr>
          <w:p w14:paraId="1BE31735">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中央生态环境保护督察</w:t>
            </w:r>
          </w:p>
        </w:tc>
      </w:tr>
      <w:tr w14:paraId="649D4E6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76FAA1E1">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14</w:t>
            </w:r>
          </w:p>
        </w:tc>
        <w:tc>
          <w:tcPr>
            <w:tcW w:w="1841" w:type="dxa"/>
            <w:tcBorders>
              <w:top w:val="nil"/>
              <w:left w:val="nil"/>
              <w:bottom w:val="nil"/>
              <w:right w:val="nil"/>
            </w:tcBorders>
            <w:shd w:val="clear" w:color="auto" w:fill="FFFFFF"/>
            <w:vAlign w:val="center"/>
          </w:tcPr>
          <w:p w14:paraId="12676778">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生物多样性</w:t>
            </w:r>
          </w:p>
        </w:tc>
        <w:tc>
          <w:tcPr>
            <w:tcW w:w="6013" w:type="dxa"/>
            <w:tcBorders>
              <w:top w:val="nil"/>
              <w:left w:val="nil"/>
              <w:bottom w:val="nil"/>
              <w:right w:val="single" w:color="00B050" w:sz="8" w:space="0"/>
            </w:tcBorders>
            <w:shd w:val="clear" w:color="auto" w:fill="FFFFFF"/>
            <w:vAlign w:val="center"/>
          </w:tcPr>
          <w:p w14:paraId="37F43A3B">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生物多样性保护</w:t>
            </w:r>
          </w:p>
        </w:tc>
      </w:tr>
      <w:tr w14:paraId="0A89120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nil"/>
              <w:right w:val="nil"/>
            </w:tcBorders>
            <w:shd w:val="clear" w:color="auto" w:fill="BCFFDB"/>
            <w:vAlign w:val="center"/>
          </w:tcPr>
          <w:p w14:paraId="58263930">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15</w:t>
            </w:r>
          </w:p>
        </w:tc>
        <w:tc>
          <w:tcPr>
            <w:tcW w:w="1841" w:type="dxa"/>
            <w:tcBorders>
              <w:top w:val="nil"/>
              <w:left w:val="nil"/>
              <w:bottom w:val="nil"/>
              <w:right w:val="nil"/>
            </w:tcBorders>
            <w:shd w:val="clear" w:color="auto" w:fill="FFFFFF"/>
            <w:vAlign w:val="center"/>
          </w:tcPr>
          <w:p w14:paraId="5FA96181">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生态红线</w:t>
            </w:r>
          </w:p>
        </w:tc>
        <w:tc>
          <w:tcPr>
            <w:tcW w:w="6013" w:type="dxa"/>
            <w:tcBorders>
              <w:top w:val="nil"/>
              <w:left w:val="nil"/>
              <w:bottom w:val="nil"/>
              <w:right w:val="single" w:color="00B050" w:sz="8" w:space="0"/>
            </w:tcBorders>
            <w:shd w:val="clear" w:color="auto" w:fill="FFFFFF"/>
            <w:vAlign w:val="center"/>
          </w:tcPr>
          <w:p w14:paraId="3216DD02">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生态保护红线</w:t>
            </w:r>
          </w:p>
        </w:tc>
      </w:tr>
      <w:tr w14:paraId="468BBB3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rPr>
          <w:trHeight w:val="0" w:hRule="atLeast"/>
          <w:jc w:val="center"/>
        </w:trPr>
        <w:tc>
          <w:tcPr>
            <w:tcW w:w="1001" w:type="dxa"/>
            <w:tcBorders>
              <w:top w:val="nil"/>
              <w:left w:val="single" w:color="00B050" w:sz="8" w:space="0"/>
              <w:bottom w:val="single" w:color="00B050" w:sz="8" w:space="0"/>
              <w:right w:val="nil"/>
            </w:tcBorders>
            <w:shd w:val="clear" w:color="auto" w:fill="BCFFDB"/>
            <w:vAlign w:val="center"/>
          </w:tcPr>
          <w:p w14:paraId="3076A2C3">
            <w:pPr>
              <w:keepNext/>
              <w:snapToGrid w:val="0"/>
              <w:spacing w:after="0" w:line="240" w:lineRule="auto"/>
              <w:ind w:left="0" w:leftChars="0" w:right="0" w:rightChars="0" w:firstLine="0" w:firstLineChars="0"/>
              <w:jc w:val="center"/>
              <w:rPr>
                <w:rFonts w:hint="eastAsia" w:ascii="仿宋" w:hAnsi="仿宋" w:eastAsia="仿宋" w:cs="仿宋"/>
                <w:b/>
                <w:i w:val="0"/>
                <w:color w:val="08090C"/>
                <w:sz w:val="28"/>
                <w:szCs w:val="28"/>
              </w:rPr>
            </w:pPr>
            <w:r>
              <w:rPr>
                <w:rFonts w:hint="eastAsia" w:ascii="仿宋" w:hAnsi="仿宋" w:eastAsia="仿宋" w:cs="仿宋"/>
                <w:b/>
                <w:i w:val="0"/>
                <w:color w:val="08090C"/>
                <w:sz w:val="28"/>
                <w:szCs w:val="28"/>
              </w:rPr>
              <w:t>16</w:t>
            </w:r>
          </w:p>
        </w:tc>
        <w:tc>
          <w:tcPr>
            <w:tcW w:w="1841" w:type="dxa"/>
            <w:tcBorders>
              <w:top w:val="nil"/>
              <w:left w:val="nil"/>
              <w:bottom w:val="single" w:color="00B050" w:sz="8" w:space="0"/>
              <w:right w:val="nil"/>
            </w:tcBorders>
            <w:shd w:val="clear" w:color="auto" w:fill="FFFFFF"/>
            <w:vAlign w:val="center"/>
          </w:tcPr>
          <w:p w14:paraId="45E5AAD4">
            <w:pPr>
              <w:keepNext/>
              <w:snapToGrid w:val="0"/>
              <w:spacing w:after="0" w:line="240" w:lineRule="auto"/>
              <w:ind w:left="0" w:leftChars="0" w:right="0" w:rightChars="0" w:firstLine="0" w:firstLineChars="0"/>
              <w:jc w:val="center"/>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低碳经济</w:t>
            </w:r>
          </w:p>
        </w:tc>
        <w:tc>
          <w:tcPr>
            <w:tcW w:w="6013" w:type="dxa"/>
            <w:tcBorders>
              <w:top w:val="nil"/>
              <w:left w:val="nil"/>
              <w:bottom w:val="single" w:color="00B050" w:sz="8" w:space="0"/>
              <w:right w:val="single" w:color="00B050" w:sz="8" w:space="0"/>
            </w:tcBorders>
            <w:shd w:val="clear" w:color="auto" w:fill="FFFFFF"/>
            <w:vAlign w:val="center"/>
          </w:tcPr>
          <w:p w14:paraId="0E9DDA26">
            <w:pPr>
              <w:keepNext/>
              <w:snapToGrid w:val="0"/>
              <w:spacing w:after="0" w:line="240" w:lineRule="auto"/>
              <w:ind w:left="0" w:leftChars="0" w:right="0" w:rightChars="0" w:firstLine="0" w:firstLineChars="0"/>
              <w:jc w:val="left"/>
              <w:rPr>
                <w:rFonts w:hint="eastAsia" w:ascii="仿宋" w:hAnsi="仿宋" w:eastAsia="仿宋" w:cs="仿宋"/>
                <w:b w:val="0"/>
                <w:i w:val="0"/>
                <w:color w:val="000000"/>
                <w:sz w:val="28"/>
                <w:szCs w:val="28"/>
              </w:rPr>
            </w:pPr>
            <w:r>
              <w:rPr>
                <w:rFonts w:hint="eastAsia" w:ascii="仿宋" w:hAnsi="仿宋" w:eastAsia="仿宋" w:cs="仿宋"/>
                <w:b w:val="0"/>
                <w:i w:val="0"/>
                <w:color w:val="000000"/>
                <w:sz w:val="28"/>
                <w:szCs w:val="28"/>
              </w:rPr>
              <w:t>绿色生活、低碳消费</w:t>
            </w:r>
          </w:p>
        </w:tc>
      </w:tr>
    </w:tbl>
    <w:p w14:paraId="6C306F06">
      <w:pPr>
        <w:keepNext w:val="0"/>
        <w:keepLines w:val="0"/>
        <w:pageBreakBefore w:val="0"/>
        <w:widowControl/>
        <w:kinsoku/>
        <w:wordWrap/>
        <w:overflowPunct/>
        <w:topLinePunct w:val="0"/>
        <w:autoSpaceDE/>
        <w:autoSpaceDN/>
        <w:bidi w:val="0"/>
        <w:adjustRightInd/>
        <w:snapToGrid/>
        <w:spacing w:before="181" w:beforeLines="50" w:after="181" w:afterLines="50" w:line="360" w:lineRule="auto"/>
        <w:jc w:val="center"/>
        <w:textAlignment w:val="auto"/>
        <w:rPr>
          <w:rFonts w:hint="default" w:ascii="仿宋" w:hAnsi="仿宋" w:eastAsia="仿宋" w:cs="仿宋"/>
          <w:b/>
          <w:sz w:val="24"/>
          <w:szCs w:val="24"/>
          <w:lang w:val="en-US" w:eastAsia="zh-CN"/>
        </w:rPr>
      </w:pPr>
      <w:r>
        <w:rPr>
          <w:rFonts w:hint="eastAsia" w:ascii="仿宋" w:hAnsi="仿宋" w:eastAsia="仿宋" w:cs="仿宋"/>
          <w:b/>
          <w:sz w:val="24"/>
          <w:szCs w:val="24"/>
          <w:lang w:val="en-US" w:eastAsia="zh-CN"/>
        </w:rPr>
        <w:t>图3-1</w:t>
      </w:r>
    </w:p>
    <w:p w14:paraId="6FE89ABB">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主题关键词的确定有助于后续统计工作的开展。中央媒体、行业媒体及区县媒体报道的主题丰富度指标，能够反映相关报道是否较为平均地覆盖到16个重要的生态文明传播主题，由此衡量重庆市39个地区的生态文明传播活动是否在主题的丰富程度上呈现出明显差别。</w:t>
      </w:r>
    </w:p>
    <w:p w14:paraId="0DD453D6">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同理，线下宣传活动的统计口径也应当符合生态文明宣传的基本要求。根据重庆市生态环境局对区县相关工作的指导和反馈，结合工作要求与实际经验，课题组对五类主题活动（六五环境日活动、8·15全国生态日、志愿服务活动、公共设施开放、美丽重庆六进活动）展开统计。</w:t>
      </w:r>
    </w:p>
    <w:p w14:paraId="72660E7D">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（3）报道传播速度/活动传播速度</w:t>
      </w:r>
    </w:p>
    <w:p w14:paraId="3F22AE49">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传播速度即为生态文明传播类报道内容发布与更新的速度。媒体在每日运营中，按时、持续、高频地发布生态文明传播内容，能够体现传播时间安排的合理性，保证与传播受众的稳定连接。</w:t>
      </w:r>
    </w:p>
    <w:p w14:paraId="7D6B8F2B">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本指标通过计算中央媒体、行业媒体、区县媒体发布生态文明传播内容总量与发布天数之间的比值，取得相关报道的发布频率；通过计算线下宣传活动场次与举办时间之间的比值，取得宣传活动的举办频率；二者结合共同体现重庆市39个地区生态文明宣传的传播速度，进一步引导各区县“向前提速”，推动生态文明宣传工作走向常态化。</w:t>
      </w:r>
    </w:p>
    <w:p w14:paraId="42EDFA80">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val="en-US" w:eastAsia="zh-CN"/>
          <w14:ligatures w14:val="standardContextual"/>
        </w:rPr>
      </w:pPr>
      <w:r>
        <w:rPr>
          <w:rFonts w:hint="eastAsia" w:ascii="仿宋" w:hAnsi="仿宋" w:eastAsia="仿宋" w:cs="仿宋"/>
          <w:color w:val="auto"/>
          <w:kern w:val="2"/>
          <w:sz w:val="28"/>
          <w:szCs w:val="28"/>
          <w:lang w:val="en-US" w:eastAsia="zh-CN"/>
          <w14:ligatures w14:val="standardContextual"/>
        </w:rPr>
        <w:t>（二）权重确定</w:t>
      </w:r>
    </w:p>
    <w:p w14:paraId="30A3CB8E">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（1）专家评分的初步赋权</w:t>
      </w:r>
    </w:p>
    <w:p w14:paraId="299C0C09">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由于本指标体系具有多个层次，熵权法等单层次的权重分析方法不再适用，采用专家评分法依次确定每个层次的赋权。</w:t>
      </w:r>
    </w:p>
    <w:p w14:paraId="7076F9CD">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综合生态文明传播领域三位专家（中国传媒大学经管学院卜彦芳教授、社科院大学新闻学院漆亚林教授、生态文明传播中心陈雨研究员）的意见，从经验角度出发定义权重。以两级四类12项指标为赋权对象，每位专家根据自己对指标的理解打分，用100分进行分配，根据专家打分结果计算平均分得出每项指标的权重，并使用AHP层次分析法对专家打分权重进行检验。</w:t>
      </w:r>
    </w:p>
    <w:p w14:paraId="4199A5B4">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（2）权重的一致性检验</w:t>
      </w:r>
    </w:p>
    <w:p w14:paraId="3BCC4269">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将一级指标（中央媒体传播指数、市级媒体传播指数，行业媒体传播指数、区县媒体传播指数、公众行为引导指数）及二级指标（报道及活动数量、报道及活动主题丰富度、报道及活动传播速度）的专家打分结果加总平均后转化为判断矩阵，运用SPSSAU软件的AHP层次分析功能予以检验，结果显示随机一致性RI值为0.89，所得权重具有一致性。</w:t>
      </w:r>
    </w:p>
    <w:p w14:paraId="2742C1DF">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两级指标的权重值</w:t>
      </w:r>
    </w:p>
    <w:p w14:paraId="29E019B8">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经专家打分及一致性检验后，最终得到两级指标的权重值。在一级指标中，中央媒体占比45%，行业媒体占比25%，市级媒体占比15%，区县媒体占比8%，公众行为引导指数占比7%。在二级指标中，报道及活动数量占比40%，报道及活动主题丰富度占比30%，报道及活动传播速度占比30%。</w:t>
      </w:r>
    </w:p>
    <w:p w14:paraId="78E9303D">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val="en-US" w:eastAsia="zh-CN"/>
          <w14:ligatures w14:val="standardContextual"/>
        </w:rPr>
      </w:pPr>
      <w:r>
        <w:rPr>
          <w:rFonts w:hint="eastAsia" w:ascii="仿宋" w:hAnsi="仿宋" w:eastAsia="仿宋" w:cs="仿宋"/>
          <w:color w:val="auto"/>
          <w:kern w:val="2"/>
          <w:sz w:val="28"/>
          <w:szCs w:val="28"/>
          <w:lang w:val="en-US" w:eastAsia="zh-CN"/>
          <w14:ligatures w14:val="standardContextual"/>
        </w:rPr>
        <w:t>（三）评价方法</w:t>
      </w:r>
    </w:p>
    <w:p w14:paraId="3BB141D3">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1.评价方法概述</w:t>
      </w:r>
    </w:p>
    <w:p w14:paraId="447BCAE1">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生态文明传播指数体系的评价方法综合考虑中央媒体传播、行业媒体传播、市级媒体传播、区县媒体传播、公众行为引导五个方面，采用定量与定性相结合的方法，确保评价结果的客观性和准确性。</w:t>
      </w:r>
    </w:p>
    <w:p w14:paraId="39A9A1A1">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2.具体评价方法（定量+定性结合）</w:t>
      </w:r>
    </w:p>
    <w:p w14:paraId="2CBCDEBC">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（1）定量评价法</w:t>
      </w:r>
    </w:p>
    <w:p w14:paraId="3402BE58">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综合评价法：具体步骤包括“建立指标体系→确定权重→收集整理数据→数据区间化处理→加权平均处理→计算综合得分”。其中，数据区间化处理是将量纲不同的五大维度15个指标数据按照[65，95]区间统一为标准化数据。</w:t>
      </w:r>
    </w:p>
    <w:p w14:paraId="48F6D3CD">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（2）定性评价法</w:t>
      </w:r>
    </w:p>
    <w:p w14:paraId="53C840A6">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案例研究与实地调研：选取具有代表性的生态文明传播案例进行深入剖析，从中提取有益的经验和教训，为评价体系提供定性依据。</w:t>
      </w:r>
    </w:p>
    <w:p w14:paraId="147A5DE7">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（3）结果分析与反馈</w:t>
      </w:r>
    </w:p>
    <w:p w14:paraId="5B466616">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结果分析：根据定量和定性评价结果，对生态文明传播指数体系进行综合分析，详见《2025年度重庆市生态文明传播指数排行榜及分析解读》。</w:t>
      </w:r>
    </w:p>
    <w:p w14:paraId="244D70E4">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结果反馈：将评价结果反馈给相关部门和公众，促进生态文明传播工作的持续改进和优化。</w:t>
      </w:r>
    </w:p>
    <w:p w14:paraId="68A3ED94">
      <w:pPr>
        <w:pStyle w:val="3"/>
        <w:widowControl w:val="0"/>
        <w:spacing w:before="340" w:after="330" w:line="600" w:lineRule="exact"/>
        <w:jc w:val="both"/>
        <w:rPr>
          <w:rFonts w:hint="eastAsia" w:eastAsia="黑体" w:asciiTheme="minorHAnsi" w:hAnsiTheme="minorHAnsi" w:cstheme="minorBidi"/>
          <w:color w:val="auto"/>
          <w:kern w:val="44"/>
          <w:sz w:val="30"/>
          <w:szCs w:val="44"/>
          <w:lang w:eastAsia="zh-CN"/>
          <w14:ligatures w14:val="standardContextual"/>
        </w:rPr>
      </w:pPr>
      <w:r>
        <w:rPr>
          <w:rFonts w:hint="eastAsia" w:eastAsia="黑体" w:asciiTheme="minorHAnsi" w:hAnsiTheme="minorHAnsi" w:cstheme="minorBidi"/>
          <w:color w:val="auto"/>
          <w:kern w:val="44"/>
          <w:sz w:val="30"/>
          <w:szCs w:val="44"/>
          <w:lang w:eastAsia="zh-CN"/>
          <w14:ligatures w14:val="standardContextual"/>
        </w:rPr>
        <w:t>四、数据来源与统计</w:t>
      </w:r>
    </w:p>
    <w:p w14:paraId="1EAE477E">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val="en-US" w:eastAsia="zh-CN"/>
          <w14:ligatures w14:val="standardContextual"/>
        </w:rPr>
      </w:pPr>
      <w:r>
        <w:rPr>
          <w:rFonts w:hint="eastAsia" w:ascii="仿宋" w:hAnsi="仿宋" w:eastAsia="仿宋" w:cs="仿宋"/>
          <w:color w:val="auto"/>
          <w:kern w:val="2"/>
          <w:sz w:val="28"/>
          <w:szCs w:val="28"/>
          <w:lang w:val="en-US" w:eastAsia="zh-CN"/>
          <w14:ligatures w14:val="standardContextual"/>
        </w:rPr>
        <w:t>（一）数据简报</w:t>
      </w:r>
    </w:p>
    <w:p w14:paraId="2465CAEC">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重庆市生态文明传播工作以线上媒体报道与线下宣传活动为主要传播手段。线上媒体报道矩阵由中央媒体（新华社、中央电视台、《光明日报》全媒体、《人民日报》全媒体）、行业媒体（中国环境报、美丽重庆）、区县媒体（区县融媒体、生态环境局政务新媒体）构成。自建采集系统监测显示，2025年1-12月该媒体报道矩阵采集到39个地区相关原始稿件共计66,821条，从中挑选出符合美丽中国、综合治理等16个核心主题的报道共计78,574次，分主题平均报道量为4,910次。其中，报道量最高的三个主题是综合治理（21,474条）、绿色发展（27,089条）、绿水青山（13,780条）；报道量最低的三个主题是资源节约（1,357条）、低碳经济（1,303条）、生态红线（1,424条）。</w:t>
      </w:r>
    </w:p>
    <w:p w14:paraId="7E278E75">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由于存在一篇报道对应多个关键词的情况，去除关键词重复后39个地区有效报道总数为14,074条，分区县平均报道量为361条。其中，报道量最高的三个区县是科学城重庆高新区、两江新区、涪陵区；报道量最低的三个区县是巫溪县、彭水县、酉阳县。</w:t>
      </w:r>
    </w:p>
    <w:p w14:paraId="68B7DA74">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此时，仍然存在一篇报道提及多个区县的情况，进一步去除区县重复后得到7,394篇报道，其中中央媒体报道、行业媒体报道、区县媒体报道分别由专业团队进行了交叉比对与统计。此外，区县融媒体中心及生态环境类政务新媒体形成了另一支重要的报道力量。</w:t>
      </w:r>
    </w:p>
    <w:p w14:paraId="397FEDF1">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生态文明线下宣传活动方面，2025年度由于数据收集主体调整尚未完成，线下宣传活动数据待重庆市生态环境局协调各区县上报后填入，相关五类活动（六五环境日活动、8·15全国生态日活动、志愿服务活动、环保设施向公众开放活动、美丽重庆六进活动）的统计结果将另行发布。</w:t>
      </w:r>
    </w:p>
    <w:p w14:paraId="6A78F5F1">
      <w:pPr>
        <w:pStyle w:val="4"/>
        <w:widowControl w:val="0"/>
        <w:spacing w:before="260" w:after="260" w:line="600" w:lineRule="exact"/>
        <w:ind w:firstLine="562" w:firstLineChars="200"/>
        <w:jc w:val="both"/>
        <w:rPr>
          <w:rFonts w:hint="eastAsia" w:ascii="仿宋" w:hAnsi="仿宋" w:eastAsia="仿宋" w:cs="仿宋"/>
          <w:color w:val="auto"/>
          <w:kern w:val="2"/>
          <w:sz w:val="28"/>
          <w:szCs w:val="28"/>
          <w:lang w:val="en-US" w:eastAsia="zh-CN"/>
          <w14:ligatures w14:val="standardContextual"/>
        </w:rPr>
      </w:pPr>
      <w:r>
        <w:rPr>
          <w:rFonts w:hint="eastAsia" w:ascii="仿宋" w:hAnsi="仿宋" w:eastAsia="仿宋" w:cs="仿宋"/>
          <w:color w:val="auto"/>
          <w:kern w:val="2"/>
          <w:sz w:val="28"/>
          <w:szCs w:val="28"/>
          <w:lang w:val="en-US" w:eastAsia="zh-CN"/>
          <w14:ligatures w14:val="standardContextual"/>
        </w:rPr>
        <w:t>（二）统计说明</w:t>
      </w:r>
    </w:p>
    <w:p w14:paraId="48CFE8B0">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数据分析人员对自建采集系统采集到的线上媒体数据进行交叉比对，对中央媒体传播指数、市级媒体传播指数、行业媒体传播指数、区县媒体传播指数、公众行为引导指数五大维度的15个指标展开统计，首先计算二级指标的单项得分，然后将各项得分区间化处理为65-95分，最后按照中央媒体赋权=45%、行业媒体赋权=25%、市级媒体赋权=15%、区县媒体赋权=8%、宣传活动赋权=7%计算生态文明传播综合得分。单项得分的计算具体如下：</w:t>
      </w:r>
    </w:p>
    <w:p w14:paraId="054902D2">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对自建采集系统监测数据按照三类媒体（中央、行业以及区县媒体）进行分类，再分别计算媒体报道量、报道主题丰富度、报道传播速度3个指标；以区县上报的宣传活动数据为依据，计算活动数量、活动主题丰富度、活动传播速度3个指标。汇总后完成12个指标的统计。</w:t>
      </w:r>
    </w:p>
    <w:p w14:paraId="3C844674">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（1）报道数量/活动数量</w:t>
      </w:r>
    </w:p>
    <w:p w14:paraId="43B0EC7A">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对原始数据去重后按39个地区分别计算中央媒体、行业媒体、区县媒体之报道数量以及宣传活动数量，按照赋权=40%统计报道数量/活动数量单项得分。</w:t>
      </w:r>
    </w:p>
    <w:p w14:paraId="295EE306">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（2）报道主题丰富度/活动主题丰富度</w:t>
      </w:r>
    </w:p>
    <w:p w14:paraId="310CA9F6">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将报道主题划分为16个类别（美丽中国、综合治理等），按39个地区分别计算中央媒体、行业媒体、区县媒体之主题丰富度F1，按照赋权=30%统计主题丰富度单项得分。计算公式为F=1/Σ|i-1/N|，其中i为每一类主题报道占本区县全部报道的比例，N为主题数量。F值&gt;0，取值越高越好，说明该区县某一类媒体的报道能够较为平均地覆盖到所有生态文明传播主题。</w:t>
      </w:r>
    </w:p>
    <w:p w14:paraId="1606C87C">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同理，将活动主题划分为5个类别（六五环境日、志愿服务活动等），按39个地区计算宣传活动之主题丰富度F2，公式及赋权同上。</w:t>
      </w:r>
    </w:p>
    <w:p w14:paraId="56B87EA8">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（3）报道传播速度/活动传播速度</w:t>
      </w:r>
    </w:p>
    <w:p w14:paraId="4A76917A">
      <w:pPr>
        <w:widowControl/>
        <w:spacing w:after="0" w:line="600" w:lineRule="exact"/>
        <w:ind w:firstLine="560" w:firstLineChars="200"/>
        <w:jc w:val="both"/>
        <w:rPr>
          <w:rFonts w:hint="eastAsia" w:ascii="仿宋" w:hAnsi="仿宋" w:eastAsia="仿宋"/>
          <w:kern w:val="2"/>
          <w:sz w:val="28"/>
          <w:szCs w:val="28"/>
          <w:lang w:val="en-US" w:eastAsia="zh-CN"/>
          <w14:ligatures w14:val="standardContextual"/>
        </w:rPr>
      </w:pPr>
      <w:r>
        <w:rPr>
          <w:rFonts w:hint="eastAsia" w:ascii="仿宋" w:hAnsi="仿宋" w:eastAsia="仿宋"/>
          <w:kern w:val="2"/>
          <w:sz w:val="28"/>
          <w:szCs w:val="28"/>
          <w:lang w:val="en-US" w:eastAsia="zh-CN"/>
          <w14:ligatures w14:val="standardContextual"/>
        </w:rPr>
        <w:t>根据公式“发布频率=内容总数/发布天数”，按39个地区分别计算中央媒体、行业媒体、区县媒体的更新频率以及宣传活动举办频率，按照赋权=30%计算传播速度单项得分。</w:t>
      </w:r>
    </w:p>
    <w:sectPr>
      <w:footerReference r:id="rId5" w:type="default"/>
      <w:pgSz w:w="12240" w:h="15840"/>
      <w:pgMar w:top="1440" w:right="1800" w:bottom="1440" w:left="1800" w:header="720" w:footer="720"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
    <w:panose1 w:val="02010609060101010101"/>
    <w:charset w:val="86"/>
    <w:family w:val="auto"/>
    <w:pitch w:val="default"/>
    <w:sig w:usb0="800002BF" w:usb1="38CF7CFA" w:usb2="00000016" w:usb3="00000000" w:csb0="00040001" w:csb1="00000000"/>
  </w:font>
  <w:font w:name="方正小标宋_GBK">
    <w:altName w:val="微软雅黑"/>
    <w:panose1 w:val="02000000000000000000"/>
    <w:charset w:val="86"/>
    <w:family w:val="script"/>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8235D1FC">
    <w:panose1 w:val="020B07030202040202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8CD0A0">
    <w:pPr>
      <w:pStyle w:val="24"/>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35E9AA">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C35E9AA">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FFAAF6"/>
    <w:rsid w:val="0D4E3C51"/>
    <w:rsid w:val="130A061A"/>
    <w:rsid w:val="246E3AC2"/>
    <w:rsid w:val="260E2C1D"/>
    <w:rsid w:val="273121C1"/>
    <w:rsid w:val="2DB2D086"/>
    <w:rsid w:val="31511D41"/>
    <w:rsid w:val="3FFEE884"/>
    <w:rsid w:val="4D810EFD"/>
    <w:rsid w:val="5295757B"/>
    <w:rsid w:val="534D53DE"/>
    <w:rsid w:val="635869C2"/>
    <w:rsid w:val="6E4C7AA1"/>
    <w:rsid w:val="6EBB05F6"/>
    <w:rsid w:val="755DA75A"/>
    <w:rsid w:val="776700EB"/>
    <w:rsid w:val="77FB12EC"/>
    <w:rsid w:val="7B6B679B"/>
    <w:rsid w:val="7DDF9905"/>
    <w:rsid w:val="7E773FE3"/>
    <w:rsid w:val="7EFF194E"/>
    <w:rsid w:val="8BFD67EF"/>
    <w:rsid w:val="AA4F6772"/>
    <w:rsid w:val="D9272CE6"/>
    <w:rsid w:val="F338E1E5"/>
    <w:rsid w:val="F7C9D4C1"/>
    <w:rsid w:val="FB3F52CB"/>
    <w:rsid w:val="FBFDD926"/>
    <w:rsid w:val="FF7E92B8"/>
    <w:rsid w:val="FFF5C246"/>
    <w:rsid w:val="FFFFBDF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4946</Words>
  <Characters>5126</Characters>
  <Lines>0</Lines>
  <Paragraphs>0</Paragraphs>
  <TotalTime>7</TotalTime>
  <ScaleCrop>false</ScaleCrop>
  <LinksUpToDate>false</LinksUpToDate>
  <CharactersWithSpaces>5132</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2013-12-24T14:15:00Z</dcterms:created>
  <dc:creator>python-docx</dc:creator>
  <dc:description>generated by python-docx</dc:description>
  <cp:lastModifiedBy>13680</cp:lastModifiedBy>
  <dcterms:modified xsi:type="dcterms:W3CDTF">2026-05-20T13:50:57Z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B53A272630736D7E089E0D6A67684AF3_42</vt:lpwstr>
  </property>
  <property fmtid="{D5CDD505-2E9C-101B-9397-08002B2CF9AE}" pid="4" name="KSOTemplateDocerSaveRecord">
    <vt:lpwstr>eyJoZGlkIjoiY2I5Y2M2YWI2YmJkZjI4ODFkYTA2M2ZhOWJkOTQ4YTEiLCJ1c2VySWQiOiIyNzg2OTM3NjMifQ==</vt:lpwstr>
  </property>
</Properties>
</file>