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DF3EF">
      <w:pPr>
        <w:spacing w:line="360" w:lineRule="auto"/>
        <w:jc w:val="center"/>
        <w:rPr>
          <w:rFonts w:hint="eastAsia" w:ascii="仿宋" w:hAnsi="仿宋" w:eastAsia="仿宋" w:cs="仿宋"/>
          <w:sz w:val="28"/>
          <w:szCs w:val="28"/>
        </w:rPr>
      </w:pPr>
      <w:r>
        <w:rPr>
          <w:rFonts w:hint="eastAsia" w:ascii="仿宋" w:hAnsi="仿宋" w:eastAsia="仿宋" w:cs="仿宋"/>
          <w:b/>
          <w:sz w:val="28"/>
          <w:szCs w:val="28"/>
        </w:rPr>
        <w:t>2025年度重庆市生态文明传播指数体系</w:t>
      </w:r>
    </w:p>
    <w:p w14:paraId="6A84DDBE">
      <w:pPr>
        <w:spacing w:line="360" w:lineRule="auto"/>
        <w:rPr>
          <w:rFonts w:hint="eastAsia" w:ascii="仿宋" w:hAnsi="仿宋" w:eastAsia="仿宋" w:cs="仿宋"/>
          <w:sz w:val="28"/>
          <w:szCs w:val="28"/>
        </w:rPr>
      </w:pPr>
    </w:p>
    <w:p w14:paraId="06A826E8">
      <w:pPr>
        <w:pStyle w:val="4"/>
        <w:spacing w:line="360" w:lineRule="auto"/>
        <w:rPr>
          <w:rFonts w:hint="eastAsia" w:ascii="仿宋" w:hAnsi="仿宋" w:eastAsia="仿宋" w:cs="仿宋"/>
          <w:sz w:val="28"/>
          <w:szCs w:val="28"/>
        </w:rPr>
      </w:pPr>
      <w:r>
        <w:rPr>
          <w:rFonts w:hint="eastAsia" w:ascii="仿宋" w:hAnsi="仿宋" w:eastAsia="仿宋" w:cs="仿宋"/>
          <w:sz w:val="28"/>
          <w:szCs w:val="28"/>
        </w:rPr>
        <w:t>一、引言</w:t>
      </w:r>
    </w:p>
    <w:p w14:paraId="2B9C900D">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党的十八大以来，以习近平同志为核心的党中央把生态文明建设作为统筹推进"五位一体"总体布局和协调推进"四个全面"战略布局的重要内容，把坚持人与自然和谐共生纳入新时代坚持和发展中国特色社会主义基本方略。在这一背景下，加强生态文明理念的传播与普及，提升全民生态文明素养，成为推进生态文明建设的重要环节。</w:t>
      </w:r>
    </w:p>
    <w:p w14:paraId="6855C8EC">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然而，当前生态文明传播工作仍面临诸多挑战，如传播渠道单一、传播内容不够丰富、传播效果不够显著等。因此，构建相应的生态文明传播指数，对于全面、客观、科学地评估生态文明传播的现状与效果，发现存在的问题和不足，具有重要的现实意义和战略价值。本项目立足重庆、放眼全国，以测算方法与数据实证为支撑，构建一套科学、系统、可比、可操作的生态文明传播指数体系，以量化评估生态文明传播效果，精准指导生态文明传播策略，促进生态文明建设的深入发展。</w:t>
      </w:r>
    </w:p>
    <w:p w14:paraId="58EDF928">
      <w:pPr>
        <w:pStyle w:val="4"/>
        <w:spacing w:line="360" w:lineRule="auto"/>
        <w:rPr>
          <w:rFonts w:hint="eastAsia" w:ascii="仿宋" w:hAnsi="仿宋" w:eastAsia="仿宋" w:cs="仿宋"/>
          <w:sz w:val="28"/>
          <w:szCs w:val="28"/>
        </w:rPr>
      </w:pPr>
      <w:r>
        <w:rPr>
          <w:rFonts w:hint="eastAsia" w:ascii="仿宋" w:hAnsi="仿宋" w:eastAsia="仿宋" w:cs="仿宋"/>
          <w:sz w:val="28"/>
          <w:szCs w:val="28"/>
        </w:rPr>
        <w:t>二、构建原则</w:t>
      </w:r>
    </w:p>
    <w:p w14:paraId="32A35E30">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1.科学性：基于生态学、传播学等多学科理论，确保指标的科学性和合理性。</w:t>
      </w:r>
    </w:p>
    <w:p w14:paraId="52280CE0">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2.系统性：全面考虑传播主体、传播内容、传播渠道、传播效果等方面，形成完整的系统。</w:t>
      </w:r>
    </w:p>
    <w:p w14:paraId="5FE3E9F9">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3.可比性：采用标准化、量化的指标，确保不同时间、不同地区的传播效果具有可比性。</w:t>
      </w:r>
    </w:p>
    <w:p w14:paraId="7BD76273">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4.可操作性：指标体系简单明了，数据收集和处理方法易于操作。</w:t>
      </w:r>
    </w:p>
    <w:p w14:paraId="153F8372">
      <w:pPr>
        <w:pStyle w:val="4"/>
        <w:spacing w:line="360" w:lineRule="auto"/>
        <w:rPr>
          <w:rFonts w:hint="eastAsia" w:ascii="仿宋" w:hAnsi="仿宋" w:eastAsia="仿宋" w:cs="仿宋"/>
          <w:sz w:val="28"/>
          <w:szCs w:val="28"/>
        </w:rPr>
      </w:pPr>
      <w:r>
        <w:rPr>
          <w:rFonts w:hint="eastAsia" w:ascii="仿宋" w:hAnsi="仿宋" w:eastAsia="仿宋" w:cs="仿宋"/>
          <w:sz w:val="28"/>
          <w:szCs w:val="28"/>
        </w:rPr>
        <w:t>三、构建内容</w:t>
      </w:r>
    </w:p>
    <w:p w14:paraId="736DB904">
      <w:pPr>
        <w:spacing w:line="360" w:lineRule="auto"/>
        <w:rPr>
          <w:rFonts w:hint="eastAsia" w:ascii="仿宋" w:hAnsi="仿宋" w:eastAsia="仿宋" w:cs="仿宋"/>
          <w:sz w:val="28"/>
          <w:szCs w:val="28"/>
        </w:rPr>
      </w:pPr>
      <w:r>
        <w:rPr>
          <w:rFonts w:hint="eastAsia" w:ascii="仿宋" w:hAnsi="仿宋" w:eastAsia="仿宋" w:cs="仿宋"/>
          <w:b/>
          <w:sz w:val="28"/>
          <w:szCs w:val="28"/>
        </w:rPr>
        <w:t>（一）指标体系</w:t>
      </w:r>
    </w:p>
    <w:p w14:paraId="381E6475">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生态文明传播指数体系由四个一级指标构成，分别为中央媒体传播指数、</w:t>
      </w:r>
      <w:r>
        <w:rPr>
          <w:rFonts w:hint="eastAsia" w:ascii="仿宋" w:hAnsi="仿宋" w:eastAsia="仿宋" w:cs="仿宋"/>
          <w:sz w:val="28"/>
          <w:szCs w:val="28"/>
          <w:lang w:val="en-US" w:eastAsia="zh-CN"/>
        </w:rPr>
        <w:t>市级媒体传播指数、</w:t>
      </w:r>
      <w:r>
        <w:rPr>
          <w:rFonts w:hint="eastAsia" w:ascii="仿宋" w:hAnsi="仿宋" w:eastAsia="仿宋" w:cs="仿宋"/>
          <w:sz w:val="28"/>
          <w:szCs w:val="28"/>
        </w:rPr>
        <w:t>行业媒体传播指数、区县媒体传播指数和公众行为引导指数。每个一级指标下包含3个二级指标，最终形成覆盖4个维度、12个指标的生态文明传播指数体系，具体如下：</w:t>
      </w:r>
    </w:p>
    <w:p w14:paraId="3D003573">
      <w:pPr>
        <w:spacing w:line="360" w:lineRule="auto"/>
        <w:rPr>
          <w:rFonts w:hint="eastAsia" w:ascii="仿宋" w:hAnsi="仿宋" w:eastAsia="仿宋" w:cs="仿宋"/>
          <w:sz w:val="28"/>
          <w:szCs w:val="28"/>
        </w:rPr>
      </w:pPr>
      <w:r>
        <w:rPr>
          <w:rFonts w:hint="eastAsia" w:ascii="仿宋" w:hAnsi="仿宋" w:eastAsia="仿宋" w:cs="仿宋"/>
          <w:sz w:val="28"/>
          <w:szCs w:val="28"/>
        </w:rPr>
        <w:t>一级指标分为四类：</w:t>
      </w:r>
    </w:p>
    <w:p w14:paraId="13A93871">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中央媒体传播指数，反映中央媒体的生态文明传播类报道情况，主要衡量新华社、中央电视台、《光明日报》全媒体、《人民日报》全媒体对重庆市39个地区的报道在数量、主题及传播速度上是否存在明显的差别；</w:t>
      </w:r>
      <w:r>
        <w:rPr>
          <w:rFonts w:hint="eastAsia" w:ascii="仿宋" w:hAnsi="仿宋" w:eastAsia="仿宋" w:cs="仿宋"/>
          <w:sz w:val="28"/>
          <w:szCs w:val="28"/>
          <w:lang w:val="en-US" w:eastAsia="zh-CN"/>
        </w:rPr>
        <w:t>市级</w:t>
      </w:r>
      <w:r>
        <w:rPr>
          <w:rFonts w:hint="eastAsia" w:ascii="仿宋" w:hAnsi="仿宋" w:eastAsia="仿宋" w:cs="仿宋"/>
          <w:sz w:val="28"/>
          <w:szCs w:val="28"/>
        </w:rPr>
        <w:t>媒体传播指数主要包括</w:t>
      </w:r>
      <w:r>
        <w:rPr>
          <w:rFonts w:hint="eastAsia" w:ascii="仿宋" w:hAnsi="仿宋" w:eastAsia="仿宋" w:cs="仿宋"/>
          <w:sz w:val="28"/>
          <w:szCs w:val="28"/>
          <w:lang w:eastAsia="zh-CN"/>
        </w:rPr>
        <w:t>：</w:t>
      </w:r>
      <w:r>
        <w:rPr>
          <w:rFonts w:hint="eastAsia" w:ascii="仿宋" w:hAnsi="仿宋" w:eastAsia="仿宋" w:cs="仿宋"/>
          <w:sz w:val="28"/>
          <w:szCs w:val="28"/>
        </w:rPr>
        <w:t>重庆日报、华龙网、上游新闻、七一网、视界网等重庆市级主流媒体</w:t>
      </w:r>
      <w:r>
        <w:rPr>
          <w:rFonts w:hint="eastAsia" w:ascii="仿宋" w:hAnsi="仿宋" w:eastAsia="仿宋" w:cs="仿宋"/>
          <w:sz w:val="28"/>
          <w:szCs w:val="28"/>
          <w:lang w:val="en-US" w:eastAsia="zh-CN"/>
        </w:rPr>
        <w:t>对</w:t>
      </w:r>
      <w:r>
        <w:rPr>
          <w:rFonts w:hint="eastAsia" w:ascii="仿宋" w:hAnsi="仿宋" w:eastAsia="仿宋" w:cs="仿宋"/>
          <w:sz w:val="28"/>
          <w:szCs w:val="28"/>
        </w:rPr>
        <w:t>生态文明传播类报道情况</w:t>
      </w:r>
      <w:r>
        <w:rPr>
          <w:rFonts w:hint="eastAsia" w:ascii="仿宋" w:hAnsi="仿宋" w:eastAsia="仿宋" w:cs="仿宋"/>
          <w:sz w:val="28"/>
          <w:szCs w:val="28"/>
          <w:lang w:eastAsia="zh-CN"/>
        </w:rPr>
        <w:t>；</w:t>
      </w:r>
      <w:r>
        <w:rPr>
          <w:rFonts w:hint="eastAsia" w:ascii="仿宋" w:hAnsi="仿宋" w:eastAsia="仿宋" w:cs="仿宋"/>
          <w:sz w:val="28"/>
          <w:szCs w:val="28"/>
        </w:rPr>
        <w:t>行业媒体传播指数，反映行业媒体的生态文明传播类报道情况，主要衡量中国环境报及美丽重庆全媒体对重庆市39个地区的报道在数量、主题及传播速度上是否存在明显的差别；区县媒体传播指数，反映区县媒体的生态文明传播类报道情况，主要衡量重庆市39个地区融媒体及生态环境类政务新媒体在生态文明传播类报道的数量、主题及传播速度上是否存在明显的差别；公众行为引导指数，反映线下宣传活动的举办情况，主要衡量重庆市39个地区生态环境局所举办线下宣传活动在数量、主题及举办时间上是否存在明显的差别。</w:t>
      </w:r>
    </w:p>
    <w:p w14:paraId="4676B758">
      <w:pPr>
        <w:spacing w:line="360" w:lineRule="auto"/>
        <w:rPr>
          <w:rFonts w:hint="eastAsia" w:ascii="仿宋" w:hAnsi="仿宋" w:eastAsia="仿宋" w:cs="仿宋"/>
          <w:sz w:val="28"/>
          <w:szCs w:val="28"/>
        </w:rPr>
      </w:pPr>
      <w:r>
        <w:rPr>
          <w:rFonts w:hint="eastAsia" w:ascii="仿宋" w:hAnsi="仿宋" w:eastAsia="仿宋" w:cs="仿宋"/>
          <w:sz w:val="28"/>
          <w:szCs w:val="28"/>
        </w:rPr>
        <w:t>二级指标分为三类：</w:t>
      </w:r>
    </w:p>
    <w:p w14:paraId="43ADEDBB">
      <w:pPr>
        <w:spacing w:line="360" w:lineRule="auto"/>
        <w:rPr>
          <w:rFonts w:hint="eastAsia" w:ascii="仿宋" w:hAnsi="仿宋" w:eastAsia="仿宋" w:cs="仿宋"/>
          <w:sz w:val="28"/>
          <w:szCs w:val="28"/>
        </w:rPr>
      </w:pPr>
      <w:r>
        <w:rPr>
          <w:rFonts w:hint="eastAsia" w:ascii="仿宋" w:hAnsi="仿宋" w:eastAsia="仿宋" w:cs="仿宋"/>
          <w:sz w:val="28"/>
          <w:szCs w:val="28"/>
        </w:rPr>
        <w:t>（1）报道数量/活动数量</w:t>
      </w:r>
    </w:p>
    <w:p w14:paraId="0721131A">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生态文明传播活动在线上线下一体化的"全域"空间中展开实践，线上媒体报道与线下宣传活动共同服务于传播目标的实现，报道与活动总量充分体现生态文明传播的整体规模。同时，媒体报道与宣传活动又承担着不同的功能：中央媒体报道主要面向全国用户传播重庆生态文明建设理念及成果，扩展生态文明宣传的广度；行业媒体报道主要面向业内人士及业余爱好者提供新锐观点及趣味内容，延展生态文明宣传的深度；区县媒体报道基于"近地性"展现本地用户关心的大事小情，结合本地实践开展生态文明建设系列报道，提升生态文明宣传的精度；区县线下宣传活动把握"六五环境日"等关键时间节点推出特色主题活动，将线上内容传播力在线下转化为对公众行为的引导力，强化生态文明宣传的力度。</w:t>
      </w:r>
    </w:p>
    <w:p w14:paraId="4358A373">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通过对四类报道及活动总量与分类别数量的统计，本指标能够从传播规模的角度较好地体现重庆市39个地区生态文明宣传的广度、深度、精度、力度，进一步引导区县"向上管理"和"向下负责"。</w:t>
      </w:r>
    </w:p>
    <w:p w14:paraId="7F2C3D6D">
      <w:pPr>
        <w:spacing w:line="360" w:lineRule="auto"/>
        <w:rPr>
          <w:rFonts w:hint="eastAsia" w:ascii="仿宋" w:hAnsi="仿宋" w:eastAsia="仿宋" w:cs="仿宋"/>
          <w:sz w:val="28"/>
          <w:szCs w:val="28"/>
        </w:rPr>
      </w:pPr>
      <w:r>
        <w:rPr>
          <w:rFonts w:hint="eastAsia" w:ascii="仿宋" w:hAnsi="仿宋" w:eastAsia="仿宋" w:cs="仿宋"/>
          <w:sz w:val="28"/>
          <w:szCs w:val="28"/>
        </w:rPr>
        <w:t>（2）报道主题丰富度/活动主题丰富度</w:t>
      </w:r>
    </w:p>
    <w:p w14:paraId="4188390E">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媒体报道内容及线下宣传活动应当与生态文明传播议题高度相关，避免偏题、离题、无关内容，应体现生态文明传播的中心思想、核心主题、热点话题，并具有针对性的建议与指导，以调动目标受众的适应性行动。为了更好地甄别报道及活动与相关主题之间的贴近性，有必要对生态文明传播议题进行归纳总结。</w:t>
      </w:r>
    </w:p>
    <w:p w14:paraId="4CAD5C51">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课题组结合《论坚持人与自然和谐共生》《习近平生态文明思想学习纲要》《习近平关于社会主义生态文明建设论述摘编》等重要学习材料以及中共中央、国务院印发的《关于加快推进生态文明建设的意见》等重要文件的梳理，提炼出多个生态文明传播主题关键词，经3位课题组成员及5位专家共同筛选和打分，得到提及次数最多且重要性排名靠前的16个关键词，如表3.1所示。</w:t>
      </w:r>
    </w:p>
    <w:tbl>
      <w:tblPr>
        <w:tblStyle w:val="48"/>
        <w:tblW w:w="0" w:type="auto"/>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084"/>
        <w:gridCol w:w="2235"/>
        <w:gridCol w:w="5321"/>
      </w:tblGrid>
      <w:tr w14:paraId="705E1365">
        <w:tc>
          <w:tcPr>
            <w:tcW w:w="1084" w:type="dxa"/>
          </w:tcPr>
          <w:p w14:paraId="4AFB877C">
            <w:pPr>
              <w:spacing w:after="0" w:line="360" w:lineRule="auto"/>
              <w:rPr>
                <w:rFonts w:hint="eastAsia" w:ascii="仿宋" w:hAnsi="仿宋" w:eastAsia="仿宋" w:cs="仿宋"/>
                <w:sz w:val="28"/>
                <w:szCs w:val="28"/>
              </w:rPr>
            </w:pPr>
            <w:r>
              <w:rPr>
                <w:rFonts w:hint="eastAsia" w:ascii="仿宋" w:hAnsi="仿宋" w:eastAsia="仿宋" w:cs="仿宋"/>
                <w:sz w:val="28"/>
                <w:szCs w:val="28"/>
              </w:rPr>
              <w:t>序号</w:t>
            </w:r>
          </w:p>
        </w:tc>
        <w:tc>
          <w:tcPr>
            <w:tcW w:w="2235" w:type="dxa"/>
          </w:tcPr>
          <w:p w14:paraId="5AFA9FB0">
            <w:pPr>
              <w:spacing w:after="0" w:line="360" w:lineRule="auto"/>
              <w:rPr>
                <w:rFonts w:hint="eastAsia" w:ascii="仿宋" w:hAnsi="仿宋" w:eastAsia="仿宋" w:cs="仿宋"/>
                <w:sz w:val="28"/>
                <w:szCs w:val="28"/>
              </w:rPr>
            </w:pPr>
            <w:r>
              <w:rPr>
                <w:rFonts w:hint="eastAsia" w:ascii="仿宋" w:hAnsi="仿宋" w:eastAsia="仿宋" w:cs="仿宋"/>
                <w:sz w:val="28"/>
                <w:szCs w:val="28"/>
              </w:rPr>
              <w:t>共词</w:t>
            </w:r>
          </w:p>
        </w:tc>
        <w:tc>
          <w:tcPr>
            <w:tcW w:w="5321" w:type="dxa"/>
          </w:tcPr>
          <w:p w14:paraId="76ECA9A4">
            <w:pPr>
              <w:spacing w:after="0" w:line="360" w:lineRule="auto"/>
              <w:rPr>
                <w:rFonts w:hint="eastAsia" w:ascii="仿宋" w:hAnsi="仿宋" w:eastAsia="仿宋" w:cs="仿宋"/>
                <w:sz w:val="28"/>
                <w:szCs w:val="28"/>
              </w:rPr>
            </w:pPr>
            <w:r>
              <w:rPr>
                <w:rFonts w:hint="eastAsia" w:ascii="仿宋" w:hAnsi="仿宋" w:eastAsia="仿宋" w:cs="仿宋"/>
                <w:sz w:val="28"/>
                <w:szCs w:val="28"/>
              </w:rPr>
              <w:t>近似称谓</w:t>
            </w:r>
          </w:p>
        </w:tc>
      </w:tr>
      <w:tr w14:paraId="4D79FEBA">
        <w:tc>
          <w:tcPr>
            <w:tcW w:w="1084" w:type="dxa"/>
          </w:tcPr>
          <w:p w14:paraId="431BEE1B">
            <w:pPr>
              <w:spacing w:after="0" w:line="360" w:lineRule="auto"/>
              <w:rPr>
                <w:rFonts w:hint="eastAsia" w:ascii="仿宋" w:hAnsi="仿宋" w:eastAsia="仿宋" w:cs="仿宋"/>
                <w:sz w:val="28"/>
                <w:szCs w:val="28"/>
              </w:rPr>
            </w:pPr>
            <w:r>
              <w:rPr>
                <w:rFonts w:hint="eastAsia" w:ascii="仿宋" w:hAnsi="仿宋" w:eastAsia="仿宋" w:cs="仿宋"/>
                <w:sz w:val="28"/>
                <w:szCs w:val="28"/>
              </w:rPr>
              <w:t>1</w:t>
            </w:r>
          </w:p>
        </w:tc>
        <w:tc>
          <w:tcPr>
            <w:tcW w:w="2235" w:type="dxa"/>
          </w:tcPr>
          <w:p w14:paraId="0700CE3D">
            <w:pPr>
              <w:spacing w:after="0" w:line="360" w:lineRule="auto"/>
              <w:rPr>
                <w:rFonts w:hint="eastAsia" w:ascii="仿宋" w:hAnsi="仿宋" w:eastAsia="仿宋" w:cs="仿宋"/>
                <w:sz w:val="28"/>
                <w:szCs w:val="28"/>
              </w:rPr>
            </w:pPr>
            <w:r>
              <w:rPr>
                <w:rFonts w:hint="eastAsia" w:ascii="仿宋" w:hAnsi="仿宋" w:eastAsia="仿宋" w:cs="仿宋"/>
                <w:sz w:val="28"/>
                <w:szCs w:val="28"/>
              </w:rPr>
              <w:t>美丽中国</w:t>
            </w:r>
          </w:p>
        </w:tc>
        <w:tc>
          <w:tcPr>
            <w:tcW w:w="5321" w:type="dxa"/>
          </w:tcPr>
          <w:p w14:paraId="73CF091A">
            <w:pPr>
              <w:spacing w:after="0" w:line="360" w:lineRule="auto"/>
              <w:rPr>
                <w:rFonts w:hint="eastAsia" w:ascii="仿宋" w:hAnsi="仿宋" w:eastAsia="仿宋" w:cs="仿宋"/>
                <w:sz w:val="28"/>
                <w:szCs w:val="28"/>
              </w:rPr>
            </w:pPr>
            <w:r>
              <w:rPr>
                <w:rFonts w:hint="eastAsia" w:ascii="仿宋" w:hAnsi="仿宋" w:eastAsia="仿宋" w:cs="仿宋"/>
                <w:sz w:val="28"/>
                <w:szCs w:val="28"/>
              </w:rPr>
              <w:t>美丽中国建设、生态宜居</w:t>
            </w:r>
          </w:p>
        </w:tc>
      </w:tr>
      <w:tr w14:paraId="0F5D67F8">
        <w:tc>
          <w:tcPr>
            <w:tcW w:w="1084" w:type="dxa"/>
          </w:tcPr>
          <w:p w14:paraId="5D4B8EE9">
            <w:pPr>
              <w:spacing w:after="0" w:line="360" w:lineRule="auto"/>
              <w:rPr>
                <w:rFonts w:hint="eastAsia" w:ascii="仿宋" w:hAnsi="仿宋" w:eastAsia="仿宋" w:cs="仿宋"/>
                <w:sz w:val="28"/>
                <w:szCs w:val="28"/>
              </w:rPr>
            </w:pPr>
            <w:r>
              <w:rPr>
                <w:rFonts w:hint="eastAsia" w:ascii="仿宋" w:hAnsi="仿宋" w:eastAsia="仿宋" w:cs="仿宋"/>
                <w:sz w:val="28"/>
                <w:szCs w:val="28"/>
              </w:rPr>
              <w:t>2</w:t>
            </w:r>
          </w:p>
        </w:tc>
        <w:tc>
          <w:tcPr>
            <w:tcW w:w="2235" w:type="dxa"/>
          </w:tcPr>
          <w:p w14:paraId="33607C88">
            <w:pPr>
              <w:spacing w:after="0" w:line="360" w:lineRule="auto"/>
              <w:rPr>
                <w:rFonts w:hint="eastAsia" w:ascii="仿宋" w:hAnsi="仿宋" w:eastAsia="仿宋" w:cs="仿宋"/>
                <w:sz w:val="28"/>
                <w:szCs w:val="28"/>
              </w:rPr>
            </w:pPr>
            <w:r>
              <w:rPr>
                <w:rFonts w:hint="eastAsia" w:ascii="仿宋" w:hAnsi="仿宋" w:eastAsia="仿宋" w:cs="仿宋"/>
                <w:sz w:val="28"/>
                <w:szCs w:val="28"/>
              </w:rPr>
              <w:t>综合治理</w:t>
            </w:r>
          </w:p>
        </w:tc>
        <w:tc>
          <w:tcPr>
            <w:tcW w:w="5321" w:type="dxa"/>
          </w:tcPr>
          <w:p w14:paraId="0CD03466">
            <w:pPr>
              <w:spacing w:after="0" w:line="360" w:lineRule="auto"/>
              <w:rPr>
                <w:rFonts w:hint="eastAsia" w:ascii="仿宋" w:hAnsi="仿宋" w:eastAsia="仿宋" w:cs="仿宋"/>
                <w:sz w:val="28"/>
                <w:szCs w:val="28"/>
              </w:rPr>
            </w:pPr>
            <w:r>
              <w:rPr>
                <w:rFonts w:hint="eastAsia" w:ascii="仿宋" w:hAnsi="仿宋" w:eastAsia="仿宋" w:cs="仿宋"/>
                <w:sz w:val="28"/>
                <w:szCs w:val="28"/>
              </w:rPr>
              <w:t>生态保护、生态修复、生态环境综合治理、系统治理、环境治理</w:t>
            </w:r>
          </w:p>
        </w:tc>
      </w:tr>
      <w:tr w14:paraId="6EEEC443">
        <w:tc>
          <w:tcPr>
            <w:tcW w:w="1084" w:type="dxa"/>
          </w:tcPr>
          <w:p w14:paraId="31E7EB0A">
            <w:pPr>
              <w:spacing w:after="0" w:line="360" w:lineRule="auto"/>
              <w:rPr>
                <w:rFonts w:hint="eastAsia" w:ascii="仿宋" w:hAnsi="仿宋" w:eastAsia="仿宋" w:cs="仿宋"/>
                <w:sz w:val="28"/>
                <w:szCs w:val="28"/>
              </w:rPr>
            </w:pPr>
            <w:r>
              <w:rPr>
                <w:rFonts w:hint="eastAsia" w:ascii="仿宋" w:hAnsi="仿宋" w:eastAsia="仿宋" w:cs="仿宋"/>
                <w:sz w:val="28"/>
                <w:szCs w:val="28"/>
              </w:rPr>
              <w:t>3</w:t>
            </w:r>
          </w:p>
        </w:tc>
        <w:tc>
          <w:tcPr>
            <w:tcW w:w="2235" w:type="dxa"/>
          </w:tcPr>
          <w:p w14:paraId="6B3E8BC6">
            <w:pPr>
              <w:spacing w:after="0" w:line="360" w:lineRule="auto"/>
              <w:rPr>
                <w:rFonts w:hint="eastAsia" w:ascii="仿宋" w:hAnsi="仿宋" w:eastAsia="仿宋" w:cs="仿宋"/>
                <w:sz w:val="28"/>
                <w:szCs w:val="28"/>
              </w:rPr>
            </w:pPr>
            <w:r>
              <w:rPr>
                <w:rFonts w:hint="eastAsia" w:ascii="仿宋" w:hAnsi="仿宋" w:eastAsia="仿宋" w:cs="仿宋"/>
                <w:sz w:val="28"/>
                <w:szCs w:val="28"/>
              </w:rPr>
              <w:t>绿色发展</w:t>
            </w:r>
          </w:p>
        </w:tc>
        <w:tc>
          <w:tcPr>
            <w:tcW w:w="5321" w:type="dxa"/>
          </w:tcPr>
          <w:p w14:paraId="563024A2">
            <w:pPr>
              <w:spacing w:after="0" w:line="360" w:lineRule="auto"/>
              <w:rPr>
                <w:rFonts w:hint="eastAsia" w:ascii="仿宋" w:hAnsi="仿宋" w:eastAsia="仿宋" w:cs="仿宋"/>
                <w:sz w:val="28"/>
                <w:szCs w:val="28"/>
              </w:rPr>
            </w:pPr>
            <w:r>
              <w:rPr>
                <w:rFonts w:hint="eastAsia" w:ascii="仿宋" w:hAnsi="仿宋" w:eastAsia="仿宋" w:cs="仿宋"/>
                <w:sz w:val="28"/>
                <w:szCs w:val="28"/>
              </w:rPr>
              <w:t>绿色低碳、低碳发展、绿色转型、零碳蓝碳</w:t>
            </w:r>
          </w:p>
        </w:tc>
      </w:tr>
      <w:tr w14:paraId="1180243E">
        <w:tc>
          <w:tcPr>
            <w:tcW w:w="1084" w:type="dxa"/>
          </w:tcPr>
          <w:p w14:paraId="350C3757">
            <w:pPr>
              <w:spacing w:after="0" w:line="360" w:lineRule="auto"/>
              <w:rPr>
                <w:rFonts w:hint="eastAsia" w:ascii="仿宋" w:hAnsi="仿宋" w:eastAsia="仿宋" w:cs="仿宋"/>
                <w:sz w:val="28"/>
                <w:szCs w:val="28"/>
              </w:rPr>
            </w:pPr>
            <w:r>
              <w:rPr>
                <w:rFonts w:hint="eastAsia" w:ascii="仿宋" w:hAnsi="仿宋" w:eastAsia="仿宋" w:cs="仿宋"/>
                <w:sz w:val="28"/>
                <w:szCs w:val="28"/>
              </w:rPr>
              <w:t>4</w:t>
            </w:r>
          </w:p>
        </w:tc>
        <w:tc>
          <w:tcPr>
            <w:tcW w:w="2235" w:type="dxa"/>
          </w:tcPr>
          <w:p w14:paraId="384364B7">
            <w:pPr>
              <w:spacing w:after="0" w:line="360" w:lineRule="auto"/>
              <w:rPr>
                <w:rFonts w:hint="eastAsia" w:ascii="仿宋" w:hAnsi="仿宋" w:eastAsia="仿宋" w:cs="仿宋"/>
                <w:sz w:val="28"/>
                <w:szCs w:val="28"/>
              </w:rPr>
            </w:pPr>
            <w:r>
              <w:rPr>
                <w:rFonts w:hint="eastAsia" w:ascii="仿宋" w:hAnsi="仿宋" w:eastAsia="仿宋" w:cs="仿宋"/>
                <w:sz w:val="28"/>
                <w:szCs w:val="28"/>
              </w:rPr>
              <w:t>双碳</w:t>
            </w:r>
          </w:p>
        </w:tc>
        <w:tc>
          <w:tcPr>
            <w:tcW w:w="5321" w:type="dxa"/>
          </w:tcPr>
          <w:p w14:paraId="5EC69091">
            <w:pPr>
              <w:spacing w:after="0" w:line="360" w:lineRule="auto"/>
              <w:rPr>
                <w:rFonts w:hint="eastAsia" w:ascii="仿宋" w:hAnsi="仿宋" w:eastAsia="仿宋" w:cs="仿宋"/>
                <w:sz w:val="28"/>
                <w:szCs w:val="28"/>
              </w:rPr>
            </w:pPr>
            <w:r>
              <w:rPr>
                <w:rFonts w:hint="eastAsia" w:ascii="仿宋" w:hAnsi="仿宋" w:eastAsia="仿宋" w:cs="仿宋"/>
                <w:sz w:val="28"/>
                <w:szCs w:val="28"/>
              </w:rPr>
              <w:t>碳达峰碳中和、降污减碳、碳交易</w:t>
            </w:r>
          </w:p>
        </w:tc>
      </w:tr>
      <w:tr w14:paraId="1E06CB6A">
        <w:tc>
          <w:tcPr>
            <w:tcW w:w="1084" w:type="dxa"/>
          </w:tcPr>
          <w:p w14:paraId="5900EB9E">
            <w:pPr>
              <w:spacing w:after="0" w:line="360" w:lineRule="auto"/>
              <w:rPr>
                <w:rFonts w:hint="eastAsia" w:ascii="仿宋" w:hAnsi="仿宋" w:eastAsia="仿宋" w:cs="仿宋"/>
                <w:sz w:val="28"/>
                <w:szCs w:val="28"/>
              </w:rPr>
            </w:pPr>
            <w:r>
              <w:rPr>
                <w:rFonts w:hint="eastAsia" w:ascii="仿宋" w:hAnsi="仿宋" w:eastAsia="仿宋" w:cs="仿宋"/>
                <w:sz w:val="28"/>
                <w:szCs w:val="28"/>
              </w:rPr>
              <w:t>5</w:t>
            </w:r>
          </w:p>
        </w:tc>
        <w:tc>
          <w:tcPr>
            <w:tcW w:w="2235" w:type="dxa"/>
          </w:tcPr>
          <w:p w14:paraId="29BA8599">
            <w:pPr>
              <w:spacing w:after="0" w:line="360" w:lineRule="auto"/>
              <w:rPr>
                <w:rFonts w:hint="eastAsia" w:ascii="仿宋" w:hAnsi="仿宋" w:eastAsia="仿宋" w:cs="仿宋"/>
                <w:sz w:val="28"/>
                <w:szCs w:val="28"/>
              </w:rPr>
            </w:pPr>
            <w:r>
              <w:rPr>
                <w:rFonts w:hint="eastAsia" w:ascii="仿宋" w:hAnsi="仿宋" w:eastAsia="仿宋" w:cs="仿宋"/>
                <w:sz w:val="28"/>
                <w:szCs w:val="28"/>
              </w:rPr>
              <w:t>和谐共生</w:t>
            </w:r>
          </w:p>
        </w:tc>
        <w:tc>
          <w:tcPr>
            <w:tcW w:w="5321" w:type="dxa"/>
          </w:tcPr>
          <w:p w14:paraId="10CD115D">
            <w:pPr>
              <w:spacing w:after="0" w:line="360" w:lineRule="auto"/>
              <w:rPr>
                <w:rFonts w:hint="eastAsia" w:ascii="仿宋" w:hAnsi="仿宋" w:eastAsia="仿宋" w:cs="仿宋"/>
                <w:sz w:val="28"/>
                <w:szCs w:val="28"/>
              </w:rPr>
            </w:pPr>
            <w:r>
              <w:rPr>
                <w:rFonts w:hint="eastAsia" w:ascii="仿宋" w:hAnsi="仿宋" w:eastAsia="仿宋" w:cs="仿宋"/>
                <w:sz w:val="28"/>
                <w:szCs w:val="28"/>
              </w:rPr>
              <w:t>地球生命共同体、绿色丝绸之路</w:t>
            </w:r>
          </w:p>
        </w:tc>
      </w:tr>
      <w:tr w14:paraId="340F4EF8">
        <w:tc>
          <w:tcPr>
            <w:tcW w:w="1084" w:type="dxa"/>
          </w:tcPr>
          <w:p w14:paraId="63733027">
            <w:pPr>
              <w:spacing w:after="0" w:line="360" w:lineRule="auto"/>
              <w:rPr>
                <w:rFonts w:hint="eastAsia" w:ascii="仿宋" w:hAnsi="仿宋" w:eastAsia="仿宋" w:cs="仿宋"/>
                <w:sz w:val="28"/>
                <w:szCs w:val="28"/>
              </w:rPr>
            </w:pPr>
            <w:r>
              <w:rPr>
                <w:rFonts w:hint="eastAsia" w:ascii="仿宋" w:hAnsi="仿宋" w:eastAsia="仿宋" w:cs="仿宋"/>
                <w:sz w:val="28"/>
                <w:szCs w:val="28"/>
              </w:rPr>
              <w:t>6</w:t>
            </w:r>
          </w:p>
        </w:tc>
        <w:tc>
          <w:tcPr>
            <w:tcW w:w="2235" w:type="dxa"/>
          </w:tcPr>
          <w:p w14:paraId="19FB8F7C">
            <w:pPr>
              <w:spacing w:after="0" w:line="360" w:lineRule="auto"/>
              <w:rPr>
                <w:rFonts w:hint="eastAsia" w:ascii="仿宋" w:hAnsi="仿宋" w:eastAsia="仿宋" w:cs="仿宋"/>
                <w:sz w:val="28"/>
                <w:szCs w:val="28"/>
              </w:rPr>
            </w:pPr>
            <w:r>
              <w:rPr>
                <w:rFonts w:hint="eastAsia" w:ascii="仿宋" w:hAnsi="仿宋" w:eastAsia="仿宋" w:cs="仿宋"/>
                <w:sz w:val="28"/>
                <w:szCs w:val="28"/>
              </w:rPr>
              <w:t>长江生态</w:t>
            </w:r>
          </w:p>
        </w:tc>
        <w:tc>
          <w:tcPr>
            <w:tcW w:w="5321" w:type="dxa"/>
          </w:tcPr>
          <w:p w14:paraId="19CEB777">
            <w:pPr>
              <w:spacing w:after="0" w:line="360" w:lineRule="auto"/>
              <w:rPr>
                <w:rFonts w:hint="eastAsia" w:ascii="仿宋" w:hAnsi="仿宋" w:eastAsia="仿宋" w:cs="仿宋"/>
                <w:sz w:val="28"/>
                <w:szCs w:val="28"/>
              </w:rPr>
            </w:pPr>
            <w:r>
              <w:rPr>
                <w:rFonts w:hint="eastAsia" w:ascii="仿宋" w:hAnsi="仿宋" w:eastAsia="仿宋" w:cs="仿宋"/>
                <w:sz w:val="28"/>
                <w:szCs w:val="28"/>
              </w:rPr>
              <w:t>长江经济带生态保护、长江经济带、长江大保护、长江共抓大保护</w:t>
            </w:r>
          </w:p>
        </w:tc>
      </w:tr>
      <w:tr w14:paraId="5A2EEAA4">
        <w:tc>
          <w:tcPr>
            <w:tcW w:w="1084" w:type="dxa"/>
          </w:tcPr>
          <w:p w14:paraId="10B72538">
            <w:pPr>
              <w:spacing w:after="0" w:line="360" w:lineRule="auto"/>
              <w:rPr>
                <w:rFonts w:hint="eastAsia" w:ascii="仿宋" w:hAnsi="仿宋" w:eastAsia="仿宋" w:cs="仿宋"/>
                <w:sz w:val="28"/>
                <w:szCs w:val="28"/>
              </w:rPr>
            </w:pPr>
            <w:r>
              <w:rPr>
                <w:rFonts w:hint="eastAsia" w:ascii="仿宋" w:hAnsi="仿宋" w:eastAsia="仿宋" w:cs="仿宋"/>
                <w:sz w:val="28"/>
                <w:szCs w:val="28"/>
              </w:rPr>
              <w:t>7</w:t>
            </w:r>
          </w:p>
        </w:tc>
        <w:tc>
          <w:tcPr>
            <w:tcW w:w="2235" w:type="dxa"/>
          </w:tcPr>
          <w:p w14:paraId="3EA2A958">
            <w:pPr>
              <w:spacing w:after="0" w:line="360" w:lineRule="auto"/>
              <w:rPr>
                <w:rFonts w:hint="eastAsia" w:ascii="仿宋" w:hAnsi="仿宋" w:eastAsia="仿宋" w:cs="仿宋"/>
                <w:sz w:val="28"/>
                <w:szCs w:val="28"/>
              </w:rPr>
            </w:pPr>
            <w:r>
              <w:rPr>
                <w:rFonts w:hint="eastAsia" w:ascii="仿宋" w:hAnsi="仿宋" w:eastAsia="仿宋" w:cs="仿宋"/>
                <w:sz w:val="28"/>
                <w:szCs w:val="28"/>
              </w:rPr>
              <w:t>绿水青山</w:t>
            </w:r>
          </w:p>
        </w:tc>
        <w:tc>
          <w:tcPr>
            <w:tcW w:w="5321" w:type="dxa"/>
          </w:tcPr>
          <w:p w14:paraId="108B3D5A">
            <w:pPr>
              <w:spacing w:after="0" w:line="360" w:lineRule="auto"/>
              <w:rPr>
                <w:rFonts w:hint="eastAsia" w:ascii="仿宋" w:hAnsi="仿宋" w:eastAsia="仿宋" w:cs="仿宋"/>
                <w:sz w:val="28"/>
                <w:szCs w:val="28"/>
              </w:rPr>
            </w:pPr>
            <w:r>
              <w:rPr>
                <w:rFonts w:hint="eastAsia" w:ascii="仿宋" w:hAnsi="仿宋" w:eastAsia="仿宋" w:cs="仿宋"/>
                <w:sz w:val="28"/>
                <w:szCs w:val="28"/>
              </w:rPr>
              <w:t>绿水青山就是金山银山、两山</w:t>
            </w:r>
          </w:p>
        </w:tc>
      </w:tr>
      <w:tr w14:paraId="30EF26DF">
        <w:tc>
          <w:tcPr>
            <w:tcW w:w="1084" w:type="dxa"/>
          </w:tcPr>
          <w:p w14:paraId="689D33D5">
            <w:pPr>
              <w:spacing w:after="0" w:line="360" w:lineRule="auto"/>
              <w:rPr>
                <w:rFonts w:hint="eastAsia" w:ascii="仿宋" w:hAnsi="仿宋" w:eastAsia="仿宋" w:cs="仿宋"/>
                <w:sz w:val="28"/>
                <w:szCs w:val="28"/>
              </w:rPr>
            </w:pPr>
            <w:r>
              <w:rPr>
                <w:rFonts w:hint="eastAsia" w:ascii="仿宋" w:hAnsi="仿宋" w:eastAsia="仿宋" w:cs="仿宋"/>
                <w:sz w:val="28"/>
                <w:szCs w:val="28"/>
              </w:rPr>
              <w:t>8</w:t>
            </w:r>
          </w:p>
        </w:tc>
        <w:tc>
          <w:tcPr>
            <w:tcW w:w="2235" w:type="dxa"/>
          </w:tcPr>
          <w:p w14:paraId="584B34ED">
            <w:pPr>
              <w:spacing w:after="0" w:line="360" w:lineRule="auto"/>
              <w:rPr>
                <w:rFonts w:hint="eastAsia" w:ascii="仿宋" w:hAnsi="仿宋" w:eastAsia="仿宋" w:cs="仿宋"/>
                <w:sz w:val="28"/>
                <w:szCs w:val="28"/>
              </w:rPr>
            </w:pPr>
            <w:r>
              <w:rPr>
                <w:rFonts w:hint="eastAsia" w:ascii="仿宋" w:hAnsi="仿宋" w:eastAsia="仿宋" w:cs="仿宋"/>
                <w:sz w:val="28"/>
                <w:szCs w:val="28"/>
              </w:rPr>
              <w:t>制度建设</w:t>
            </w:r>
          </w:p>
        </w:tc>
        <w:tc>
          <w:tcPr>
            <w:tcW w:w="5321" w:type="dxa"/>
          </w:tcPr>
          <w:p w14:paraId="0A50384A">
            <w:pPr>
              <w:spacing w:after="0" w:line="360" w:lineRule="auto"/>
              <w:rPr>
                <w:rFonts w:hint="eastAsia" w:ascii="仿宋" w:hAnsi="仿宋" w:eastAsia="仿宋" w:cs="仿宋"/>
                <w:sz w:val="28"/>
                <w:szCs w:val="28"/>
              </w:rPr>
            </w:pPr>
            <w:r>
              <w:rPr>
                <w:rFonts w:hint="eastAsia" w:ascii="仿宋" w:hAnsi="仿宋" w:eastAsia="仿宋" w:cs="仿宋"/>
                <w:sz w:val="28"/>
                <w:szCs w:val="28"/>
              </w:rPr>
              <w:t>生态文明制度、生态文明建设、生态文明体制改革</w:t>
            </w:r>
          </w:p>
        </w:tc>
      </w:tr>
      <w:tr w14:paraId="63B7F756">
        <w:tc>
          <w:tcPr>
            <w:tcW w:w="1084" w:type="dxa"/>
          </w:tcPr>
          <w:p w14:paraId="5875233F">
            <w:pPr>
              <w:spacing w:after="0" w:line="360" w:lineRule="auto"/>
              <w:rPr>
                <w:rFonts w:hint="eastAsia" w:ascii="仿宋" w:hAnsi="仿宋" w:eastAsia="仿宋" w:cs="仿宋"/>
                <w:sz w:val="28"/>
                <w:szCs w:val="28"/>
              </w:rPr>
            </w:pPr>
            <w:r>
              <w:rPr>
                <w:rFonts w:hint="eastAsia" w:ascii="仿宋" w:hAnsi="仿宋" w:eastAsia="仿宋" w:cs="仿宋"/>
                <w:sz w:val="28"/>
                <w:szCs w:val="28"/>
              </w:rPr>
              <w:t>9</w:t>
            </w:r>
          </w:p>
        </w:tc>
        <w:tc>
          <w:tcPr>
            <w:tcW w:w="2235" w:type="dxa"/>
          </w:tcPr>
          <w:p w14:paraId="5EFA6840">
            <w:pPr>
              <w:spacing w:after="0" w:line="360" w:lineRule="auto"/>
              <w:rPr>
                <w:rFonts w:hint="eastAsia" w:ascii="仿宋" w:hAnsi="仿宋" w:eastAsia="仿宋" w:cs="仿宋"/>
                <w:sz w:val="28"/>
                <w:szCs w:val="28"/>
              </w:rPr>
            </w:pPr>
            <w:r>
              <w:rPr>
                <w:rFonts w:hint="eastAsia" w:ascii="仿宋" w:hAnsi="仿宋" w:eastAsia="仿宋" w:cs="仿宋"/>
                <w:sz w:val="28"/>
                <w:szCs w:val="28"/>
              </w:rPr>
              <w:t>资源节约</w:t>
            </w:r>
          </w:p>
        </w:tc>
        <w:tc>
          <w:tcPr>
            <w:tcW w:w="5321" w:type="dxa"/>
          </w:tcPr>
          <w:p w14:paraId="515A48B8">
            <w:pPr>
              <w:spacing w:after="0" w:line="360" w:lineRule="auto"/>
              <w:rPr>
                <w:rFonts w:hint="eastAsia" w:ascii="仿宋" w:hAnsi="仿宋" w:eastAsia="仿宋" w:cs="仿宋"/>
                <w:sz w:val="28"/>
                <w:szCs w:val="28"/>
              </w:rPr>
            </w:pPr>
            <w:r>
              <w:rPr>
                <w:rFonts w:hint="eastAsia" w:ascii="仿宋" w:hAnsi="仿宋" w:eastAsia="仿宋" w:cs="仿宋"/>
                <w:sz w:val="28"/>
                <w:szCs w:val="28"/>
              </w:rPr>
              <w:t>资源节约集约利用、资源可循环</w:t>
            </w:r>
          </w:p>
        </w:tc>
      </w:tr>
      <w:tr w14:paraId="5D60386E">
        <w:tc>
          <w:tcPr>
            <w:tcW w:w="1084" w:type="dxa"/>
          </w:tcPr>
          <w:p w14:paraId="05DD804D">
            <w:pPr>
              <w:spacing w:after="0" w:line="360" w:lineRule="auto"/>
              <w:rPr>
                <w:rFonts w:hint="eastAsia" w:ascii="仿宋" w:hAnsi="仿宋" w:eastAsia="仿宋" w:cs="仿宋"/>
                <w:sz w:val="28"/>
                <w:szCs w:val="28"/>
              </w:rPr>
            </w:pPr>
            <w:r>
              <w:rPr>
                <w:rFonts w:hint="eastAsia" w:ascii="仿宋" w:hAnsi="仿宋" w:eastAsia="仿宋" w:cs="仿宋"/>
                <w:sz w:val="28"/>
                <w:szCs w:val="28"/>
              </w:rPr>
              <w:t>10</w:t>
            </w:r>
          </w:p>
        </w:tc>
        <w:tc>
          <w:tcPr>
            <w:tcW w:w="2235" w:type="dxa"/>
          </w:tcPr>
          <w:p w14:paraId="1DDF4EA7">
            <w:pPr>
              <w:spacing w:after="0" w:line="360" w:lineRule="auto"/>
              <w:rPr>
                <w:rFonts w:hint="eastAsia" w:ascii="仿宋" w:hAnsi="仿宋" w:eastAsia="仿宋" w:cs="仿宋"/>
                <w:sz w:val="28"/>
                <w:szCs w:val="28"/>
              </w:rPr>
            </w:pPr>
            <w:r>
              <w:rPr>
                <w:rFonts w:hint="eastAsia" w:ascii="仿宋" w:hAnsi="仿宋" w:eastAsia="仿宋" w:cs="仿宋"/>
                <w:sz w:val="28"/>
                <w:szCs w:val="28"/>
              </w:rPr>
              <w:t>污染防治攻坚战</w:t>
            </w:r>
          </w:p>
        </w:tc>
        <w:tc>
          <w:tcPr>
            <w:tcW w:w="5321" w:type="dxa"/>
          </w:tcPr>
          <w:p w14:paraId="02E56EDE">
            <w:pPr>
              <w:spacing w:after="0" w:line="360" w:lineRule="auto"/>
              <w:rPr>
                <w:rFonts w:hint="eastAsia" w:ascii="仿宋" w:hAnsi="仿宋" w:eastAsia="仿宋" w:cs="仿宋"/>
                <w:sz w:val="28"/>
                <w:szCs w:val="28"/>
              </w:rPr>
            </w:pPr>
            <w:r>
              <w:rPr>
                <w:rFonts w:hint="eastAsia" w:ascii="仿宋" w:hAnsi="仿宋" w:eastAsia="仿宋" w:cs="仿宋"/>
                <w:sz w:val="28"/>
                <w:szCs w:val="28"/>
              </w:rPr>
              <w:t>蓝天、碧水、净土保卫战</w:t>
            </w:r>
          </w:p>
        </w:tc>
      </w:tr>
      <w:tr w14:paraId="4477E36D">
        <w:tc>
          <w:tcPr>
            <w:tcW w:w="1084" w:type="dxa"/>
          </w:tcPr>
          <w:p w14:paraId="1B38A914">
            <w:pPr>
              <w:spacing w:after="0" w:line="360" w:lineRule="auto"/>
              <w:rPr>
                <w:rFonts w:hint="eastAsia" w:ascii="仿宋" w:hAnsi="仿宋" w:eastAsia="仿宋" w:cs="仿宋"/>
                <w:sz w:val="28"/>
                <w:szCs w:val="28"/>
              </w:rPr>
            </w:pPr>
            <w:r>
              <w:rPr>
                <w:rFonts w:hint="eastAsia" w:ascii="仿宋" w:hAnsi="仿宋" w:eastAsia="仿宋" w:cs="仿宋"/>
                <w:sz w:val="28"/>
                <w:szCs w:val="28"/>
              </w:rPr>
              <w:t>11</w:t>
            </w:r>
          </w:p>
        </w:tc>
        <w:tc>
          <w:tcPr>
            <w:tcW w:w="2235" w:type="dxa"/>
          </w:tcPr>
          <w:p w14:paraId="55B3F670">
            <w:pPr>
              <w:spacing w:after="0" w:line="360" w:lineRule="auto"/>
              <w:rPr>
                <w:rFonts w:hint="eastAsia" w:ascii="仿宋" w:hAnsi="仿宋" w:eastAsia="仿宋" w:cs="仿宋"/>
                <w:sz w:val="28"/>
                <w:szCs w:val="28"/>
              </w:rPr>
            </w:pPr>
            <w:r>
              <w:rPr>
                <w:rFonts w:hint="eastAsia" w:ascii="仿宋" w:hAnsi="仿宋" w:eastAsia="仿宋" w:cs="仿宋"/>
                <w:sz w:val="28"/>
                <w:szCs w:val="28"/>
              </w:rPr>
              <w:t>清洁能源</w:t>
            </w:r>
          </w:p>
        </w:tc>
        <w:tc>
          <w:tcPr>
            <w:tcW w:w="5321" w:type="dxa"/>
          </w:tcPr>
          <w:p w14:paraId="0DE46995">
            <w:pPr>
              <w:spacing w:after="0" w:line="360" w:lineRule="auto"/>
              <w:rPr>
                <w:rFonts w:hint="eastAsia" w:ascii="仿宋" w:hAnsi="仿宋" w:eastAsia="仿宋" w:cs="仿宋"/>
                <w:sz w:val="28"/>
                <w:szCs w:val="28"/>
              </w:rPr>
            </w:pPr>
            <w:r>
              <w:rPr>
                <w:rFonts w:hint="eastAsia" w:ascii="仿宋" w:hAnsi="仿宋" w:eastAsia="仿宋" w:cs="仿宋"/>
                <w:sz w:val="28"/>
                <w:szCs w:val="28"/>
              </w:rPr>
              <w:t>能源消费革命、新型能源体系、"无废城市"</w:t>
            </w:r>
          </w:p>
        </w:tc>
      </w:tr>
      <w:tr w14:paraId="41BAB298">
        <w:tc>
          <w:tcPr>
            <w:tcW w:w="1084" w:type="dxa"/>
          </w:tcPr>
          <w:p w14:paraId="62697FFE">
            <w:pPr>
              <w:spacing w:after="0" w:line="360" w:lineRule="auto"/>
              <w:rPr>
                <w:rFonts w:hint="eastAsia" w:ascii="仿宋" w:hAnsi="仿宋" w:eastAsia="仿宋" w:cs="仿宋"/>
                <w:sz w:val="28"/>
                <w:szCs w:val="28"/>
              </w:rPr>
            </w:pPr>
            <w:r>
              <w:rPr>
                <w:rFonts w:hint="eastAsia" w:ascii="仿宋" w:hAnsi="仿宋" w:eastAsia="仿宋" w:cs="仿宋"/>
                <w:sz w:val="28"/>
                <w:szCs w:val="28"/>
              </w:rPr>
              <w:t>12</w:t>
            </w:r>
          </w:p>
        </w:tc>
        <w:tc>
          <w:tcPr>
            <w:tcW w:w="2235" w:type="dxa"/>
          </w:tcPr>
          <w:p w14:paraId="4A1733FE">
            <w:pPr>
              <w:spacing w:after="0" w:line="360" w:lineRule="auto"/>
              <w:rPr>
                <w:rFonts w:hint="eastAsia" w:ascii="仿宋" w:hAnsi="仿宋" w:eastAsia="仿宋" w:cs="仿宋"/>
                <w:sz w:val="28"/>
                <w:szCs w:val="28"/>
              </w:rPr>
            </w:pPr>
            <w:r>
              <w:rPr>
                <w:rFonts w:hint="eastAsia" w:ascii="仿宋" w:hAnsi="仿宋" w:eastAsia="仿宋" w:cs="仿宋"/>
                <w:sz w:val="28"/>
                <w:szCs w:val="28"/>
              </w:rPr>
              <w:t>国家公园</w:t>
            </w:r>
          </w:p>
        </w:tc>
        <w:tc>
          <w:tcPr>
            <w:tcW w:w="5321" w:type="dxa"/>
          </w:tcPr>
          <w:p w14:paraId="59F8EC4E">
            <w:pPr>
              <w:spacing w:after="0" w:line="360" w:lineRule="auto"/>
              <w:rPr>
                <w:rFonts w:hint="eastAsia" w:ascii="仿宋" w:hAnsi="仿宋" w:eastAsia="仿宋" w:cs="仿宋"/>
                <w:sz w:val="28"/>
                <w:szCs w:val="28"/>
              </w:rPr>
            </w:pPr>
            <w:r>
              <w:rPr>
                <w:rFonts w:hint="eastAsia" w:ascii="仿宋" w:hAnsi="仿宋" w:eastAsia="仿宋" w:cs="仿宋"/>
                <w:sz w:val="28"/>
                <w:szCs w:val="28"/>
              </w:rPr>
              <w:t>国家森林公园</w:t>
            </w:r>
          </w:p>
        </w:tc>
      </w:tr>
      <w:tr w14:paraId="54887B7E">
        <w:tc>
          <w:tcPr>
            <w:tcW w:w="1084" w:type="dxa"/>
          </w:tcPr>
          <w:p w14:paraId="493355A5">
            <w:pPr>
              <w:spacing w:after="0" w:line="360" w:lineRule="auto"/>
              <w:rPr>
                <w:rFonts w:hint="eastAsia" w:ascii="仿宋" w:hAnsi="仿宋" w:eastAsia="仿宋" w:cs="仿宋"/>
                <w:sz w:val="28"/>
                <w:szCs w:val="28"/>
              </w:rPr>
            </w:pPr>
            <w:r>
              <w:rPr>
                <w:rFonts w:hint="eastAsia" w:ascii="仿宋" w:hAnsi="仿宋" w:eastAsia="仿宋" w:cs="仿宋"/>
                <w:sz w:val="28"/>
                <w:szCs w:val="28"/>
              </w:rPr>
              <w:t>13</w:t>
            </w:r>
          </w:p>
        </w:tc>
        <w:tc>
          <w:tcPr>
            <w:tcW w:w="2235" w:type="dxa"/>
          </w:tcPr>
          <w:p w14:paraId="520142BB">
            <w:pPr>
              <w:spacing w:after="0" w:line="360" w:lineRule="auto"/>
              <w:rPr>
                <w:rFonts w:hint="eastAsia" w:ascii="仿宋" w:hAnsi="仿宋" w:eastAsia="仿宋" w:cs="仿宋"/>
                <w:sz w:val="28"/>
                <w:szCs w:val="28"/>
              </w:rPr>
            </w:pPr>
            <w:r>
              <w:rPr>
                <w:rFonts w:hint="eastAsia" w:ascii="仿宋" w:hAnsi="仿宋" w:eastAsia="仿宋" w:cs="仿宋"/>
                <w:sz w:val="28"/>
                <w:szCs w:val="28"/>
              </w:rPr>
              <w:t>环保督察</w:t>
            </w:r>
          </w:p>
        </w:tc>
        <w:tc>
          <w:tcPr>
            <w:tcW w:w="5321" w:type="dxa"/>
          </w:tcPr>
          <w:p w14:paraId="1BE31735">
            <w:pPr>
              <w:spacing w:after="0" w:line="360" w:lineRule="auto"/>
              <w:rPr>
                <w:rFonts w:hint="eastAsia" w:ascii="仿宋" w:hAnsi="仿宋" w:eastAsia="仿宋" w:cs="仿宋"/>
                <w:sz w:val="28"/>
                <w:szCs w:val="28"/>
              </w:rPr>
            </w:pPr>
            <w:r>
              <w:rPr>
                <w:rFonts w:hint="eastAsia" w:ascii="仿宋" w:hAnsi="仿宋" w:eastAsia="仿宋" w:cs="仿宋"/>
                <w:sz w:val="28"/>
                <w:szCs w:val="28"/>
              </w:rPr>
              <w:t>中央生态环境保护督察</w:t>
            </w:r>
          </w:p>
        </w:tc>
      </w:tr>
      <w:tr w14:paraId="649D4E6C">
        <w:tc>
          <w:tcPr>
            <w:tcW w:w="1084" w:type="dxa"/>
          </w:tcPr>
          <w:p w14:paraId="76FAA1E1">
            <w:pPr>
              <w:spacing w:after="0" w:line="360" w:lineRule="auto"/>
              <w:rPr>
                <w:rFonts w:hint="eastAsia" w:ascii="仿宋" w:hAnsi="仿宋" w:eastAsia="仿宋" w:cs="仿宋"/>
                <w:sz w:val="28"/>
                <w:szCs w:val="28"/>
              </w:rPr>
            </w:pPr>
            <w:r>
              <w:rPr>
                <w:rFonts w:hint="eastAsia" w:ascii="仿宋" w:hAnsi="仿宋" w:eastAsia="仿宋" w:cs="仿宋"/>
                <w:sz w:val="28"/>
                <w:szCs w:val="28"/>
              </w:rPr>
              <w:t>14</w:t>
            </w:r>
          </w:p>
        </w:tc>
        <w:tc>
          <w:tcPr>
            <w:tcW w:w="2235" w:type="dxa"/>
          </w:tcPr>
          <w:p w14:paraId="12676778">
            <w:pPr>
              <w:spacing w:after="0" w:line="360" w:lineRule="auto"/>
              <w:rPr>
                <w:rFonts w:hint="eastAsia" w:ascii="仿宋" w:hAnsi="仿宋" w:eastAsia="仿宋" w:cs="仿宋"/>
                <w:sz w:val="28"/>
                <w:szCs w:val="28"/>
              </w:rPr>
            </w:pPr>
            <w:r>
              <w:rPr>
                <w:rFonts w:hint="eastAsia" w:ascii="仿宋" w:hAnsi="仿宋" w:eastAsia="仿宋" w:cs="仿宋"/>
                <w:sz w:val="28"/>
                <w:szCs w:val="28"/>
              </w:rPr>
              <w:t>生物多样性</w:t>
            </w:r>
          </w:p>
        </w:tc>
        <w:tc>
          <w:tcPr>
            <w:tcW w:w="5321" w:type="dxa"/>
          </w:tcPr>
          <w:p w14:paraId="37F43A3B">
            <w:pPr>
              <w:spacing w:after="0" w:line="360" w:lineRule="auto"/>
              <w:rPr>
                <w:rFonts w:hint="eastAsia" w:ascii="仿宋" w:hAnsi="仿宋" w:eastAsia="仿宋" w:cs="仿宋"/>
                <w:sz w:val="28"/>
                <w:szCs w:val="28"/>
              </w:rPr>
            </w:pPr>
            <w:r>
              <w:rPr>
                <w:rFonts w:hint="eastAsia" w:ascii="仿宋" w:hAnsi="仿宋" w:eastAsia="仿宋" w:cs="仿宋"/>
                <w:sz w:val="28"/>
                <w:szCs w:val="28"/>
              </w:rPr>
              <w:t>生物多样性保护</w:t>
            </w:r>
          </w:p>
        </w:tc>
      </w:tr>
      <w:tr w14:paraId="0A891200">
        <w:tc>
          <w:tcPr>
            <w:tcW w:w="1084" w:type="dxa"/>
          </w:tcPr>
          <w:p w14:paraId="58263930">
            <w:pPr>
              <w:spacing w:after="0" w:line="360" w:lineRule="auto"/>
              <w:rPr>
                <w:rFonts w:hint="eastAsia" w:ascii="仿宋" w:hAnsi="仿宋" w:eastAsia="仿宋" w:cs="仿宋"/>
                <w:sz w:val="28"/>
                <w:szCs w:val="28"/>
              </w:rPr>
            </w:pPr>
            <w:r>
              <w:rPr>
                <w:rFonts w:hint="eastAsia" w:ascii="仿宋" w:hAnsi="仿宋" w:eastAsia="仿宋" w:cs="仿宋"/>
                <w:sz w:val="28"/>
                <w:szCs w:val="28"/>
              </w:rPr>
              <w:t>15</w:t>
            </w:r>
          </w:p>
        </w:tc>
        <w:tc>
          <w:tcPr>
            <w:tcW w:w="2235" w:type="dxa"/>
          </w:tcPr>
          <w:p w14:paraId="5FA96181">
            <w:pPr>
              <w:spacing w:after="0" w:line="360" w:lineRule="auto"/>
              <w:rPr>
                <w:rFonts w:hint="eastAsia" w:ascii="仿宋" w:hAnsi="仿宋" w:eastAsia="仿宋" w:cs="仿宋"/>
                <w:sz w:val="28"/>
                <w:szCs w:val="28"/>
              </w:rPr>
            </w:pPr>
            <w:r>
              <w:rPr>
                <w:rFonts w:hint="eastAsia" w:ascii="仿宋" w:hAnsi="仿宋" w:eastAsia="仿宋" w:cs="仿宋"/>
                <w:sz w:val="28"/>
                <w:szCs w:val="28"/>
              </w:rPr>
              <w:t>生态红线</w:t>
            </w:r>
          </w:p>
        </w:tc>
        <w:tc>
          <w:tcPr>
            <w:tcW w:w="5321" w:type="dxa"/>
          </w:tcPr>
          <w:p w14:paraId="3216DD02">
            <w:pPr>
              <w:spacing w:after="0" w:line="360" w:lineRule="auto"/>
              <w:rPr>
                <w:rFonts w:hint="eastAsia" w:ascii="仿宋" w:hAnsi="仿宋" w:eastAsia="仿宋" w:cs="仿宋"/>
                <w:sz w:val="28"/>
                <w:szCs w:val="28"/>
              </w:rPr>
            </w:pPr>
            <w:r>
              <w:rPr>
                <w:rFonts w:hint="eastAsia" w:ascii="仿宋" w:hAnsi="仿宋" w:eastAsia="仿宋" w:cs="仿宋"/>
                <w:sz w:val="28"/>
                <w:szCs w:val="28"/>
              </w:rPr>
              <w:t>生态保护红线</w:t>
            </w:r>
          </w:p>
        </w:tc>
      </w:tr>
      <w:tr w14:paraId="468BBB3C">
        <w:tc>
          <w:tcPr>
            <w:tcW w:w="1084" w:type="dxa"/>
          </w:tcPr>
          <w:p w14:paraId="3076A2C3">
            <w:pPr>
              <w:spacing w:after="0" w:line="360" w:lineRule="auto"/>
              <w:rPr>
                <w:rFonts w:hint="eastAsia" w:ascii="仿宋" w:hAnsi="仿宋" w:eastAsia="仿宋" w:cs="仿宋"/>
                <w:sz w:val="28"/>
                <w:szCs w:val="28"/>
              </w:rPr>
            </w:pPr>
            <w:r>
              <w:rPr>
                <w:rFonts w:hint="eastAsia" w:ascii="仿宋" w:hAnsi="仿宋" w:eastAsia="仿宋" w:cs="仿宋"/>
                <w:sz w:val="28"/>
                <w:szCs w:val="28"/>
              </w:rPr>
              <w:t>16</w:t>
            </w:r>
          </w:p>
        </w:tc>
        <w:tc>
          <w:tcPr>
            <w:tcW w:w="2235" w:type="dxa"/>
          </w:tcPr>
          <w:p w14:paraId="45E5AAD4">
            <w:pPr>
              <w:spacing w:after="0" w:line="360" w:lineRule="auto"/>
              <w:rPr>
                <w:rFonts w:hint="eastAsia" w:ascii="仿宋" w:hAnsi="仿宋" w:eastAsia="仿宋" w:cs="仿宋"/>
                <w:sz w:val="28"/>
                <w:szCs w:val="28"/>
              </w:rPr>
            </w:pPr>
            <w:r>
              <w:rPr>
                <w:rFonts w:hint="eastAsia" w:ascii="仿宋" w:hAnsi="仿宋" w:eastAsia="仿宋" w:cs="仿宋"/>
                <w:sz w:val="28"/>
                <w:szCs w:val="28"/>
              </w:rPr>
              <w:t>低碳经济</w:t>
            </w:r>
          </w:p>
        </w:tc>
        <w:tc>
          <w:tcPr>
            <w:tcW w:w="5321" w:type="dxa"/>
          </w:tcPr>
          <w:p w14:paraId="0E9DDA26">
            <w:pPr>
              <w:spacing w:after="0" w:line="360" w:lineRule="auto"/>
              <w:rPr>
                <w:rFonts w:hint="eastAsia" w:ascii="仿宋" w:hAnsi="仿宋" w:eastAsia="仿宋" w:cs="仿宋"/>
                <w:sz w:val="28"/>
                <w:szCs w:val="28"/>
              </w:rPr>
            </w:pPr>
            <w:r>
              <w:rPr>
                <w:rFonts w:hint="eastAsia" w:ascii="仿宋" w:hAnsi="仿宋" w:eastAsia="仿宋" w:cs="仿宋"/>
                <w:sz w:val="28"/>
                <w:szCs w:val="28"/>
              </w:rPr>
              <w:t>绿色生活、低碳消费</w:t>
            </w:r>
          </w:p>
        </w:tc>
      </w:tr>
    </w:tbl>
    <w:p w14:paraId="6C306F06">
      <w:pPr>
        <w:spacing w:line="360" w:lineRule="auto"/>
        <w:rPr>
          <w:rFonts w:hint="eastAsia" w:ascii="仿宋" w:hAnsi="仿宋" w:eastAsia="仿宋" w:cs="仿宋"/>
          <w:sz w:val="28"/>
          <w:szCs w:val="28"/>
        </w:rPr>
      </w:pPr>
    </w:p>
    <w:p w14:paraId="6FE89ABB">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主题关键词的确定有助于后续统计工作的开展。中央媒体、行业媒体及区县媒体报道的主题丰富度指标，能够反映相关报道是否较为平均地覆盖到16个重要的生态文明传播主题，由此衡量重庆市39个地区的生态文明传播活动是否在主题的丰富程度上呈现出明显差别。</w:t>
      </w:r>
    </w:p>
    <w:p w14:paraId="0DD453D6">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同理，线下宣传活动的统计口径也应当符合生态文明宣传的基本要求。根据重庆市生态环境局对区县相关工作的指导和反馈，结合工作要求与实际经验，课题组对五类主题活动（六五环境日活动、8·15全国生态日、志愿服务活动、公共设施开放、美丽重庆六进活动）展开统计。</w:t>
      </w:r>
    </w:p>
    <w:p w14:paraId="72660E7D">
      <w:pPr>
        <w:spacing w:line="360" w:lineRule="auto"/>
        <w:rPr>
          <w:rFonts w:hint="eastAsia" w:ascii="仿宋" w:hAnsi="仿宋" w:eastAsia="仿宋" w:cs="仿宋"/>
          <w:sz w:val="28"/>
          <w:szCs w:val="28"/>
        </w:rPr>
      </w:pPr>
      <w:r>
        <w:rPr>
          <w:rFonts w:hint="eastAsia" w:ascii="仿宋" w:hAnsi="仿宋" w:eastAsia="仿宋" w:cs="仿宋"/>
          <w:sz w:val="28"/>
          <w:szCs w:val="28"/>
        </w:rPr>
        <w:t>（3）报道传播速度/活动传播速度</w:t>
      </w:r>
    </w:p>
    <w:p w14:paraId="3F22AE49">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传播速度即为生态文明传播类报道内容发布与更新的速度。媒体在每日运营中，按时、持续、高频地发布生态文明传播内容，能够体现传播时间安排的合理性，保证与传播受众的稳定连接。</w:t>
      </w:r>
    </w:p>
    <w:p w14:paraId="7D6B8F2B">
      <w:pPr>
        <w:spacing w:line="360" w:lineRule="auto"/>
        <w:rPr>
          <w:rFonts w:hint="eastAsia" w:ascii="仿宋" w:hAnsi="仿宋" w:eastAsia="仿宋" w:cs="仿宋"/>
          <w:sz w:val="28"/>
          <w:szCs w:val="28"/>
        </w:rPr>
      </w:pPr>
      <w:r>
        <w:rPr>
          <w:rFonts w:hint="eastAsia" w:ascii="仿宋" w:hAnsi="仿宋" w:eastAsia="仿宋" w:cs="仿宋"/>
          <w:sz w:val="28"/>
          <w:szCs w:val="28"/>
        </w:rPr>
        <w:t>本指标通过计算中央媒体、行业媒体、区县媒体发布生态文明传播内容总量与发布天数之间的比值，取得相关报道的发布频率；通过计算线下宣传活动场次与举办时间之间的比值，取得宣传活动的举办频率；二者结合共同体现重庆市39个地区生态文明宣传的传播速度，进一步引导各区县"向前提速"，推动生态文明宣传工作走向常态化。</w:t>
      </w:r>
    </w:p>
    <w:p w14:paraId="42EDFA80">
      <w:pPr>
        <w:spacing w:line="360" w:lineRule="auto"/>
        <w:rPr>
          <w:rFonts w:hint="eastAsia" w:ascii="仿宋" w:hAnsi="仿宋" w:eastAsia="仿宋" w:cs="仿宋"/>
          <w:sz w:val="28"/>
          <w:szCs w:val="28"/>
        </w:rPr>
      </w:pPr>
      <w:r>
        <w:rPr>
          <w:rFonts w:hint="eastAsia" w:ascii="仿宋" w:hAnsi="仿宋" w:eastAsia="仿宋" w:cs="仿宋"/>
          <w:b/>
          <w:sz w:val="28"/>
          <w:szCs w:val="28"/>
        </w:rPr>
        <w:t>（二）权重确定</w:t>
      </w:r>
    </w:p>
    <w:p w14:paraId="30A3CB8E">
      <w:pPr>
        <w:spacing w:line="360" w:lineRule="auto"/>
        <w:rPr>
          <w:rFonts w:hint="eastAsia" w:ascii="仿宋" w:hAnsi="仿宋" w:eastAsia="仿宋" w:cs="仿宋"/>
          <w:sz w:val="28"/>
          <w:szCs w:val="28"/>
        </w:rPr>
      </w:pPr>
      <w:r>
        <w:rPr>
          <w:rFonts w:hint="eastAsia" w:ascii="仿宋" w:hAnsi="仿宋" w:eastAsia="仿宋" w:cs="仿宋"/>
          <w:sz w:val="28"/>
          <w:szCs w:val="28"/>
        </w:rPr>
        <w:t>（1）专家评分的初步赋权</w:t>
      </w:r>
    </w:p>
    <w:p w14:paraId="299C0C09">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由于本指标体系具有多个层次，熵权法等单层次的权重分析方法不再适用，采用专家评分法依次确定每个层次的赋权。</w:t>
      </w:r>
    </w:p>
    <w:p w14:paraId="7076F9CD">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综合生态文明传播领域三位专家（中国传媒大学经管学院卜彦芳教授、社科院大学新闻学院漆亚林教授、生态文明传播中心陈雨研究员）的意见，从经验角度出发定义权重。以两级四类12项指标为赋权对象，每位专家根据自己对指标的理解打分，用100分进行分配，根据专家打分结果计算平均分得出每项指标的权重，并使用AHP层次分析法对专家打分权重进行检验。</w:t>
      </w:r>
    </w:p>
    <w:p w14:paraId="4199A5B4">
      <w:pPr>
        <w:spacing w:line="360" w:lineRule="auto"/>
        <w:rPr>
          <w:rFonts w:hint="eastAsia" w:ascii="仿宋" w:hAnsi="仿宋" w:eastAsia="仿宋" w:cs="仿宋"/>
          <w:sz w:val="28"/>
          <w:szCs w:val="28"/>
        </w:rPr>
      </w:pPr>
      <w:r>
        <w:rPr>
          <w:rFonts w:hint="eastAsia" w:ascii="仿宋" w:hAnsi="仿宋" w:eastAsia="仿宋" w:cs="仿宋"/>
          <w:sz w:val="28"/>
          <w:szCs w:val="28"/>
        </w:rPr>
        <w:t>（2）权重的一致性检验</w:t>
      </w:r>
    </w:p>
    <w:p w14:paraId="3BCC4269">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将一级指标（中央媒体传播指数、</w:t>
      </w:r>
      <w:r>
        <w:rPr>
          <w:rFonts w:hint="eastAsia" w:ascii="仿宋" w:hAnsi="仿宋" w:eastAsia="仿宋" w:cs="仿宋"/>
          <w:sz w:val="28"/>
          <w:szCs w:val="28"/>
          <w:lang w:val="en-US" w:eastAsia="zh-CN"/>
        </w:rPr>
        <w:t>市级</w:t>
      </w:r>
      <w:r>
        <w:rPr>
          <w:rFonts w:hint="eastAsia" w:ascii="仿宋" w:hAnsi="仿宋" w:eastAsia="仿宋" w:cs="仿宋"/>
          <w:sz w:val="28"/>
          <w:szCs w:val="28"/>
        </w:rPr>
        <w:t>媒体传播指数</w:t>
      </w:r>
      <w:r>
        <w:rPr>
          <w:rFonts w:hint="eastAsia" w:ascii="仿宋" w:hAnsi="仿宋" w:eastAsia="仿宋" w:cs="仿宋"/>
          <w:sz w:val="28"/>
          <w:szCs w:val="28"/>
          <w:lang w:eastAsia="zh-CN"/>
        </w:rPr>
        <w:t>，</w:t>
      </w:r>
      <w:r>
        <w:rPr>
          <w:rFonts w:hint="eastAsia" w:ascii="仿宋" w:hAnsi="仿宋" w:eastAsia="仿宋" w:cs="仿宋"/>
          <w:sz w:val="28"/>
          <w:szCs w:val="28"/>
        </w:rPr>
        <w:t>行业媒体传播指数、区县媒体传播指数、公众行为引导指数）及二级指标（报道及活动数量、报道及活动主题丰富度、报道及活动传播速度）的专家打分结果加总平均后转化为判断矩阵，运用SPSSAU软件的AHP层次分析功能予以检验，结果显示随机一致性RI值为0.89，所得权重具有一致性。</w:t>
      </w:r>
    </w:p>
    <w:p w14:paraId="2742C1DF">
      <w:pPr>
        <w:spacing w:line="360" w:lineRule="auto"/>
        <w:rPr>
          <w:rFonts w:hint="eastAsia" w:ascii="仿宋" w:hAnsi="仿宋" w:eastAsia="仿宋" w:cs="仿宋"/>
          <w:sz w:val="28"/>
          <w:szCs w:val="28"/>
        </w:rPr>
      </w:pPr>
      <w:r>
        <w:rPr>
          <w:rFonts w:hint="eastAsia" w:ascii="仿宋" w:hAnsi="仿宋" w:eastAsia="仿宋" w:cs="仿宋"/>
          <w:sz w:val="28"/>
          <w:szCs w:val="28"/>
        </w:rPr>
        <w:t>两级指标的权重值</w:t>
      </w:r>
    </w:p>
    <w:p w14:paraId="29E019B8">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经专家打分及一致性检验后，最终得到两级指标的权重值。在一级指标中，中央媒体占比50%，</w:t>
      </w:r>
      <w:r>
        <w:rPr>
          <w:rFonts w:hint="eastAsia" w:ascii="仿宋" w:hAnsi="仿宋" w:eastAsia="仿宋" w:cs="仿宋"/>
          <w:sz w:val="28"/>
          <w:szCs w:val="28"/>
          <w:lang w:val="en-US" w:eastAsia="zh-CN"/>
        </w:rPr>
        <w:t>市级媒体占比15%；</w:t>
      </w:r>
      <w:r>
        <w:rPr>
          <w:rFonts w:hint="eastAsia" w:ascii="仿宋" w:hAnsi="仿宋" w:eastAsia="仿宋" w:cs="仿宋"/>
          <w:sz w:val="28"/>
          <w:szCs w:val="28"/>
        </w:rPr>
        <w:t>行业媒体占比25%，公众行为引导指数</w:t>
      </w:r>
      <w:r>
        <w:rPr>
          <w:rFonts w:hint="eastAsia" w:ascii="仿宋" w:hAnsi="仿宋" w:eastAsia="仿宋" w:cs="仿宋"/>
          <w:sz w:val="28"/>
          <w:szCs w:val="28"/>
          <w:lang w:val="en-US" w:eastAsia="zh-CN"/>
        </w:rPr>
        <w:t>10</w:t>
      </w:r>
      <w:r>
        <w:rPr>
          <w:rFonts w:hint="eastAsia" w:ascii="仿宋" w:hAnsi="仿宋" w:eastAsia="仿宋" w:cs="仿宋"/>
          <w:sz w:val="28"/>
          <w:szCs w:val="28"/>
        </w:rPr>
        <w:t>%</w:t>
      </w:r>
      <w:bookmarkStart w:id="0" w:name="_GoBack"/>
      <w:bookmarkEnd w:id="0"/>
      <w:r>
        <w:rPr>
          <w:rFonts w:hint="eastAsia" w:ascii="仿宋" w:hAnsi="仿宋" w:eastAsia="仿宋" w:cs="仿宋"/>
          <w:sz w:val="28"/>
          <w:szCs w:val="28"/>
        </w:rPr>
        <w:t>。在二级指标中，报道及活动数量占比40%，报道及活动主题丰富度占比30%，报道及活动传播速度占比30%。</w:t>
      </w:r>
    </w:p>
    <w:p w14:paraId="78E9303D">
      <w:pPr>
        <w:spacing w:line="360" w:lineRule="auto"/>
        <w:rPr>
          <w:rFonts w:hint="eastAsia" w:ascii="仿宋" w:hAnsi="仿宋" w:eastAsia="仿宋" w:cs="仿宋"/>
          <w:sz w:val="28"/>
          <w:szCs w:val="28"/>
        </w:rPr>
      </w:pPr>
      <w:r>
        <w:rPr>
          <w:rFonts w:hint="eastAsia" w:ascii="仿宋" w:hAnsi="仿宋" w:eastAsia="仿宋" w:cs="仿宋"/>
          <w:b/>
          <w:sz w:val="28"/>
          <w:szCs w:val="28"/>
        </w:rPr>
        <w:t>（三）评价方法</w:t>
      </w:r>
    </w:p>
    <w:p w14:paraId="3BB141D3">
      <w:pPr>
        <w:spacing w:line="360" w:lineRule="auto"/>
        <w:rPr>
          <w:rFonts w:hint="eastAsia" w:ascii="仿宋" w:hAnsi="仿宋" w:eastAsia="仿宋" w:cs="仿宋"/>
          <w:sz w:val="28"/>
          <w:szCs w:val="28"/>
        </w:rPr>
      </w:pPr>
      <w:r>
        <w:rPr>
          <w:rFonts w:hint="eastAsia" w:ascii="仿宋" w:hAnsi="仿宋" w:eastAsia="仿宋" w:cs="仿宋"/>
          <w:sz w:val="28"/>
          <w:szCs w:val="28"/>
        </w:rPr>
        <w:t>1.评价方法概述</w:t>
      </w:r>
    </w:p>
    <w:p w14:paraId="447BCAE1">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生态文明传播指数体系的评价方法综合考虑中央媒体传播、</w:t>
      </w:r>
      <w:r>
        <w:rPr>
          <w:rFonts w:hint="eastAsia" w:ascii="仿宋" w:hAnsi="仿宋" w:eastAsia="仿宋" w:cs="仿宋"/>
          <w:sz w:val="28"/>
          <w:szCs w:val="28"/>
          <w:lang w:val="en-US" w:eastAsia="zh-CN"/>
        </w:rPr>
        <w:t>市级</w:t>
      </w:r>
      <w:r>
        <w:rPr>
          <w:rFonts w:hint="eastAsia" w:ascii="仿宋" w:hAnsi="仿宋" w:eastAsia="仿宋" w:cs="仿宋"/>
          <w:sz w:val="28"/>
          <w:szCs w:val="28"/>
        </w:rPr>
        <w:t>媒体传播、行业媒体传播、区县媒体传播、公众行为引导四个方面，采用定量与定性相结合的方法，确保评价结果的客观性和准确性。</w:t>
      </w:r>
    </w:p>
    <w:p w14:paraId="39A9A1A1">
      <w:pPr>
        <w:spacing w:line="360" w:lineRule="auto"/>
        <w:rPr>
          <w:rFonts w:hint="eastAsia" w:ascii="仿宋" w:hAnsi="仿宋" w:eastAsia="仿宋" w:cs="仿宋"/>
          <w:sz w:val="28"/>
          <w:szCs w:val="28"/>
        </w:rPr>
      </w:pPr>
      <w:r>
        <w:rPr>
          <w:rFonts w:hint="eastAsia" w:ascii="仿宋" w:hAnsi="仿宋" w:eastAsia="仿宋" w:cs="仿宋"/>
          <w:sz w:val="28"/>
          <w:szCs w:val="28"/>
        </w:rPr>
        <w:t>2.具体评价方法（定量+定性结合）</w:t>
      </w:r>
    </w:p>
    <w:p w14:paraId="2CBCDEBC">
      <w:pPr>
        <w:spacing w:line="360" w:lineRule="auto"/>
        <w:rPr>
          <w:rFonts w:hint="eastAsia" w:ascii="仿宋" w:hAnsi="仿宋" w:eastAsia="仿宋" w:cs="仿宋"/>
          <w:sz w:val="28"/>
          <w:szCs w:val="28"/>
        </w:rPr>
      </w:pPr>
      <w:r>
        <w:rPr>
          <w:rFonts w:hint="eastAsia" w:ascii="仿宋" w:hAnsi="仿宋" w:eastAsia="仿宋" w:cs="仿宋"/>
          <w:sz w:val="28"/>
          <w:szCs w:val="28"/>
        </w:rPr>
        <w:t>（1）定量评价法</w:t>
      </w:r>
    </w:p>
    <w:p w14:paraId="3402BE58">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综合评价法：具体步骤包括"建立指标体系→确定权重→收集整理数据→数据区间化处理→加权平均处理→计算综合得分"。其中，数据区间化处理是将量纲不同的四大维度12个指标数据按照[65，95]区间统一为标准化数据。</w:t>
      </w:r>
    </w:p>
    <w:p w14:paraId="48F6D3CD">
      <w:pPr>
        <w:spacing w:line="360" w:lineRule="auto"/>
        <w:rPr>
          <w:rFonts w:hint="eastAsia" w:ascii="仿宋" w:hAnsi="仿宋" w:eastAsia="仿宋" w:cs="仿宋"/>
          <w:sz w:val="28"/>
          <w:szCs w:val="28"/>
        </w:rPr>
      </w:pPr>
      <w:r>
        <w:rPr>
          <w:rFonts w:hint="eastAsia" w:ascii="仿宋" w:hAnsi="仿宋" w:eastAsia="仿宋" w:cs="仿宋"/>
          <w:sz w:val="28"/>
          <w:szCs w:val="28"/>
        </w:rPr>
        <w:t>（2）定性评价法</w:t>
      </w:r>
    </w:p>
    <w:p w14:paraId="53C840A6">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案例研究与实地调研：选取具有代表性的生态文明传播案例进行深入剖析，从中提取有益的经验和教训，为评价体系提供定性依据。</w:t>
      </w:r>
    </w:p>
    <w:p w14:paraId="147A5DE7">
      <w:pPr>
        <w:spacing w:line="360" w:lineRule="auto"/>
        <w:rPr>
          <w:rFonts w:hint="eastAsia" w:ascii="仿宋" w:hAnsi="仿宋" w:eastAsia="仿宋" w:cs="仿宋"/>
          <w:sz w:val="28"/>
          <w:szCs w:val="28"/>
        </w:rPr>
      </w:pPr>
      <w:r>
        <w:rPr>
          <w:rFonts w:hint="eastAsia" w:ascii="仿宋" w:hAnsi="仿宋" w:eastAsia="仿宋" w:cs="仿宋"/>
          <w:sz w:val="28"/>
          <w:szCs w:val="28"/>
        </w:rPr>
        <w:t>（3）结果分析与反馈</w:t>
      </w:r>
    </w:p>
    <w:p w14:paraId="5B466616">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结果分析：根据定量和定性评价结果，对生态文明传播指数体系进行综合分析，详见《2025年度重庆市生态文明传播指数排行榜及分析解读》。</w:t>
      </w:r>
    </w:p>
    <w:p w14:paraId="244D70E4">
      <w:pPr>
        <w:spacing w:line="360" w:lineRule="auto"/>
        <w:rPr>
          <w:rFonts w:hint="eastAsia" w:ascii="仿宋" w:hAnsi="仿宋" w:eastAsia="仿宋" w:cs="仿宋"/>
          <w:sz w:val="28"/>
          <w:szCs w:val="28"/>
        </w:rPr>
      </w:pPr>
      <w:r>
        <w:rPr>
          <w:rFonts w:hint="eastAsia" w:ascii="仿宋" w:hAnsi="仿宋" w:eastAsia="仿宋" w:cs="仿宋"/>
          <w:sz w:val="28"/>
          <w:szCs w:val="28"/>
        </w:rPr>
        <w:t>结果反馈：将评价结果反馈给相关部门和公众，促进生态文明传播工作的持续改进和优化。</w:t>
      </w:r>
    </w:p>
    <w:p w14:paraId="68A3ED94">
      <w:pPr>
        <w:pStyle w:val="4"/>
        <w:spacing w:line="360" w:lineRule="auto"/>
        <w:rPr>
          <w:rFonts w:hint="eastAsia" w:ascii="仿宋" w:hAnsi="仿宋" w:eastAsia="仿宋" w:cs="仿宋"/>
          <w:sz w:val="28"/>
          <w:szCs w:val="28"/>
        </w:rPr>
      </w:pPr>
      <w:r>
        <w:rPr>
          <w:rFonts w:hint="eastAsia" w:ascii="仿宋" w:hAnsi="仿宋" w:eastAsia="仿宋" w:cs="仿宋"/>
          <w:sz w:val="28"/>
          <w:szCs w:val="28"/>
        </w:rPr>
        <w:t>四、数据来源与统计</w:t>
      </w:r>
    </w:p>
    <w:p w14:paraId="1EAE477E">
      <w:pPr>
        <w:spacing w:line="360" w:lineRule="auto"/>
        <w:rPr>
          <w:rFonts w:hint="eastAsia" w:ascii="仿宋" w:hAnsi="仿宋" w:eastAsia="仿宋" w:cs="仿宋"/>
          <w:sz w:val="28"/>
          <w:szCs w:val="28"/>
        </w:rPr>
      </w:pPr>
      <w:r>
        <w:rPr>
          <w:rFonts w:hint="eastAsia" w:ascii="仿宋" w:hAnsi="仿宋" w:eastAsia="仿宋" w:cs="仿宋"/>
          <w:b/>
          <w:sz w:val="28"/>
          <w:szCs w:val="28"/>
        </w:rPr>
        <w:t>（一）数据简报</w:t>
      </w:r>
    </w:p>
    <w:p w14:paraId="2465CAEC">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重庆市生态文明传播工作以线上媒体报道与线下宣传活动为主要传播手段。线上媒体报道矩阵由中央媒体（新华社、中央电视台、《光明日报》全媒体、《人民日报》全媒体）、行业媒体（中国环境报、美丽重庆）、区县媒体（区县融媒体、生态环境局政务新媒体）构成。自建采集系统监测显示，2025年1-12月该媒体报道矩阵采集到39个地区相关原始稿件共计66,821条，从中挑选出符合美丽中国、综合治理等16个核心主题的报道共计78,574次，分主题平均报道量为4,910次。其中，报道量最高的三个主题是综合治理（21,474条）、绿色发展（27,089条）、绿水青山（13,780条）；报道量最低的三个主题是资源节约（1,357条）、低碳经济（1,303条）、生态红线（1,424条）。</w:t>
      </w:r>
    </w:p>
    <w:p w14:paraId="7E278E75">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由于存在一篇报道对应多个关键词的情况，去除关键词重复后39个地区有效报道总数为14,074条，分区县平均报道量为361条。其中，报道量最高的三个区县是科学城重庆高新区、两江新区、涪陵区；报道量最低的三个区县是巫溪县、彭水县、酉阳县。</w:t>
      </w:r>
    </w:p>
    <w:p w14:paraId="68B7DA74">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此时，仍然存在一篇报道提及多个区县的情况，进一步去除区县重复后得到7,394篇报道，其中中央媒体报道、行业媒体报道、区县媒体报道分别由专业团队进行了交叉比对与统计。此外，区县融媒体中心及生态环境类政务新媒体形成了另一支重要的报道力量。</w:t>
      </w:r>
    </w:p>
    <w:p w14:paraId="397FEDF1">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生态文明线下宣传活动方面，2025年度由于数据收集主体调整尚未完成，线下宣传活动数据待重庆市生态环境局协调各区县上报后填入，相关五类活动（六五环境日活动、8·15全国生态日活动、志愿服务活动、环保设施向公众开放活动、美丽重庆六进活动）的统计结果将另行发布。</w:t>
      </w:r>
    </w:p>
    <w:p w14:paraId="6A78F5F1">
      <w:pPr>
        <w:spacing w:line="360" w:lineRule="auto"/>
        <w:rPr>
          <w:rFonts w:hint="eastAsia" w:ascii="仿宋" w:hAnsi="仿宋" w:eastAsia="仿宋" w:cs="仿宋"/>
          <w:sz w:val="28"/>
          <w:szCs w:val="28"/>
        </w:rPr>
      </w:pPr>
      <w:r>
        <w:rPr>
          <w:rFonts w:hint="eastAsia" w:ascii="仿宋" w:hAnsi="仿宋" w:eastAsia="仿宋" w:cs="仿宋"/>
          <w:b/>
          <w:sz w:val="28"/>
          <w:szCs w:val="28"/>
        </w:rPr>
        <w:t>（二）统计说明</w:t>
      </w:r>
    </w:p>
    <w:p w14:paraId="48CFE8B0">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数据分析人员对自建采集系统采集到的线上媒体数据进行交叉比对，对中央媒体传播指数、</w:t>
      </w:r>
      <w:r>
        <w:rPr>
          <w:rFonts w:hint="eastAsia" w:ascii="仿宋" w:hAnsi="仿宋" w:eastAsia="仿宋" w:cs="仿宋"/>
          <w:sz w:val="28"/>
          <w:szCs w:val="28"/>
          <w:lang w:val="en-US" w:eastAsia="zh-CN"/>
        </w:rPr>
        <w:t>市级媒体传播指数、</w:t>
      </w:r>
      <w:r>
        <w:rPr>
          <w:rFonts w:hint="eastAsia" w:ascii="仿宋" w:hAnsi="仿宋" w:eastAsia="仿宋" w:cs="仿宋"/>
          <w:sz w:val="28"/>
          <w:szCs w:val="28"/>
        </w:rPr>
        <w:t>行业媒体传播指数、区县媒体传播指数、公众行为引导指数四大维度的12个指标展开统计，首先计算二级指标的单项得分，然后将各项得分区间化处理为65-95分，最后按照中央媒体赋权=50%、行业媒体赋权=25%、区县媒体赋权=15%、宣传活动赋权=10%计算生态文明传播综合得分。单项得分的计算具体如下：</w:t>
      </w:r>
    </w:p>
    <w:p w14:paraId="054902D2">
      <w:pPr>
        <w:spacing w:line="360" w:lineRule="auto"/>
        <w:rPr>
          <w:rFonts w:hint="eastAsia" w:ascii="仿宋" w:hAnsi="仿宋" w:eastAsia="仿宋" w:cs="仿宋"/>
          <w:sz w:val="28"/>
          <w:szCs w:val="28"/>
        </w:rPr>
      </w:pPr>
      <w:r>
        <w:rPr>
          <w:rFonts w:hint="eastAsia" w:ascii="仿宋" w:hAnsi="仿宋" w:eastAsia="仿宋" w:cs="仿宋"/>
          <w:sz w:val="28"/>
          <w:szCs w:val="28"/>
        </w:rPr>
        <w:t>对自建采集系统监测数据按照三类媒体（中央、行业以及区县媒体）进行分类，再分别计算媒体报道量、报道主题丰富度、报道传播速度3个指标；以区县上报的宣传活动数据为依据，计算活动数量、活动主题丰富度、活动传播速度3个指标。汇总后完成12个指标的统计。</w:t>
      </w:r>
    </w:p>
    <w:p w14:paraId="3C844674">
      <w:pPr>
        <w:spacing w:line="360" w:lineRule="auto"/>
        <w:rPr>
          <w:rFonts w:hint="eastAsia" w:ascii="仿宋" w:hAnsi="仿宋" w:eastAsia="仿宋" w:cs="仿宋"/>
          <w:sz w:val="28"/>
          <w:szCs w:val="28"/>
        </w:rPr>
      </w:pPr>
      <w:r>
        <w:rPr>
          <w:rFonts w:hint="eastAsia" w:ascii="仿宋" w:hAnsi="仿宋" w:eastAsia="仿宋" w:cs="仿宋"/>
          <w:sz w:val="28"/>
          <w:szCs w:val="28"/>
        </w:rPr>
        <w:t>（1）报道数量/活动数量</w:t>
      </w:r>
    </w:p>
    <w:p w14:paraId="43B0EC7A">
      <w:pPr>
        <w:spacing w:line="360" w:lineRule="auto"/>
        <w:rPr>
          <w:rFonts w:hint="eastAsia" w:ascii="仿宋" w:hAnsi="仿宋" w:eastAsia="仿宋" w:cs="仿宋"/>
          <w:sz w:val="28"/>
          <w:szCs w:val="28"/>
        </w:rPr>
      </w:pPr>
      <w:r>
        <w:rPr>
          <w:rFonts w:hint="eastAsia" w:ascii="仿宋" w:hAnsi="仿宋" w:eastAsia="仿宋" w:cs="仿宋"/>
          <w:sz w:val="28"/>
          <w:szCs w:val="28"/>
        </w:rPr>
        <w:t>对原始数据去重后按39个地区分别计算中央媒体、行业媒体、区县媒体之报道数量以及宣传活动数量，按照赋权=40%统计报道数量/活动数量单项得分。</w:t>
      </w:r>
    </w:p>
    <w:p w14:paraId="295EE306">
      <w:pPr>
        <w:spacing w:line="360" w:lineRule="auto"/>
        <w:rPr>
          <w:rFonts w:hint="eastAsia" w:ascii="仿宋" w:hAnsi="仿宋" w:eastAsia="仿宋" w:cs="仿宋"/>
          <w:sz w:val="28"/>
          <w:szCs w:val="28"/>
        </w:rPr>
      </w:pPr>
      <w:r>
        <w:rPr>
          <w:rFonts w:hint="eastAsia" w:ascii="仿宋" w:hAnsi="仿宋" w:eastAsia="仿宋" w:cs="仿宋"/>
          <w:sz w:val="28"/>
          <w:szCs w:val="28"/>
        </w:rPr>
        <w:t>（2）报道主题丰富度/活动主题丰富度</w:t>
      </w:r>
    </w:p>
    <w:p w14:paraId="310CA9F6">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将报道主题划分为16个类别（美丽中国、综合治理等），按39个地区分别计算中央媒体、行业媒体、区县媒体之主题丰富度F1，按照赋权=30%统计主题丰富度单项得分。计算公式为F=1/Σ|i-1/N|，其中i为每一类主题报道占本区县全部报道的比例，N为主题数量。F值&gt;0，取值越高越好，说明该区县某一类媒体的报道能够较为平均地覆盖到所有生态文明传播主题。</w:t>
      </w:r>
    </w:p>
    <w:p w14:paraId="1606C87C">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同理，将活动主题划分为5个类别（六五环境日、志愿服务活动等），按39个地区计算宣传活动之主题丰富度F2，公式及赋权同上。</w:t>
      </w:r>
    </w:p>
    <w:p w14:paraId="56B87EA8">
      <w:pPr>
        <w:spacing w:line="360" w:lineRule="auto"/>
        <w:rPr>
          <w:rFonts w:hint="eastAsia" w:ascii="仿宋" w:hAnsi="仿宋" w:eastAsia="仿宋" w:cs="仿宋"/>
          <w:sz w:val="28"/>
          <w:szCs w:val="28"/>
        </w:rPr>
      </w:pPr>
      <w:r>
        <w:rPr>
          <w:rFonts w:hint="eastAsia" w:ascii="仿宋" w:hAnsi="仿宋" w:eastAsia="仿宋" w:cs="仿宋"/>
          <w:sz w:val="28"/>
          <w:szCs w:val="28"/>
        </w:rPr>
        <w:t>（3）报道传播速度/活动传播速度</w:t>
      </w:r>
    </w:p>
    <w:p w14:paraId="4A76917A">
      <w:pPr>
        <w:spacing w:line="360" w:lineRule="auto"/>
        <w:ind w:firstLine="720" w:firstLineChars="0"/>
        <w:rPr>
          <w:rFonts w:hint="eastAsia" w:ascii="仿宋" w:hAnsi="仿宋" w:eastAsia="仿宋" w:cs="仿宋"/>
          <w:sz w:val="28"/>
          <w:szCs w:val="28"/>
        </w:rPr>
      </w:pPr>
      <w:r>
        <w:rPr>
          <w:rFonts w:hint="eastAsia" w:ascii="仿宋" w:hAnsi="仿宋" w:eastAsia="仿宋" w:cs="仿宋"/>
          <w:sz w:val="28"/>
          <w:szCs w:val="28"/>
        </w:rPr>
        <w:t>根据公式"发布频率=内容总数/发布天数"，按39个地区分别计算中央媒体、行业媒体、区县媒体的更新频率以及宣传活动举办频率，按照赋权=30%计算传播速度单项得分。</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仿宋">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FFAAF6"/>
    <w:rsid w:val="2DB2D086"/>
    <w:rsid w:val="3FFEE884"/>
    <w:rsid w:val="635869C2"/>
    <w:rsid w:val="755DA75A"/>
    <w:rsid w:val="776700EB"/>
    <w:rsid w:val="77FB12EC"/>
    <w:rsid w:val="7B6B679B"/>
    <w:rsid w:val="7DDF9905"/>
    <w:rsid w:val="7E773FE3"/>
    <w:rsid w:val="7EFF194E"/>
    <w:rsid w:val="8BFD67EF"/>
    <w:rsid w:val="AA4F6772"/>
    <w:rsid w:val="D9272CE6"/>
    <w:rsid w:val="F338E1E5"/>
    <w:rsid w:val="F7C9D4C1"/>
    <w:rsid w:val="FB3F52CB"/>
    <w:rsid w:val="FBFDD926"/>
    <w:rsid w:val="FF7E92B8"/>
    <w:rsid w:val="FFF5C246"/>
    <w:rsid w:val="FFFFBDF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2013-12-24T14:15:00Z</dcterms:created>
  <dc:creator>python-docx</dc:creator>
  <dc:description>generated by python-docx</dc:description>
  <cp:lastModifiedBy>花生</cp:lastModifiedBy>
  <dcterms:modified xsi:type="dcterms:W3CDTF">2026-05-20T20:08:13Z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B53A272630736D7E089E0D6A67684AF3_42</vt:lpwstr>
  </property>
</Properties>
</file>