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FD03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2FBADA2B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质 量 检 验 报 告 单</w:t>
            </w:r>
          </w:p>
          <w:p w14:paraId="2E50761E">
            <w:pPr>
              <w:jc w:val="center"/>
            </w:pPr>
            <w:r>
              <w:rPr>
                <w:rFonts w:hint="eastAsia"/>
              </w:rPr>
              <w:t>CERTIF</w:t>
            </w:r>
            <w:r>
              <w:t>I</w:t>
            </w:r>
            <w:r>
              <w:rPr>
                <w:rFonts w:hint="eastAsia"/>
              </w:rPr>
              <w:t>CATE OF ANALYSIS</w:t>
            </w:r>
          </w:p>
        </w:tc>
      </w:tr>
      <w:tr w14:paraId="5F112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1BCA33D">
            <w:pPr>
              <w:jc w:val="center"/>
            </w:pPr>
            <w:r>
              <w:rPr>
                <w:rFonts w:hint="eastAsia"/>
              </w:rPr>
              <w:t>产 品 名 称</w:t>
            </w:r>
          </w:p>
          <w:p w14:paraId="4CCF2B09">
            <w:pPr>
              <w:jc w:val="center"/>
            </w:pPr>
            <w:r>
              <w:rPr>
                <w:rFonts w:hint="eastAsia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2B2C3D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t>Antimicro C380</w:t>
            </w:r>
            <w:r>
              <w:rPr>
                <w:rFonts w:hint="eastAsia"/>
                <w:lang w:val="en-US" w:eastAsia="zh-CN"/>
              </w:rPr>
              <w:t>-M</w:t>
            </w:r>
          </w:p>
        </w:tc>
      </w:tr>
      <w:tr w14:paraId="1C91F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FFB99A2">
            <w:pPr>
              <w:jc w:val="center"/>
            </w:pPr>
            <w:r>
              <w:rPr>
                <w:rFonts w:hint="eastAsia"/>
              </w:rPr>
              <w:t>生产日期</w:t>
            </w:r>
          </w:p>
          <w:p w14:paraId="6241AF9F">
            <w:pPr>
              <w:jc w:val="center"/>
            </w:pPr>
            <w: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CFB43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E5760B5">
            <w:pPr>
              <w:jc w:val="center"/>
            </w:pPr>
            <w:r>
              <w:rPr>
                <w:rFonts w:hint="eastAsia"/>
              </w:rPr>
              <w:t>产 品 批 号</w:t>
            </w:r>
          </w:p>
          <w:p w14:paraId="1925AFA3">
            <w:pPr>
              <w:jc w:val="center"/>
            </w:pPr>
            <w:r>
              <w:rPr>
                <w:rFonts w:hint="eastAsia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55CFB650">
            <w:pPr>
              <w:jc w:val="center"/>
            </w:pPr>
            <w:r>
              <w:rPr>
                <w:rFonts w:hint="eastAsia"/>
              </w:rPr>
              <w:t>{产品批号}</w:t>
            </w:r>
          </w:p>
        </w:tc>
      </w:tr>
      <w:tr w14:paraId="4FE47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741CA06">
            <w:pPr>
              <w:jc w:val="center"/>
            </w:pPr>
            <w:r>
              <w:rPr>
                <w:rFonts w:hint="eastAsia"/>
              </w:rPr>
              <w:t>执 行 标 准</w:t>
            </w:r>
          </w:p>
          <w:p w14:paraId="21EFFD28">
            <w:pPr>
              <w:jc w:val="center"/>
            </w:pPr>
            <w:r>
              <w:rPr>
                <w:rFonts w:hint="eastAsia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ECFAB1F">
            <w:pPr>
              <w:jc w:val="center"/>
            </w:pPr>
            <w:r>
              <w:t>Q/DMXM 24—2021</w:t>
            </w:r>
          </w:p>
        </w:tc>
      </w:tr>
      <w:tr w14:paraId="07B48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9E6A9F1">
            <w:pPr>
              <w:jc w:val="center"/>
            </w:pPr>
            <w:r>
              <w:rPr>
                <w:rFonts w:hint="eastAsia"/>
              </w:rPr>
              <w:t>检 测 项 目</w:t>
            </w:r>
          </w:p>
          <w:p w14:paraId="71122E3B">
            <w:pPr>
              <w:jc w:val="center"/>
            </w:pPr>
            <w:r>
              <w:rPr>
                <w:rFonts w:hint="eastAsia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18489AA">
            <w:pPr>
              <w:jc w:val="center"/>
            </w:pPr>
            <w:r>
              <w:rPr>
                <w:rFonts w:hint="eastAsia"/>
              </w:rPr>
              <w:t>标 准</w:t>
            </w:r>
          </w:p>
          <w:p w14:paraId="34A21EE4">
            <w:pPr>
              <w:jc w:val="center"/>
            </w:pPr>
            <w:r>
              <w:rPr>
                <w:rFonts w:hint="eastAsia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4A87EC64">
            <w:pPr>
              <w:jc w:val="center"/>
            </w:pPr>
            <w:r>
              <w:rPr>
                <w:rFonts w:hint="eastAsia"/>
              </w:rPr>
              <w:t>结 果</w:t>
            </w:r>
          </w:p>
          <w:p w14:paraId="5B8490D1">
            <w:pPr>
              <w:jc w:val="center"/>
            </w:pPr>
            <w:r>
              <w:rPr>
                <w:rFonts w:hint="eastAsia"/>
              </w:rPr>
              <w:t>Result</w:t>
            </w:r>
          </w:p>
        </w:tc>
      </w:tr>
      <w:tr w14:paraId="5F6C9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4F69D9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外观</w:t>
            </w:r>
          </w:p>
          <w:p w14:paraId="74090ACA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9EFCC2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无色至黄色透明液体</w:t>
            </w:r>
          </w:p>
        </w:tc>
        <w:tc>
          <w:tcPr>
            <w:tcW w:w="2851" w:type="dxa"/>
            <w:gridSpan w:val="2"/>
            <w:vAlign w:val="center"/>
          </w:tcPr>
          <w:p w14:paraId="1F78269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无色至黄色透明液体</w:t>
            </w:r>
          </w:p>
        </w:tc>
      </w:tr>
      <w:tr w14:paraId="7EC0F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497B135">
            <w:pPr>
              <w:jc w:val="center"/>
            </w:pPr>
            <w:r>
              <w:rPr>
                <w:szCs w:val="21"/>
              </w:rPr>
              <w:t>有效成分含量</w:t>
            </w: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%</w:t>
            </w:r>
            <w:r>
              <w:rPr>
                <w:rFonts w:hint="eastAsia"/>
                <w:szCs w:val="21"/>
              </w:rPr>
              <w:t>）</w:t>
            </w:r>
          </w:p>
          <w:p w14:paraId="2A762150">
            <w:pPr>
              <w:jc w:val="center"/>
              <w:rPr>
                <w:szCs w:val="21"/>
              </w:rPr>
            </w:pPr>
            <w:r>
              <w:t xml:space="preserve">Total </w:t>
            </w:r>
            <w:r>
              <w:rPr>
                <w:rFonts w:hint="eastAsia"/>
              </w:rPr>
              <w:t>A</w:t>
            </w:r>
            <w:r>
              <w:t>ctive Ingredients</w:t>
            </w:r>
          </w:p>
        </w:tc>
        <w:tc>
          <w:tcPr>
            <w:tcW w:w="2836" w:type="dxa"/>
            <w:gridSpan w:val="2"/>
            <w:vAlign w:val="center"/>
          </w:tcPr>
          <w:p w14:paraId="10E8B27D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≥</w:t>
            </w:r>
            <w:r>
              <w:rPr>
                <w:rFonts w:hint="eastAsia"/>
                <w:szCs w:val="21"/>
                <w:lang w:val="en-US" w:eastAsia="zh-CN"/>
              </w:rPr>
              <w:t>14.</w:t>
            </w:r>
            <w:r>
              <w:rPr>
                <w:rFonts w:hint="eastAsia"/>
                <w:szCs w:val="21"/>
              </w:rPr>
              <w:t>00</w:t>
            </w:r>
          </w:p>
        </w:tc>
        <w:tc>
          <w:tcPr>
            <w:tcW w:w="2851" w:type="dxa"/>
            <w:gridSpan w:val="2"/>
            <w:vAlign w:val="center"/>
          </w:tcPr>
          <w:p w14:paraId="4A14104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{有效含量总量}</w:t>
            </w:r>
          </w:p>
        </w:tc>
      </w:tr>
      <w:tr w14:paraId="4A373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CB71CAD">
            <w:pPr>
              <w:jc w:val="center"/>
              <w:rPr>
                <w:szCs w:val="21"/>
              </w:rPr>
            </w:pPr>
            <w:r>
              <w:t>砷（mg/kg）</w:t>
            </w:r>
          </w:p>
          <w:p w14:paraId="27D408DE">
            <w:pPr>
              <w:jc w:val="center"/>
            </w:pPr>
            <w:r>
              <w:rPr>
                <w:szCs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0C64F555">
            <w:pPr>
              <w:jc w:val="center"/>
              <w:rPr>
                <w:kern w:val="0"/>
                <w:szCs w:val="21"/>
              </w:rPr>
            </w:pPr>
            <w:r>
              <w:rPr>
                <w:szCs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182478B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符合</w:t>
            </w:r>
          </w:p>
        </w:tc>
      </w:tr>
      <w:tr w14:paraId="29B4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2FB459C">
            <w:pPr>
              <w:jc w:val="center"/>
              <w:rPr>
                <w:szCs w:val="21"/>
              </w:rPr>
            </w:pPr>
            <w:r>
              <w:t>铅（mg/kg）</w:t>
            </w:r>
          </w:p>
          <w:p w14:paraId="3CAA3E40">
            <w:pPr>
              <w:jc w:val="center"/>
            </w:pPr>
            <w:r>
              <w:rPr>
                <w:szCs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6A22E92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857571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符合</w:t>
            </w:r>
          </w:p>
        </w:tc>
      </w:tr>
      <w:tr w14:paraId="0A2AE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068C157">
            <w:pPr>
              <w:jc w:val="center"/>
              <w:rPr>
                <w:szCs w:val="21"/>
              </w:rPr>
            </w:pPr>
            <w:r>
              <w:t>汞（mg/kg）</w:t>
            </w:r>
          </w:p>
          <w:p w14:paraId="1DCDCED8">
            <w:pPr>
              <w:jc w:val="center"/>
            </w:pPr>
            <w:r>
              <w:rPr>
                <w:szCs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B84FCB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37DF3CC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符合</w:t>
            </w:r>
          </w:p>
        </w:tc>
      </w:tr>
      <w:tr w14:paraId="3AC74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B067B5E">
            <w:pPr>
              <w:jc w:val="center"/>
            </w:pPr>
            <w:r>
              <w:t>镉（mg/kg）</w:t>
            </w:r>
          </w:p>
          <w:p w14:paraId="32B77C5F">
            <w:pPr>
              <w:jc w:val="center"/>
            </w:pPr>
            <w:r>
              <w:rPr>
                <w:szCs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42B1D5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4511110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符合</w:t>
            </w:r>
          </w:p>
        </w:tc>
      </w:tr>
      <w:tr w14:paraId="3A463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91039C7">
            <w:pPr>
              <w:jc w:val="center"/>
            </w:pPr>
            <w:r>
              <w:t>保质期</w:t>
            </w:r>
          </w:p>
          <w:p w14:paraId="4E853273">
            <w:pPr>
              <w:jc w:val="center"/>
            </w:pPr>
            <w:r>
              <w:t xml:space="preserve">Shelf </w:t>
            </w:r>
            <w:r>
              <w:rPr>
                <w:rFonts w:hint="eastAsia"/>
              </w:rPr>
              <w:t>L</w:t>
            </w:r>
            <w:r>
              <w:t>ife</w:t>
            </w:r>
          </w:p>
        </w:tc>
        <w:tc>
          <w:tcPr>
            <w:tcW w:w="5687" w:type="dxa"/>
            <w:gridSpan w:val="4"/>
            <w:vAlign w:val="center"/>
          </w:tcPr>
          <w:p w14:paraId="66ED5797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12个月</w:t>
            </w:r>
          </w:p>
        </w:tc>
      </w:tr>
      <w:tr w14:paraId="3CEF8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2F982F1">
            <w:pPr>
              <w:jc w:val="center"/>
            </w:pPr>
            <w:r>
              <w:t>结论</w:t>
            </w:r>
          </w:p>
          <w:p w14:paraId="29212A93">
            <w:pPr>
              <w:jc w:val="center"/>
            </w:pPr>
            <w:r>
              <w:rPr>
                <w:rFonts w:hint="eastAsia"/>
              </w:rPr>
              <w:t>C</w:t>
            </w:r>
            <w:r>
              <w:t>onclusion</w:t>
            </w:r>
          </w:p>
        </w:tc>
        <w:tc>
          <w:tcPr>
            <w:tcW w:w="5687" w:type="dxa"/>
            <w:gridSpan w:val="4"/>
            <w:vAlign w:val="center"/>
          </w:tcPr>
          <w:p w14:paraId="786B06C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合格</w:t>
            </w:r>
          </w:p>
        </w:tc>
      </w:tr>
      <w:tr w14:paraId="7AC64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4" w:hRule="atLeast"/>
        </w:trPr>
        <w:tc>
          <w:tcPr>
            <w:tcW w:w="8522" w:type="dxa"/>
            <w:gridSpan w:val="6"/>
            <w:vAlign w:val="center"/>
          </w:tcPr>
          <w:p w14:paraId="4BB4D04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72A60E80">
            <w:pPr>
              <w:jc w:val="center"/>
            </w:pPr>
          </w:p>
          <w:p w14:paraId="3A0206A9">
            <w:r>
              <w:rPr>
                <w:rFonts w:hint="eastAsia"/>
              </w:rPr>
              <w:tab/>
            </w:r>
            <w:bookmarkStart w:id="2" w:name="_GoBack"/>
            <w:bookmarkEnd w:id="2"/>
          </w:p>
        </w:tc>
      </w:tr>
      <w:tr w14:paraId="01559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23F21DA3">
            <w:pPr>
              <w:jc w:val="center"/>
            </w:pPr>
            <w:r>
              <w:rPr>
                <w:rFonts w:hint="eastAsia"/>
              </w:rPr>
              <w:t>备注</w:t>
            </w:r>
          </w:p>
          <w:p w14:paraId="1A67CB69">
            <w:pPr>
              <w:jc w:val="center"/>
            </w:pPr>
            <w:r>
              <w:rPr>
                <w:rFonts w:hint="eastAsia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AF342C7">
            <w:pPr>
              <w:jc w:val="center"/>
            </w:pPr>
            <w:r>
              <w:rPr>
                <w:rFonts w:hint="eastAsia"/>
              </w:rPr>
              <w:t>None</w:t>
            </w:r>
          </w:p>
        </w:tc>
      </w:tr>
    </w:tbl>
    <w:p w14:paraId="0AF8FC41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2"/>
        <w:gridCol w:w="2200"/>
        <w:gridCol w:w="1661"/>
      </w:tblGrid>
      <w:tr w14:paraId="5DF87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27F593E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7AE2D2C">
            <w:pPr>
              <w:jc w:val="center"/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-36830</wp:posOffset>
                  </wp:positionH>
                  <wp:positionV relativeFrom="page">
                    <wp:posOffset>27940</wp:posOffset>
                  </wp:positionV>
                  <wp:extent cx="857885" cy="481330"/>
                  <wp:effectExtent l="0" t="0" r="18415" b="13970"/>
                  <wp:wrapSquare wrapText="bothSides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 9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885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2" w:type="dxa"/>
            <w:vAlign w:val="bottom"/>
          </w:tcPr>
          <w:p w14:paraId="678A4C1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200" w:type="dxa"/>
            <w:vMerge w:val="restart"/>
            <w:vAlign w:val="center"/>
          </w:tcPr>
          <w:p w14:paraId="3482CBFA">
            <w:pPr>
              <w:jc w:val="center"/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-58420</wp:posOffset>
                  </wp:positionH>
                  <wp:positionV relativeFrom="page">
                    <wp:posOffset>49530</wp:posOffset>
                  </wp:positionV>
                  <wp:extent cx="858520" cy="365760"/>
                  <wp:effectExtent l="0" t="0" r="17780" b="15240"/>
                  <wp:wrapSquare wrapText="bothSides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 9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61" w:type="dxa"/>
            <w:vAlign w:val="bottom"/>
          </w:tcPr>
          <w:p w14:paraId="14662123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81DD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87882A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B888A7A"/>
        </w:tc>
        <w:tc>
          <w:tcPr>
            <w:tcW w:w="1122" w:type="dxa"/>
            <w:vAlign w:val="top"/>
          </w:tcPr>
          <w:p w14:paraId="0304BC6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200" w:type="dxa"/>
            <w:vMerge w:val="continue"/>
          </w:tcPr>
          <w:p w14:paraId="78960567"/>
        </w:tc>
        <w:tc>
          <w:tcPr>
            <w:tcW w:w="1661" w:type="dxa"/>
            <w:vAlign w:val="top"/>
          </w:tcPr>
          <w:p w14:paraId="1BAE7EF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923994D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9A9D4E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C7503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DC1A758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793D97BC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AF2ED0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647CD8F9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6737D"/>
    <w:rsid w:val="00077E8C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54194"/>
    <w:rsid w:val="00397965"/>
    <w:rsid w:val="004A2EAD"/>
    <w:rsid w:val="004C69D2"/>
    <w:rsid w:val="00551163"/>
    <w:rsid w:val="00574D85"/>
    <w:rsid w:val="00594D41"/>
    <w:rsid w:val="00663F75"/>
    <w:rsid w:val="00666B2A"/>
    <w:rsid w:val="006D3572"/>
    <w:rsid w:val="0073747E"/>
    <w:rsid w:val="007738AD"/>
    <w:rsid w:val="00773A5A"/>
    <w:rsid w:val="007A51B5"/>
    <w:rsid w:val="007E2938"/>
    <w:rsid w:val="007F6E8F"/>
    <w:rsid w:val="008545C2"/>
    <w:rsid w:val="008655F1"/>
    <w:rsid w:val="00875D09"/>
    <w:rsid w:val="00877027"/>
    <w:rsid w:val="008F5AE4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1463"/>
    <w:rsid w:val="00C637AE"/>
    <w:rsid w:val="00CA242C"/>
    <w:rsid w:val="00D52634"/>
    <w:rsid w:val="00D93D8D"/>
    <w:rsid w:val="00E2201D"/>
    <w:rsid w:val="00E34947"/>
    <w:rsid w:val="00E73779"/>
    <w:rsid w:val="00EA0B0A"/>
    <w:rsid w:val="00F60BC8"/>
    <w:rsid w:val="00FA62A1"/>
    <w:rsid w:val="010A38A6"/>
    <w:rsid w:val="012701EA"/>
    <w:rsid w:val="015D585D"/>
    <w:rsid w:val="02047735"/>
    <w:rsid w:val="03071275"/>
    <w:rsid w:val="039B175F"/>
    <w:rsid w:val="04101D7D"/>
    <w:rsid w:val="045340A7"/>
    <w:rsid w:val="04625F90"/>
    <w:rsid w:val="04CA305F"/>
    <w:rsid w:val="05F07739"/>
    <w:rsid w:val="062663D6"/>
    <w:rsid w:val="07533A19"/>
    <w:rsid w:val="090A4D20"/>
    <w:rsid w:val="096C6DC1"/>
    <w:rsid w:val="0A277E81"/>
    <w:rsid w:val="0B083754"/>
    <w:rsid w:val="0B0C604B"/>
    <w:rsid w:val="0B1E2ADF"/>
    <w:rsid w:val="0C181306"/>
    <w:rsid w:val="0CAF717F"/>
    <w:rsid w:val="0D5C4350"/>
    <w:rsid w:val="10613399"/>
    <w:rsid w:val="11BF435B"/>
    <w:rsid w:val="12993892"/>
    <w:rsid w:val="13817AD4"/>
    <w:rsid w:val="13EA121F"/>
    <w:rsid w:val="158A3FD5"/>
    <w:rsid w:val="166955F8"/>
    <w:rsid w:val="167346E9"/>
    <w:rsid w:val="168B7C0E"/>
    <w:rsid w:val="16B71B14"/>
    <w:rsid w:val="17E219BD"/>
    <w:rsid w:val="18A90F9F"/>
    <w:rsid w:val="191E1608"/>
    <w:rsid w:val="19821FDC"/>
    <w:rsid w:val="19DC7ED6"/>
    <w:rsid w:val="1A906C26"/>
    <w:rsid w:val="1B4440B4"/>
    <w:rsid w:val="1BC52373"/>
    <w:rsid w:val="1BE13B04"/>
    <w:rsid w:val="1CAA6F29"/>
    <w:rsid w:val="1CE92A10"/>
    <w:rsid w:val="1D022859"/>
    <w:rsid w:val="1D3A24D8"/>
    <w:rsid w:val="1D3F72A7"/>
    <w:rsid w:val="1DE030B0"/>
    <w:rsid w:val="1EB91865"/>
    <w:rsid w:val="20A538E5"/>
    <w:rsid w:val="20C177EA"/>
    <w:rsid w:val="216F3AFE"/>
    <w:rsid w:val="21E64000"/>
    <w:rsid w:val="21FB60D3"/>
    <w:rsid w:val="22315184"/>
    <w:rsid w:val="23391B3E"/>
    <w:rsid w:val="24306A97"/>
    <w:rsid w:val="245331CC"/>
    <w:rsid w:val="246A3ACB"/>
    <w:rsid w:val="255E7C9F"/>
    <w:rsid w:val="259F0395"/>
    <w:rsid w:val="2652776F"/>
    <w:rsid w:val="2681079B"/>
    <w:rsid w:val="26FE40F5"/>
    <w:rsid w:val="27654AFF"/>
    <w:rsid w:val="28245882"/>
    <w:rsid w:val="282D10C5"/>
    <w:rsid w:val="296B532B"/>
    <w:rsid w:val="2CAE3607"/>
    <w:rsid w:val="2CD8600C"/>
    <w:rsid w:val="2D343A0C"/>
    <w:rsid w:val="2DB844A6"/>
    <w:rsid w:val="2FB81037"/>
    <w:rsid w:val="309704E6"/>
    <w:rsid w:val="317433D6"/>
    <w:rsid w:val="328034F1"/>
    <w:rsid w:val="333047AB"/>
    <w:rsid w:val="342D5F3C"/>
    <w:rsid w:val="343B4FB6"/>
    <w:rsid w:val="358E4F55"/>
    <w:rsid w:val="373864E1"/>
    <w:rsid w:val="374E0122"/>
    <w:rsid w:val="379B4960"/>
    <w:rsid w:val="3806412E"/>
    <w:rsid w:val="381C56D9"/>
    <w:rsid w:val="38DD48B6"/>
    <w:rsid w:val="39865FD6"/>
    <w:rsid w:val="3A103EB8"/>
    <w:rsid w:val="3A2E3F7A"/>
    <w:rsid w:val="3A3A4427"/>
    <w:rsid w:val="3A7F0825"/>
    <w:rsid w:val="3ABC7B9C"/>
    <w:rsid w:val="3AF622E2"/>
    <w:rsid w:val="3D1A0F14"/>
    <w:rsid w:val="3F480647"/>
    <w:rsid w:val="3FB94AA6"/>
    <w:rsid w:val="40F30ECD"/>
    <w:rsid w:val="419F3179"/>
    <w:rsid w:val="43486FC5"/>
    <w:rsid w:val="439D4A0F"/>
    <w:rsid w:val="44F80649"/>
    <w:rsid w:val="46FA73EB"/>
    <w:rsid w:val="47374A95"/>
    <w:rsid w:val="474E4A0A"/>
    <w:rsid w:val="489C6828"/>
    <w:rsid w:val="48AD3399"/>
    <w:rsid w:val="49441A41"/>
    <w:rsid w:val="498B70B7"/>
    <w:rsid w:val="49D82DB4"/>
    <w:rsid w:val="4A2E308E"/>
    <w:rsid w:val="4B82320F"/>
    <w:rsid w:val="4BD752D6"/>
    <w:rsid w:val="4C597C3E"/>
    <w:rsid w:val="4CCE170B"/>
    <w:rsid w:val="4D924EB8"/>
    <w:rsid w:val="4DA93FB0"/>
    <w:rsid w:val="4DEB2ADE"/>
    <w:rsid w:val="4DF33F22"/>
    <w:rsid w:val="4E9409E1"/>
    <w:rsid w:val="503D133A"/>
    <w:rsid w:val="50625ECA"/>
    <w:rsid w:val="50F25EDA"/>
    <w:rsid w:val="515F649C"/>
    <w:rsid w:val="51600CC4"/>
    <w:rsid w:val="53F35AE4"/>
    <w:rsid w:val="541F6D7A"/>
    <w:rsid w:val="54BD176E"/>
    <w:rsid w:val="55004C3E"/>
    <w:rsid w:val="552746CE"/>
    <w:rsid w:val="553B6729"/>
    <w:rsid w:val="559C07CD"/>
    <w:rsid w:val="56782A76"/>
    <w:rsid w:val="57477046"/>
    <w:rsid w:val="57FE3A17"/>
    <w:rsid w:val="585B563C"/>
    <w:rsid w:val="587F5252"/>
    <w:rsid w:val="595B4B59"/>
    <w:rsid w:val="599D610B"/>
    <w:rsid w:val="59A23E0D"/>
    <w:rsid w:val="5AE240E2"/>
    <w:rsid w:val="5C1309F9"/>
    <w:rsid w:val="5C1D492E"/>
    <w:rsid w:val="5C44324B"/>
    <w:rsid w:val="5E1F70B7"/>
    <w:rsid w:val="5E416A97"/>
    <w:rsid w:val="5EB207E4"/>
    <w:rsid w:val="5EC70115"/>
    <w:rsid w:val="5F493270"/>
    <w:rsid w:val="5F716F1F"/>
    <w:rsid w:val="601E6A07"/>
    <w:rsid w:val="612E55A2"/>
    <w:rsid w:val="620771B2"/>
    <w:rsid w:val="629D61FE"/>
    <w:rsid w:val="63585E05"/>
    <w:rsid w:val="64030F2F"/>
    <w:rsid w:val="646122F9"/>
    <w:rsid w:val="64CA1522"/>
    <w:rsid w:val="65AC56C9"/>
    <w:rsid w:val="67356DFB"/>
    <w:rsid w:val="68C66A0D"/>
    <w:rsid w:val="69A049DA"/>
    <w:rsid w:val="69AE6246"/>
    <w:rsid w:val="69EC72FC"/>
    <w:rsid w:val="6AF67EA6"/>
    <w:rsid w:val="6CA1749B"/>
    <w:rsid w:val="6F8F3031"/>
    <w:rsid w:val="72B52C8A"/>
    <w:rsid w:val="73812312"/>
    <w:rsid w:val="73E57241"/>
    <w:rsid w:val="74F02532"/>
    <w:rsid w:val="757F55DC"/>
    <w:rsid w:val="758E5902"/>
    <w:rsid w:val="76746635"/>
    <w:rsid w:val="77093907"/>
    <w:rsid w:val="77093D9E"/>
    <w:rsid w:val="770A4F84"/>
    <w:rsid w:val="770D3743"/>
    <w:rsid w:val="776D2089"/>
    <w:rsid w:val="7AB70A71"/>
    <w:rsid w:val="7AB756AF"/>
    <w:rsid w:val="7B1B4956"/>
    <w:rsid w:val="7B2A5E81"/>
    <w:rsid w:val="7B4C1D99"/>
    <w:rsid w:val="7C183711"/>
    <w:rsid w:val="7CB21B52"/>
    <w:rsid w:val="7DDC27DC"/>
    <w:rsid w:val="7E311A7F"/>
    <w:rsid w:val="7FFC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173</Words>
  <Characters>380</Characters>
  <Lines>4</Lines>
  <Paragraphs>1</Paragraphs>
  <TotalTime>2</TotalTime>
  <ScaleCrop>false</ScaleCrop>
  <LinksUpToDate>false</LinksUpToDate>
  <CharactersWithSpaces>414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2026-09-18T07:07:58Z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0EEB8F0F63E346559D32FA08343E38DF_13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