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Entity Framework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ADO.NET Entity Framework is designed to enable developers to create data access applications by programming against a conceptual application model instead of programming directly against a relational storage schema. The goal is to decrease the amount of code and maintenance required for data-oriented applications. Entity Framework applications provide the following benefits: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Applications can work in terms of a more application-centric conceptual model, including types with inheritance, complex members, and relationships.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Applications are freed from hard-coded dependencies on a particular data engine or storage schema.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Mappings between the conceptual model and the storage-specific schema can change without changing the application code.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Developers can work with a consistent application object model that can be mapped to various storage schemas, possibly implemented in different database management systems.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Multiple conceptual models can be mapped to a single storage schema.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Language-integrated query (LINQ) support provides compile-time syntax validation for queries against a conceptual model.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