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LINQ: Language Integrated 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 consistent, symmetrical manner  to  obtain and manipulate “data”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SQL-like query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Interact with numerous types of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IEnumerable&lt;T&gt;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RDB, DataSet, XML….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Give me the items inside of currentVideoGames that have more than six characters, ordered alphabetically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5133975" cy="466725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System.Array doesn’t Impl IEnumerable&lt;T&gt;, yet Static System.Linq.Enumerable extends its behavior.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No execution until iterating over the contents, e.g. ToArray()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If an Enumerable contains different data types, filter data using OfType&lt;T&gt;(). It can also convert non-generic data type(e.g. ArrayList) to typed enumerable.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// The following query shows that the standard query operators such as  // Where() can be applied to the ArrayList type after calling OfType(). IEnumerable&lt;string&gt; query2 = fruits.OfType&lt;string&gt;().Where(fruit =&gt; fruit.ToLower().Contains("n"));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C# query operators (such as from, in,  where, orderby, and select) compiles to various methods of the System.Linq.Enumerable or other 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5772150" cy="1885950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6172200" cy="131826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Query expressions are created using various C# query operators.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Query operators are shorthand notations for invoking methods defined by the Enumerable type.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Any method requiring a delegate parameter can instead be passed a lambda expression.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Lambda expressions are simply anonymous methods in disguise.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Anonymous methods are shorthand notations for allocating a raw delegate.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LINQ can do almost every thing SQL can do: sort, order, group, join, equals, distinct, count, max....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Limitation of var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Can’t be parameters, return values, or fields of a class type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Abandon var for strong typed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Rule="auto"/>
        <w:ind w:left="1200" w:right="0" w:hanging="360"/>
        <w:contextualSpacing w:val="1"/>
      </w:pPr>
      <w:r w:rsidDel="00000000" w:rsidR="00000000" w:rsidRPr="00000000">
        <w:rPr>
          <w:rtl w:val="0"/>
        </w:rPr>
        <w:t xml:space="preserve">E.g. IEnumerable&lt;string&gt;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Transforming Query Results to Array Types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3.jpg"/></Relationships>
</file>