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0381" w14:textId="77777777" w:rsidR="002A6C43" w:rsidRDefault="002A6C43">
      <w:pPr>
        <w:spacing w:after="400"/>
        <w:jc w:val="center"/>
        <w:rPr>
          <w:b/>
          <w:bCs/>
          <w:color w:val="1F3864"/>
          <w:sz w:val="56"/>
          <w:szCs w:val="56"/>
        </w:rPr>
      </w:pPr>
      <w:r w:rsidRPr="002A6C43">
        <w:rPr>
          <w:rFonts w:hint="eastAsia"/>
          <w:b/>
          <w:bCs/>
          <w:color w:val="1F3864"/>
          <w:sz w:val="56"/>
          <w:szCs w:val="56"/>
        </w:rPr>
        <w:t>双向驱动合同风险审查小助手</w:t>
      </w:r>
    </w:p>
    <w:p w14:paraId="1A832A2C" w14:textId="78872713" w:rsidR="001918A9" w:rsidRDefault="00000000">
      <w:pPr>
        <w:spacing w:after="400"/>
        <w:jc w:val="center"/>
      </w:pPr>
      <w:r>
        <w:rPr>
          <w:b/>
          <w:bCs/>
          <w:color w:val="2E5496"/>
          <w:sz w:val="40"/>
          <w:szCs w:val="40"/>
        </w:rPr>
        <w:t>研</w:t>
      </w:r>
      <w:r>
        <w:rPr>
          <w:b/>
          <w:bCs/>
          <w:color w:val="2E5496"/>
          <w:sz w:val="40"/>
          <w:szCs w:val="40"/>
        </w:rPr>
        <w:t xml:space="preserve"> </w:t>
      </w:r>
      <w:r>
        <w:rPr>
          <w:b/>
          <w:bCs/>
          <w:color w:val="2E5496"/>
          <w:sz w:val="40"/>
          <w:szCs w:val="40"/>
        </w:rPr>
        <w:t>究</w:t>
      </w:r>
      <w:r>
        <w:rPr>
          <w:b/>
          <w:bCs/>
          <w:color w:val="2E5496"/>
          <w:sz w:val="40"/>
          <w:szCs w:val="40"/>
        </w:rPr>
        <w:t xml:space="preserve"> </w:t>
      </w:r>
      <w:r>
        <w:rPr>
          <w:b/>
          <w:bCs/>
          <w:color w:val="2E5496"/>
          <w:sz w:val="40"/>
          <w:szCs w:val="40"/>
        </w:rPr>
        <w:t>报</w:t>
      </w:r>
      <w:r>
        <w:rPr>
          <w:b/>
          <w:bCs/>
          <w:color w:val="2E5496"/>
          <w:sz w:val="40"/>
          <w:szCs w:val="40"/>
        </w:rPr>
        <w:t xml:space="preserve"> </w:t>
      </w:r>
      <w:r>
        <w:rPr>
          <w:b/>
          <w:bCs/>
          <w:color w:val="2E5496"/>
          <w:sz w:val="40"/>
          <w:szCs w:val="40"/>
        </w:rPr>
        <w:t>告</w:t>
      </w:r>
    </w:p>
    <w:p w14:paraId="37E5246B" w14:textId="6DF6637A" w:rsidR="001918A9" w:rsidRPr="002A6DB4" w:rsidRDefault="00000000" w:rsidP="002A6DB4">
      <w:pPr>
        <w:spacing w:after="1600"/>
        <w:jc w:val="center"/>
        <w:rPr>
          <w:rFonts w:hint="eastAsia"/>
          <w:b/>
          <w:bCs/>
        </w:rPr>
      </w:pPr>
      <w:r w:rsidRPr="00DB499A">
        <w:rPr>
          <w:b/>
          <w:bCs/>
          <w:color w:val="444444"/>
          <w:sz w:val="26"/>
          <w:szCs w:val="26"/>
        </w:rPr>
        <w:t>——</w:t>
      </w:r>
      <w:r w:rsidR="002A6C43" w:rsidRPr="00DB499A">
        <w:rPr>
          <w:rFonts w:hint="eastAsia"/>
          <w:b/>
          <w:bCs/>
          <w:color w:val="444444"/>
          <w:sz w:val="26"/>
          <w:szCs w:val="26"/>
        </w:rPr>
        <w:t>规则驱动守正，合同驱动探新</w:t>
      </w:r>
    </w:p>
    <w:p w14:paraId="6CB2E94C" w14:textId="77777777" w:rsidR="001918A9" w:rsidRDefault="00000000">
      <w:r>
        <w:br w:type="page"/>
      </w:r>
    </w:p>
    <w:sdt>
      <w:sdtPr>
        <w:alias w:val="目  录"/>
        <w:id w:val="303353775"/>
      </w:sdtPr>
      <w:sdtContent>
        <w:p w14:paraId="26ACECF1" w14:textId="77777777" w:rsidR="00B2306C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5747" w:history="1">
            <w:r w:rsidR="00B2306C" w:rsidRPr="001D046A">
              <w:rPr>
                <w:rStyle w:val="a5"/>
                <w:rFonts w:hint="eastAsia"/>
                <w:noProof/>
              </w:rPr>
              <w:t>一、项目概述</w:t>
            </w:r>
            <w:r w:rsidR="00B2306C">
              <w:rPr>
                <w:rFonts w:hint="eastAsia"/>
                <w:noProof/>
              </w:rPr>
              <w:tab/>
            </w:r>
            <w:r w:rsidR="00B2306C">
              <w:rPr>
                <w:rFonts w:hint="eastAsia"/>
                <w:noProof/>
              </w:rPr>
              <w:fldChar w:fldCharType="begin"/>
            </w:r>
            <w:r w:rsidR="00B2306C">
              <w:rPr>
                <w:rFonts w:hint="eastAsia"/>
                <w:noProof/>
              </w:rPr>
              <w:instrText xml:space="preserve"> </w:instrText>
            </w:r>
            <w:r w:rsidR="00B2306C">
              <w:rPr>
                <w:noProof/>
              </w:rPr>
              <w:instrText>PAGEREF _Toc241495747 \h</w:instrText>
            </w:r>
            <w:r w:rsidR="00B2306C">
              <w:rPr>
                <w:rFonts w:hint="eastAsia"/>
                <w:noProof/>
              </w:rPr>
              <w:instrText xml:space="preserve"> </w:instrText>
            </w:r>
            <w:r w:rsidR="00B2306C">
              <w:rPr>
                <w:rFonts w:hint="eastAsia"/>
                <w:noProof/>
              </w:rPr>
            </w:r>
            <w:r w:rsidR="00B2306C">
              <w:rPr>
                <w:rFonts w:hint="eastAsia"/>
                <w:noProof/>
              </w:rPr>
              <w:fldChar w:fldCharType="separate"/>
            </w:r>
            <w:r w:rsidR="00B2306C">
              <w:rPr>
                <w:rFonts w:hint="eastAsia"/>
                <w:noProof/>
              </w:rPr>
              <w:t>3</w:t>
            </w:r>
            <w:r w:rsidR="00B2306C">
              <w:rPr>
                <w:rFonts w:hint="eastAsia"/>
                <w:noProof/>
              </w:rPr>
              <w:fldChar w:fldCharType="end"/>
            </w:r>
          </w:hyperlink>
        </w:p>
        <w:p w14:paraId="530A956B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48" w:history="1">
            <w:r w:rsidRPr="001D046A">
              <w:rPr>
                <w:rStyle w:val="a5"/>
                <w:rFonts w:hint="eastAsia"/>
                <w:noProof/>
              </w:rPr>
              <w:t xml:space="preserve">1.1 </w:t>
            </w:r>
            <w:r w:rsidRPr="001D046A">
              <w:rPr>
                <w:rStyle w:val="a5"/>
                <w:rFonts w:hint="eastAsia"/>
                <w:noProof/>
              </w:rPr>
              <w:t>研究背景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1308BB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49" w:history="1">
            <w:r w:rsidRPr="001D046A">
              <w:rPr>
                <w:rStyle w:val="a5"/>
                <w:rFonts w:hint="eastAsia"/>
                <w:noProof/>
              </w:rPr>
              <w:t xml:space="preserve">1.2 </w:t>
            </w:r>
            <w:r w:rsidRPr="001D046A">
              <w:rPr>
                <w:rStyle w:val="a5"/>
                <w:rFonts w:hint="eastAsia"/>
                <w:noProof/>
              </w:rPr>
              <w:t>问题定义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42C61F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0" w:history="1">
            <w:r w:rsidRPr="001D046A">
              <w:rPr>
                <w:rStyle w:val="a5"/>
                <w:rFonts w:hint="eastAsia"/>
                <w:noProof/>
              </w:rPr>
              <w:t xml:space="preserve">1.3 </w:t>
            </w:r>
            <w:r w:rsidRPr="001D046A">
              <w:rPr>
                <w:rStyle w:val="a5"/>
                <w:rFonts w:hint="eastAsia"/>
                <w:noProof/>
              </w:rPr>
              <w:t>研究目标与意义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B78B73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51" w:history="1">
            <w:r w:rsidRPr="001D046A">
              <w:rPr>
                <w:rStyle w:val="a5"/>
                <w:rFonts w:hint="eastAsia"/>
                <w:noProof/>
              </w:rPr>
              <w:t>二、国内外同类课题研究水平概述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6D7BBD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2" w:history="1">
            <w:r w:rsidRPr="001D046A">
              <w:rPr>
                <w:rStyle w:val="a5"/>
                <w:rFonts w:hint="eastAsia"/>
                <w:noProof/>
              </w:rPr>
              <w:t xml:space="preserve">2.1 </w:t>
            </w:r>
            <w:r w:rsidRPr="001D046A">
              <w:rPr>
                <w:rStyle w:val="a5"/>
                <w:rFonts w:hint="eastAsia"/>
                <w:noProof/>
              </w:rPr>
              <w:t>国外研究与应用现状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30EE02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3" w:history="1">
            <w:r w:rsidRPr="001D046A">
              <w:rPr>
                <w:rStyle w:val="a5"/>
                <w:rFonts w:hint="eastAsia"/>
                <w:noProof/>
              </w:rPr>
              <w:t xml:space="preserve">2.2 </w:t>
            </w:r>
            <w:r w:rsidRPr="001D046A">
              <w:rPr>
                <w:rStyle w:val="a5"/>
                <w:rFonts w:hint="eastAsia"/>
                <w:noProof/>
              </w:rPr>
              <w:t>国内研究与应用现状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278F3B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4" w:history="1">
            <w:r w:rsidRPr="001D046A">
              <w:rPr>
                <w:rStyle w:val="a5"/>
                <w:rFonts w:hint="eastAsia"/>
                <w:noProof/>
              </w:rPr>
              <w:t xml:space="preserve">2.3 </w:t>
            </w:r>
            <w:r w:rsidRPr="001D046A">
              <w:rPr>
                <w:rStyle w:val="a5"/>
                <w:rFonts w:hint="eastAsia"/>
                <w:noProof/>
              </w:rPr>
              <w:t>对比与本项目定位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AE8F5E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55" w:history="1">
            <w:r w:rsidRPr="001D046A">
              <w:rPr>
                <w:rStyle w:val="a5"/>
                <w:rFonts w:hint="eastAsia"/>
                <w:noProof/>
              </w:rPr>
              <w:t>三、项目设计说明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BEE730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6" w:history="1">
            <w:r w:rsidRPr="001D046A">
              <w:rPr>
                <w:rStyle w:val="a5"/>
                <w:rFonts w:hint="eastAsia"/>
                <w:noProof/>
              </w:rPr>
              <w:t xml:space="preserve">3.1 </w:t>
            </w:r>
            <w:r w:rsidRPr="001D046A">
              <w:rPr>
                <w:rStyle w:val="a5"/>
                <w:rFonts w:hint="eastAsia"/>
                <w:noProof/>
              </w:rPr>
              <w:t>总体设计思路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B7CE58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7" w:history="1">
            <w:r w:rsidRPr="001D046A">
              <w:rPr>
                <w:rStyle w:val="a5"/>
                <w:rFonts w:hint="eastAsia"/>
                <w:noProof/>
              </w:rPr>
              <w:t xml:space="preserve">3.2 </w:t>
            </w:r>
            <w:r w:rsidRPr="001D046A">
              <w:rPr>
                <w:rStyle w:val="a5"/>
                <w:rFonts w:hint="eastAsia"/>
                <w:noProof/>
              </w:rPr>
              <w:t>系统架构：四层单向依赖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73B865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8" w:history="1">
            <w:r w:rsidRPr="001D046A">
              <w:rPr>
                <w:rStyle w:val="a5"/>
                <w:rFonts w:hint="eastAsia"/>
                <w:noProof/>
              </w:rPr>
              <w:t xml:space="preserve">3.3 </w:t>
            </w:r>
            <w:r w:rsidRPr="001D046A">
              <w:rPr>
                <w:rStyle w:val="a5"/>
                <w:rFonts w:hint="eastAsia"/>
                <w:noProof/>
              </w:rPr>
              <w:t>数据闭环设计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75DDE6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59" w:history="1">
            <w:r w:rsidRPr="001D046A">
              <w:rPr>
                <w:rStyle w:val="a5"/>
                <w:rFonts w:hint="eastAsia"/>
                <w:noProof/>
              </w:rPr>
              <w:t xml:space="preserve">3.4 </w:t>
            </w:r>
            <w:r w:rsidRPr="001D046A">
              <w:rPr>
                <w:rStyle w:val="a5"/>
                <w:rFonts w:hint="eastAsia"/>
                <w:noProof/>
              </w:rPr>
              <w:t>关键设计决策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CE86E9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60" w:history="1">
            <w:r w:rsidRPr="001D046A">
              <w:rPr>
                <w:rStyle w:val="a5"/>
                <w:rFonts w:hint="eastAsia"/>
                <w:noProof/>
              </w:rPr>
              <w:t>四、项目科学性与先进性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1A87FC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61" w:history="1">
            <w:r w:rsidRPr="001D046A">
              <w:rPr>
                <w:rStyle w:val="a5"/>
                <w:rFonts w:hint="eastAsia"/>
                <w:noProof/>
              </w:rPr>
              <w:t xml:space="preserve">4.1 </w:t>
            </w:r>
            <w:r w:rsidRPr="001D046A">
              <w:rPr>
                <w:rStyle w:val="a5"/>
                <w:rFonts w:hint="eastAsia"/>
                <w:noProof/>
              </w:rPr>
              <w:t>科学性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DFCB9B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62" w:history="1">
            <w:r w:rsidRPr="001D046A">
              <w:rPr>
                <w:rStyle w:val="a5"/>
                <w:rFonts w:hint="eastAsia"/>
                <w:noProof/>
              </w:rPr>
              <w:t xml:space="preserve">4.2 </w:t>
            </w:r>
            <w:r w:rsidRPr="001D046A">
              <w:rPr>
                <w:rStyle w:val="a5"/>
                <w:rFonts w:hint="eastAsia"/>
                <w:noProof/>
              </w:rPr>
              <w:t>先进性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92B2DB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63" w:history="1">
            <w:r w:rsidRPr="001D046A">
              <w:rPr>
                <w:rStyle w:val="a5"/>
                <w:rFonts w:hint="eastAsia"/>
                <w:noProof/>
              </w:rPr>
              <w:t>五、核心机制：双向驱动审查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E44237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64" w:history="1">
            <w:r w:rsidRPr="001D046A">
              <w:rPr>
                <w:rStyle w:val="a5"/>
                <w:rFonts w:hint="eastAsia"/>
                <w:noProof/>
              </w:rPr>
              <w:t xml:space="preserve">5.1 </w:t>
            </w:r>
            <w:r w:rsidRPr="001D046A">
              <w:rPr>
                <w:rStyle w:val="a5"/>
                <w:rFonts w:hint="eastAsia"/>
                <w:noProof/>
              </w:rPr>
              <w:t>正向</w:t>
            </w:r>
            <w:r w:rsidRPr="001D046A">
              <w:rPr>
                <w:rStyle w:val="a5"/>
                <w:rFonts w:hint="eastAsia"/>
                <w:noProof/>
              </w:rPr>
              <w:t xml:space="preserve"> </w:t>
            </w:r>
            <w:r w:rsidRPr="001D046A">
              <w:rPr>
                <w:rStyle w:val="a5"/>
                <w:rFonts w:hint="eastAsia"/>
                <w:noProof/>
              </w:rPr>
              <w:t>·</w:t>
            </w:r>
            <w:r w:rsidRPr="001D046A">
              <w:rPr>
                <w:rStyle w:val="a5"/>
                <w:rFonts w:hint="eastAsia"/>
                <w:noProof/>
              </w:rPr>
              <w:t xml:space="preserve"> </w:t>
            </w:r>
            <w:r w:rsidRPr="001D046A">
              <w:rPr>
                <w:rStyle w:val="a5"/>
                <w:rFonts w:hint="eastAsia"/>
                <w:noProof/>
              </w:rPr>
              <w:t>规则驱动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CD1CD5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65" w:history="1">
            <w:r w:rsidRPr="001D046A">
              <w:rPr>
                <w:rStyle w:val="a5"/>
                <w:rFonts w:hint="eastAsia"/>
                <w:noProof/>
              </w:rPr>
              <w:t xml:space="preserve">5.2 </w:t>
            </w:r>
            <w:r w:rsidRPr="001D046A">
              <w:rPr>
                <w:rStyle w:val="a5"/>
                <w:rFonts w:hint="eastAsia"/>
                <w:noProof/>
              </w:rPr>
              <w:t>反向</w:t>
            </w:r>
            <w:r w:rsidRPr="001D046A">
              <w:rPr>
                <w:rStyle w:val="a5"/>
                <w:rFonts w:hint="eastAsia"/>
                <w:noProof/>
              </w:rPr>
              <w:t xml:space="preserve"> </w:t>
            </w:r>
            <w:r w:rsidRPr="001D046A">
              <w:rPr>
                <w:rStyle w:val="a5"/>
                <w:rFonts w:hint="eastAsia"/>
                <w:noProof/>
              </w:rPr>
              <w:t>·</w:t>
            </w:r>
            <w:r w:rsidRPr="001D046A">
              <w:rPr>
                <w:rStyle w:val="a5"/>
                <w:rFonts w:hint="eastAsia"/>
                <w:noProof/>
              </w:rPr>
              <w:t xml:space="preserve"> </w:t>
            </w:r>
            <w:r w:rsidRPr="001D046A">
              <w:rPr>
                <w:rStyle w:val="a5"/>
                <w:rFonts w:hint="eastAsia"/>
                <w:noProof/>
              </w:rPr>
              <w:t>合同驱动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D803F2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66" w:history="1">
            <w:r w:rsidRPr="001D046A">
              <w:rPr>
                <w:rStyle w:val="a5"/>
                <w:rFonts w:hint="eastAsia"/>
                <w:noProof/>
              </w:rPr>
              <w:t xml:space="preserve">5.3 </w:t>
            </w:r>
            <w:r w:rsidRPr="001D046A">
              <w:rPr>
                <w:rStyle w:val="a5"/>
                <w:rFonts w:hint="eastAsia"/>
                <w:noProof/>
              </w:rPr>
              <w:t>双引擎互补关系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1C62B0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67" w:history="1">
            <w:r w:rsidRPr="001D046A">
              <w:rPr>
                <w:rStyle w:val="a5"/>
                <w:rFonts w:hint="eastAsia"/>
                <w:noProof/>
              </w:rPr>
              <w:t>六、关键技术实现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02B282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68" w:history="1">
            <w:r w:rsidRPr="001D046A">
              <w:rPr>
                <w:rStyle w:val="a5"/>
                <w:rFonts w:hint="eastAsia"/>
                <w:noProof/>
              </w:rPr>
              <w:t xml:space="preserve">6.1 </w:t>
            </w:r>
            <w:r w:rsidRPr="001D046A">
              <w:rPr>
                <w:rStyle w:val="a5"/>
                <w:rFonts w:hint="eastAsia"/>
                <w:noProof/>
              </w:rPr>
              <w:t>混合检索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870463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69" w:history="1">
            <w:r w:rsidRPr="001D046A">
              <w:rPr>
                <w:rStyle w:val="a5"/>
                <w:rFonts w:hint="eastAsia"/>
                <w:noProof/>
              </w:rPr>
              <w:t xml:space="preserve">6.2 </w:t>
            </w:r>
            <w:r w:rsidRPr="001D046A">
              <w:rPr>
                <w:rStyle w:val="a5"/>
                <w:rFonts w:hint="eastAsia"/>
                <w:noProof/>
              </w:rPr>
              <w:t>条款级切分与定位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C017AA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70" w:history="1">
            <w:r w:rsidRPr="001D046A">
              <w:rPr>
                <w:rStyle w:val="a5"/>
                <w:rFonts w:hint="eastAsia"/>
                <w:noProof/>
              </w:rPr>
              <w:t xml:space="preserve">6.3 </w:t>
            </w:r>
            <w:r w:rsidRPr="001D046A">
              <w:rPr>
                <w:rStyle w:val="a5"/>
                <w:rFonts w:hint="eastAsia"/>
                <w:noProof/>
              </w:rPr>
              <w:t>规则与合同类型映射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58BC76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71" w:history="1">
            <w:r w:rsidRPr="001D046A">
              <w:rPr>
                <w:rStyle w:val="a5"/>
                <w:rFonts w:hint="eastAsia"/>
                <w:noProof/>
              </w:rPr>
              <w:t xml:space="preserve">6.4 </w:t>
            </w:r>
            <w:r w:rsidRPr="001D046A">
              <w:rPr>
                <w:rStyle w:val="a5"/>
                <w:rFonts w:hint="eastAsia"/>
                <w:noProof/>
              </w:rPr>
              <w:t>流式输出与增量落盘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42BD54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72" w:history="1">
            <w:r w:rsidRPr="001D046A">
              <w:rPr>
                <w:rStyle w:val="a5"/>
                <w:rFonts w:hint="eastAsia"/>
                <w:noProof/>
              </w:rPr>
              <w:t xml:space="preserve">6.5 </w:t>
            </w:r>
            <w:r w:rsidRPr="001D046A">
              <w:rPr>
                <w:rStyle w:val="a5"/>
                <w:rFonts w:hint="eastAsia"/>
                <w:noProof/>
              </w:rPr>
              <w:t>统一模型适配层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661DC6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73" w:history="1">
            <w:r w:rsidRPr="001D046A">
              <w:rPr>
                <w:rStyle w:val="a5"/>
                <w:rFonts w:hint="eastAsia"/>
                <w:noProof/>
              </w:rPr>
              <w:t>七、技术特点与优势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912219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74" w:history="1">
            <w:r w:rsidRPr="001D046A">
              <w:rPr>
                <w:rStyle w:val="a5"/>
                <w:rFonts w:hint="eastAsia"/>
                <w:noProof/>
              </w:rPr>
              <w:t>八、使用说明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D60BE0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75" w:history="1">
            <w:r w:rsidRPr="001D046A">
              <w:rPr>
                <w:rStyle w:val="a5"/>
                <w:rFonts w:hint="eastAsia"/>
                <w:noProof/>
              </w:rPr>
              <w:t>九、应用场景与实施路径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924E57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76" w:history="1">
            <w:r w:rsidRPr="001D046A">
              <w:rPr>
                <w:rStyle w:val="a5"/>
                <w:rFonts w:hint="eastAsia"/>
                <w:noProof/>
              </w:rPr>
              <w:t xml:space="preserve">9.1 </w:t>
            </w:r>
            <w:r w:rsidRPr="001D046A">
              <w:rPr>
                <w:rStyle w:val="a5"/>
                <w:rFonts w:hint="eastAsia"/>
                <w:noProof/>
              </w:rPr>
              <w:t>应用场景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D441C3" w14:textId="77777777" w:rsidR="00B2306C" w:rsidRDefault="00B2306C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41495777" w:history="1">
            <w:r w:rsidRPr="001D046A">
              <w:rPr>
                <w:rStyle w:val="a5"/>
                <w:rFonts w:hint="eastAsia"/>
                <w:noProof/>
              </w:rPr>
              <w:t xml:space="preserve">9.2 </w:t>
            </w:r>
            <w:r w:rsidRPr="001D046A">
              <w:rPr>
                <w:rStyle w:val="a5"/>
                <w:rFonts w:hint="eastAsia"/>
                <w:noProof/>
              </w:rPr>
              <w:t>实施路径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EBADBA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78" w:history="1">
            <w:r w:rsidRPr="001D046A">
              <w:rPr>
                <w:rStyle w:val="a5"/>
                <w:rFonts w:hint="eastAsia"/>
                <w:noProof/>
              </w:rPr>
              <w:t>十、演进路线与未来展望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74BB3F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79" w:history="1">
            <w:r w:rsidRPr="001D046A">
              <w:rPr>
                <w:rStyle w:val="a5"/>
                <w:rFonts w:hint="eastAsia"/>
                <w:noProof/>
              </w:rPr>
              <w:t>十一、结论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403155" w14:textId="77777777" w:rsidR="00B2306C" w:rsidRDefault="00B230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1495780" w:history="1">
            <w:r w:rsidRPr="001D046A">
              <w:rPr>
                <w:rStyle w:val="a5"/>
                <w:rFonts w:hint="eastAsia"/>
                <w:noProof/>
              </w:rPr>
              <w:t>十二、项目获奖及鉴定结果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_Toc241495780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B174BB" w14:textId="77777777" w:rsidR="001918A9" w:rsidRDefault="00000000">
          <w:r>
            <w:fldChar w:fldCharType="end"/>
          </w:r>
        </w:p>
      </w:sdtContent>
    </w:sdt>
    <w:p w14:paraId="0FD7DE29" w14:textId="77777777" w:rsidR="001918A9" w:rsidRDefault="00000000">
      <w:r>
        <w:br w:type="page"/>
      </w:r>
    </w:p>
    <w:p w14:paraId="67729586" w14:textId="77777777" w:rsidR="001918A9" w:rsidRDefault="00000000">
      <w:pPr>
        <w:pStyle w:val="1"/>
      </w:pPr>
      <w:bookmarkStart w:id="0" w:name="_Toc241495747"/>
      <w:r>
        <w:lastRenderedPageBreak/>
        <w:t>一、项目概述</w:t>
      </w:r>
      <w:bookmarkEnd w:id="0"/>
    </w:p>
    <w:p w14:paraId="31DF233A" w14:textId="77777777" w:rsidR="001918A9" w:rsidRDefault="00000000">
      <w:pPr>
        <w:pStyle w:val="2"/>
      </w:pPr>
      <w:bookmarkStart w:id="1" w:name="_Toc241495748"/>
      <w:r>
        <w:t>1.1 研究背景</w:t>
      </w:r>
      <w:bookmarkEnd w:id="1"/>
    </w:p>
    <w:p w14:paraId="585730F9" w14:textId="77777777" w:rsidR="001918A9" w:rsidRDefault="00000000">
      <w:pPr>
        <w:spacing w:before="60" w:after="60" w:line="320" w:lineRule="auto"/>
        <w:ind w:firstLine="480"/>
      </w:pPr>
      <w:r>
        <w:t>合同是企业经营活动中风险最为集中的法律载体。传统合同审查高度依赖法务人员逐条比对风险清单，存在三方面突出问题：一是工作量大，一份复杂合同往往涉及数十项风险点，人工通读与比对耗时冗长；二是标准不一，不同审查人员的经验差异导致结论口径不一致；三是知识难沉淀，审查经验停留在个人层面，无法转化为组织可复用的资产，同类风险在不同合同中被反复发现、反复讨论。</w:t>
      </w:r>
    </w:p>
    <w:p w14:paraId="23FEB68C" w14:textId="77777777" w:rsidR="001918A9" w:rsidRDefault="00000000">
      <w:pPr>
        <w:spacing w:before="60" w:after="60" w:line="320" w:lineRule="auto"/>
        <w:ind w:firstLine="480"/>
      </w:pPr>
      <w:r>
        <w:t>与此同时，通用大模型在合同问答上的应用虽已普及，但其典型用法是</w:t>
      </w:r>
      <w:r>
        <w:t>“</w:t>
      </w:r>
      <w:r>
        <w:t>将整份合同一次性交给模型判断</w:t>
      </w:r>
      <w:r>
        <w:t>”</w:t>
      </w:r>
      <w:r>
        <w:t>。这种方式的结论往往缺乏依据支撑，无法对应到具体条款与行号，也难以按企业自有的风险清单逐条核对，更难以满足合规审计对</w:t>
      </w:r>
      <w:r>
        <w:t>“</w:t>
      </w:r>
      <w:r>
        <w:t>可追溯</w:t>
      </w:r>
      <w:r>
        <w:t>”</w:t>
      </w:r>
      <w:r>
        <w:t>的要求。因此，亟需一种既借助模型语义能力、又保持规则确定性与可审计性的合同审查方案。</w:t>
      </w:r>
    </w:p>
    <w:p w14:paraId="7DADD686" w14:textId="77777777" w:rsidR="001918A9" w:rsidRDefault="00000000">
      <w:pPr>
        <w:pStyle w:val="2"/>
      </w:pPr>
      <w:bookmarkStart w:id="2" w:name="_Toc241495749"/>
      <w:r>
        <w:t>1.2 问题定义</w:t>
      </w:r>
      <w:bookmarkEnd w:id="2"/>
    </w:p>
    <w:p w14:paraId="110BBF54" w14:textId="77777777" w:rsidR="001918A9" w:rsidRDefault="00000000">
      <w:pPr>
        <w:spacing w:before="60" w:after="60" w:line="320" w:lineRule="auto"/>
        <w:ind w:firstLine="480"/>
      </w:pPr>
      <w:r>
        <w:t>本项目将合同审查问题形式化定义为两类互补的判定任务：</w:t>
      </w:r>
    </w:p>
    <w:p w14:paraId="0AB7BBAE" w14:textId="77777777" w:rsidR="001918A9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正向判定（清单之内）：给定企业标准风险清单，逐条判断该风险是否在合同中被触发。</w:t>
      </w:r>
    </w:p>
    <w:p w14:paraId="45A7C499" w14:textId="77777777" w:rsidR="001918A9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反向判定（清单之外）：给定合同条款片段，判断其中是否存在标准清单未覆盖的潜在风险。</w:t>
      </w:r>
    </w:p>
    <w:p w14:paraId="502DF8DF" w14:textId="77777777" w:rsidR="001918A9" w:rsidRDefault="00000000">
      <w:pPr>
        <w:spacing w:before="60" w:after="60" w:line="320" w:lineRule="auto"/>
        <w:ind w:firstLine="480"/>
      </w:pPr>
      <w:r>
        <w:t>前者保证确定性与可审计，后者保证发现力与扩展性。二者并行构成</w:t>
      </w:r>
      <w:r>
        <w:t>“</w:t>
      </w:r>
      <w:r>
        <w:t>一正一反、双向驱动</w:t>
      </w:r>
      <w:r>
        <w:t>”</w:t>
      </w:r>
      <w:r>
        <w:t>的审查机制。</w:t>
      </w:r>
    </w:p>
    <w:p w14:paraId="0EB1744E" w14:textId="77777777" w:rsidR="001918A9" w:rsidRDefault="00000000">
      <w:pPr>
        <w:pStyle w:val="2"/>
      </w:pPr>
      <w:bookmarkStart w:id="3" w:name="_Toc241495750"/>
      <w:r>
        <w:t>1.3 研究目标与意义</w:t>
      </w:r>
      <w:bookmarkEnd w:id="3"/>
    </w:p>
    <w:p w14:paraId="48C7A063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构建人机协同闭环：以机器完成全量初筛，以专家完成关键定性，显著降低法务工时。</w:t>
      </w:r>
    </w:p>
    <w:p w14:paraId="2D60DDD1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实现双向覆盖：既守住既定清单，又探明清单盲区，降低漏检与误检。</w:t>
      </w:r>
    </w:p>
    <w:p w14:paraId="782A6B52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保证可追溯可审计：每条风险均可定位至合同原文的具体文档与行号。</w:t>
      </w:r>
    </w:p>
    <w:p w14:paraId="0E64252C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形成知识自演进：复核结论持续回流，使系统越用越准，沉淀组织级知识资产。</w:t>
      </w:r>
    </w:p>
    <w:p w14:paraId="32F2D08B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支撑私有化交付：零中间件、单文件数据库，满足合同数据不出内网的合规要求。</w:t>
      </w:r>
    </w:p>
    <w:p w14:paraId="283729E2" w14:textId="77777777" w:rsidR="001918A9" w:rsidRDefault="00000000">
      <w:pPr>
        <w:pStyle w:val="1"/>
      </w:pPr>
      <w:bookmarkStart w:id="4" w:name="_Toc241495751"/>
      <w:r>
        <w:t>二、国内外同类课题研究水平概述</w:t>
      </w:r>
      <w:bookmarkEnd w:id="4"/>
    </w:p>
    <w:p w14:paraId="674E7E38" w14:textId="77777777" w:rsidR="001918A9" w:rsidRDefault="00000000">
      <w:pPr>
        <w:pStyle w:val="2"/>
      </w:pPr>
      <w:bookmarkStart w:id="5" w:name="_Toc241495752"/>
      <w:r>
        <w:lastRenderedPageBreak/>
        <w:t>2.1 国外研究与应用现状</w:t>
      </w:r>
      <w:bookmarkEnd w:id="5"/>
    </w:p>
    <w:p w14:paraId="494D103F" w14:textId="77777777" w:rsidR="001918A9" w:rsidRDefault="00000000">
      <w:pPr>
        <w:spacing w:before="60" w:after="60" w:line="320" w:lineRule="auto"/>
        <w:ind w:firstLine="480"/>
      </w:pPr>
      <w:r>
        <w:t>国外法律科技（</w:t>
      </w:r>
      <w:r>
        <w:t>LegalTech</w:t>
      </w:r>
      <w:r>
        <w:t>）领域起步较早，已形成相对成熟的产品体系，代表性产品包括</w:t>
      </w:r>
      <w:r>
        <w:t xml:space="preserve"> Kira</w:t>
      </w:r>
      <w:r>
        <w:t>、</w:t>
      </w:r>
      <w:r>
        <w:t>Luminance</w:t>
      </w:r>
      <w:r>
        <w:t>、</w:t>
      </w:r>
      <w:r>
        <w:t>Ironclad</w:t>
      </w:r>
      <w:r>
        <w:t>、</w:t>
      </w:r>
      <w:r>
        <w:t>ContractPodAi</w:t>
      </w:r>
      <w:r>
        <w:t>，以及近年来以大模型为核心的</w:t>
      </w:r>
      <w:r>
        <w:t xml:space="preserve"> Harvey </w:t>
      </w:r>
      <w:r>
        <w:t>等。其主流技术路线是依托大模型的条款抽取、分类与问答能力，以云端</w:t>
      </w:r>
      <w:r>
        <w:t xml:space="preserve"> SaaS </w:t>
      </w:r>
      <w:r>
        <w:t>方式交付，规则体系多为平台预置模板。</w:t>
      </w:r>
    </w:p>
    <w:p w14:paraId="2C751BED" w14:textId="77777777" w:rsidR="001918A9" w:rsidRDefault="00000000">
      <w:pPr>
        <w:spacing w:before="60" w:after="60" w:line="320" w:lineRule="auto"/>
        <w:ind w:firstLine="480"/>
      </w:pPr>
      <w:r>
        <w:t>该路线的优势在于产品化程度高、交互体验成熟；局限亦较明显：合同数据需出域至云端，难以满足强合规行业的数据本地化要求；预置规则与本土法律语境适配不足；按企业自有清单逐条比对、按合同类型定制规则集的能力较弱，且企业私有知识难以沉淀。</w:t>
      </w:r>
    </w:p>
    <w:p w14:paraId="23BD212D" w14:textId="77777777" w:rsidR="001918A9" w:rsidRDefault="00000000">
      <w:pPr>
        <w:pStyle w:val="2"/>
      </w:pPr>
      <w:bookmarkStart w:id="6" w:name="_Toc241495753"/>
      <w:r>
        <w:t>2.2 国内研究与应用现状</w:t>
      </w:r>
      <w:bookmarkEnd w:id="6"/>
    </w:p>
    <w:p w14:paraId="29AE792A" w14:textId="77777777" w:rsidR="001918A9" w:rsidRDefault="00000000">
      <w:pPr>
        <w:spacing w:before="60" w:after="60" w:line="320" w:lineRule="auto"/>
        <w:ind w:firstLine="480"/>
      </w:pPr>
      <w:r>
        <w:t>国内法务数字化整体处于快速起步阶段，现有方案主要集中于三类：一是以文档管理、电子签章、</w:t>
      </w:r>
      <w:r>
        <w:t xml:space="preserve">OCR </w:t>
      </w:r>
      <w:r>
        <w:t>抽取为主的流程数字化工具，解决的是</w:t>
      </w:r>
      <w:r>
        <w:t>“</w:t>
      </w:r>
      <w:r>
        <w:t>存与签</w:t>
      </w:r>
      <w:r>
        <w:t>”</w:t>
      </w:r>
      <w:r>
        <w:t>而非</w:t>
      </w:r>
      <w:r>
        <w:t>“</w:t>
      </w:r>
      <w:r>
        <w:t>审</w:t>
      </w:r>
      <w:r>
        <w:t>”</w:t>
      </w:r>
      <w:r>
        <w:t>；二是基于通用大模型的问答式合同助手，交互便捷但结论通常不可追溯、不可按企业清单逐条核对；三是传统规则引擎方案，可解释性强但缺乏语义理解能力与盲区发现能力。</w:t>
      </w:r>
    </w:p>
    <w:p w14:paraId="256B147B" w14:textId="77777777" w:rsidR="001918A9" w:rsidRDefault="00000000">
      <w:pPr>
        <w:spacing w:before="60" w:after="60" w:line="320" w:lineRule="auto"/>
        <w:ind w:firstLine="480"/>
      </w:pPr>
      <w:r>
        <w:t>整体来看，同时具备</w:t>
      </w:r>
      <w:r>
        <w:t>“</w:t>
      </w:r>
      <w:r>
        <w:t>可私有化部署、按企业自有规则逐条审查、结论可定位可审计、并能随复核持续进化</w:t>
      </w:r>
      <w:r>
        <w:t>”</w:t>
      </w:r>
      <w:r>
        <w:t>特征的方案仍较为稀缺。</w:t>
      </w:r>
    </w:p>
    <w:p w14:paraId="17FD6C75" w14:textId="77777777" w:rsidR="001918A9" w:rsidRDefault="00000000">
      <w:pPr>
        <w:pStyle w:val="2"/>
      </w:pPr>
      <w:bookmarkStart w:id="7" w:name="_Toc241495754"/>
      <w:r>
        <w:t>2.3 对比与本项目定位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26"/>
        <w:gridCol w:w="2400"/>
      </w:tblGrid>
      <w:tr w:rsidR="001918A9" w14:paraId="32AEE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79B3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对比维度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C6E1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国外主流产品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9381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国内常见方案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C01E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本项目</w:t>
            </w:r>
          </w:p>
        </w:tc>
      </w:tr>
      <w:tr w:rsidR="001918A9" w14:paraId="0C8D6B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F92F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交付形态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84C6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云端</w:t>
            </w:r>
            <w:r>
              <w:rPr>
                <w:sz w:val="21"/>
                <w:szCs w:val="21"/>
              </w:rPr>
              <w:t xml:space="preserve"> SaaS </w:t>
            </w:r>
            <w:r>
              <w:rPr>
                <w:sz w:val="21"/>
                <w:szCs w:val="21"/>
              </w:rPr>
              <w:t>为主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6DC8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本地化或混合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60EF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完全私有化，单文件库交付</w:t>
            </w:r>
          </w:p>
        </w:tc>
      </w:tr>
      <w:tr w:rsidR="001918A9" w14:paraId="7F33E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6402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规则体系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607E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平台预置模板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8B5A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通用模型或无规则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E3C4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企业自有清单，可按合同类型配置</w:t>
            </w:r>
          </w:p>
        </w:tc>
      </w:tr>
      <w:tr w:rsidR="001918A9" w14:paraId="6BEF3A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D19E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审查逻辑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3FA3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条款抽取与分类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349E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整篇问答式判断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7A87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双向驱动：清单之内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清单之外</w:t>
            </w:r>
          </w:p>
        </w:tc>
      </w:tr>
      <w:tr w:rsidR="001918A9" w14:paraId="379380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2A76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可追溯性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E53C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部分支持条款定位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E5A5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多数不可追溯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C349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风险可定位至文档与行号</w:t>
            </w:r>
          </w:p>
        </w:tc>
      </w:tr>
      <w:tr w:rsidR="001918A9" w14:paraId="4F18BC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7018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知识沉淀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0F74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平台侧知识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9A99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基本无沉淀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C809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复核结论回流，越用越准</w:t>
            </w:r>
          </w:p>
        </w:tc>
      </w:tr>
      <w:tr w:rsidR="001918A9" w14:paraId="236040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4718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模型依赖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2608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绑定自有模型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D13C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绑定单一大模型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AA7C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模型可换，本地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远端均可</w:t>
            </w:r>
          </w:p>
        </w:tc>
      </w:tr>
    </w:tbl>
    <w:p w14:paraId="3E84F77A" w14:textId="77777777" w:rsidR="001918A9" w:rsidRDefault="00000000">
      <w:pPr>
        <w:spacing w:before="200" w:after="60" w:line="320" w:lineRule="auto"/>
        <w:ind w:firstLine="480"/>
      </w:pPr>
      <w:r>
        <w:lastRenderedPageBreak/>
        <w:t>本项目的差异不在于</w:t>
      </w:r>
      <w:r>
        <w:t>“</w:t>
      </w:r>
      <w:r>
        <w:t>用了更大的模型</w:t>
      </w:r>
      <w:r>
        <w:t>”</w:t>
      </w:r>
      <w:r>
        <w:t>，而在于审查的覆盖逻辑与知识沉淀机制，目标是形成可落地、可审计、可成长的合同风控能力。</w:t>
      </w:r>
    </w:p>
    <w:p w14:paraId="0E16E03C" w14:textId="77777777" w:rsidR="001918A9" w:rsidRDefault="00000000">
      <w:pPr>
        <w:pStyle w:val="1"/>
      </w:pPr>
      <w:bookmarkStart w:id="8" w:name="_Toc241495755"/>
      <w:r>
        <w:t>三、项目设计说明</w:t>
      </w:r>
      <w:bookmarkEnd w:id="8"/>
    </w:p>
    <w:p w14:paraId="1EA51A44" w14:textId="77777777" w:rsidR="001918A9" w:rsidRDefault="00000000">
      <w:pPr>
        <w:pStyle w:val="2"/>
      </w:pPr>
      <w:bookmarkStart w:id="9" w:name="_Toc241495756"/>
      <w:r>
        <w:t>3.1 总体设计思路</w:t>
      </w:r>
      <w:bookmarkEnd w:id="9"/>
    </w:p>
    <w:p w14:paraId="3EED6C95" w14:textId="77777777" w:rsidR="001918A9" w:rsidRDefault="00000000">
      <w:pPr>
        <w:spacing w:before="60" w:after="60" w:line="320" w:lineRule="auto"/>
        <w:ind w:firstLine="480"/>
      </w:pPr>
      <w:r>
        <w:t>项目以</w:t>
      </w:r>
      <w:r>
        <w:t>“</w:t>
      </w:r>
      <w:r>
        <w:t>一正一反、双向驱动</w:t>
      </w:r>
      <w:r>
        <w:t>”</w:t>
      </w:r>
      <w:r>
        <w:t>为核心审查机制，构建</w:t>
      </w:r>
      <w:r>
        <w:t>“</w:t>
      </w:r>
      <w:r>
        <w:t>合同接入</w:t>
      </w:r>
      <w:r>
        <w:t xml:space="preserve"> → </w:t>
      </w:r>
      <w:r>
        <w:t>检索</w:t>
      </w:r>
      <w:r>
        <w:t xml:space="preserve"> → </w:t>
      </w:r>
      <w:r>
        <w:t>审查</w:t>
      </w:r>
      <w:r>
        <w:t xml:space="preserve"> → </w:t>
      </w:r>
      <w:r>
        <w:t>复核</w:t>
      </w:r>
      <w:r>
        <w:t xml:space="preserve"> → </w:t>
      </w:r>
      <w:r>
        <w:t>回流</w:t>
      </w:r>
      <w:r>
        <w:t xml:space="preserve"> → </w:t>
      </w:r>
      <w:r>
        <w:t>更准</w:t>
      </w:r>
      <w:r>
        <w:t>”</w:t>
      </w:r>
      <w:r>
        <w:t>的数据闭环。正向以标准风险清单为纲逐条比对，守住清单之内；反向从合同片段出发反查规则与知识库，探出清单之外。两条路径并行产出、互为补集。</w:t>
      </w:r>
    </w:p>
    <w:p w14:paraId="356B6DB7" w14:textId="77777777" w:rsidR="001918A9" w:rsidRDefault="00000000">
      <w:pPr>
        <w:spacing w:before="60" w:after="60" w:line="320" w:lineRule="auto"/>
        <w:ind w:firstLine="480"/>
      </w:pPr>
      <w:r>
        <w:t>工程上遵循</w:t>
      </w:r>
      <w:r>
        <w:t>“</w:t>
      </w:r>
      <w:r>
        <w:t>叠加而非重构</w:t>
      </w:r>
      <w:r>
        <w:t>”</w:t>
      </w:r>
      <w:r>
        <w:t>原则：新增能力以增量方式落位于业务层，接入层与应用层零改动，从而保证系统演进过程中的稳定性。</w:t>
      </w:r>
    </w:p>
    <w:p w14:paraId="755CDA4C" w14:textId="77777777" w:rsidR="001918A9" w:rsidRDefault="00000000">
      <w:pPr>
        <w:pStyle w:val="2"/>
      </w:pPr>
      <w:bookmarkStart w:id="10" w:name="_Toc241495757"/>
      <w:r>
        <w:t>3.2 系统架构：四层单向依赖</w:t>
      </w:r>
      <w:bookmarkEnd w:id="10"/>
    </w:p>
    <w:p w14:paraId="062F8721" w14:textId="77777777" w:rsidR="001918A9" w:rsidRDefault="00000000">
      <w:pPr>
        <w:spacing w:before="60" w:after="60" w:line="320" w:lineRule="auto"/>
        <w:ind w:firstLine="480"/>
      </w:pPr>
      <w:r>
        <w:t>系统划分为四层，依赖方向严格自上而下，反向调用不存在，这是改动安全的第一准则。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826"/>
        <w:gridCol w:w="2600"/>
      </w:tblGrid>
      <w:tr w:rsidR="001918A9" w14:paraId="45240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B7A8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8A7D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定位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AAD0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核心组成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B963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主要职责</w:t>
            </w:r>
          </w:p>
        </w:tc>
      </w:tr>
      <w:tr w:rsidR="001918A9" w14:paraId="5567D4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CE32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接入层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02B2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前台与传菜口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38C9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控制台、命令行、</w:t>
            </w:r>
            <w:r>
              <w:rPr>
                <w:sz w:val="21"/>
                <w:szCs w:val="21"/>
              </w:rPr>
              <w:t xml:space="preserve">MCP </w:t>
            </w:r>
            <w:r>
              <w:rPr>
                <w:sz w:val="21"/>
                <w:szCs w:val="21"/>
              </w:rPr>
              <w:t>服务、</w:t>
            </w:r>
            <w:r>
              <w:rPr>
                <w:sz w:val="21"/>
                <w:szCs w:val="21"/>
              </w:rPr>
              <w:t xml:space="preserve">HTTP </w:t>
            </w:r>
            <w:r>
              <w:rPr>
                <w:sz w:val="21"/>
                <w:szCs w:val="21"/>
              </w:rPr>
              <w:t>路由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53DB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入口接入、协议解析、鉴权与流式推送</w:t>
            </w:r>
          </w:p>
        </w:tc>
      </w:tr>
      <w:tr w:rsidR="001918A9" w14:paraId="3719B3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013D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业务层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3802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厨师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7D12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双引擎审查、问答编排、规则治理、知识资产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D4EF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业务判断与流程编排</w:t>
            </w:r>
          </w:p>
        </w:tc>
      </w:tr>
      <w:tr w:rsidR="001918A9" w14:paraId="583035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B860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能力层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26B2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灶台与食材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6330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混合检索、</w:t>
            </w:r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适配层、文档处理原语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1130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提供可复用能力，不含业务语义</w:t>
            </w:r>
          </w:p>
        </w:tc>
      </w:tr>
      <w:tr w:rsidR="001918A9" w14:paraId="15014F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11DD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存储层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1756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仓库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2619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SQLite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FTS5 </w:t>
            </w:r>
            <w:r>
              <w:rPr>
                <w:sz w:val="21"/>
                <w:szCs w:val="21"/>
              </w:rPr>
              <w:t>全文</w:t>
            </w:r>
            <w:r>
              <w:rPr>
                <w:sz w:val="21"/>
                <w:szCs w:val="21"/>
              </w:rPr>
              <w:t xml:space="preserve"> + sqlite-vec </w:t>
            </w:r>
            <w:r>
              <w:rPr>
                <w:sz w:val="21"/>
                <w:szCs w:val="21"/>
              </w:rPr>
              <w:t>向量）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371D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结构化数据与索引统一承载</w:t>
            </w:r>
          </w:p>
        </w:tc>
      </w:tr>
    </w:tbl>
    <w:p w14:paraId="6E63BD77" w14:textId="77777777" w:rsidR="001918A9" w:rsidRDefault="00000000">
      <w:pPr>
        <w:pStyle w:val="2"/>
      </w:pPr>
      <w:bookmarkStart w:id="11" w:name="_Toc241495758"/>
      <w:r>
        <w:t>3.3 数据闭环设计</w:t>
      </w:r>
      <w:bookmarkEnd w:id="11"/>
    </w:p>
    <w:p w14:paraId="036868EF" w14:textId="77777777" w:rsidR="001918A9" w:rsidRDefault="00000000">
      <w:pPr>
        <w:spacing w:before="60" w:after="60" w:line="320" w:lineRule="auto"/>
        <w:ind w:firstLine="480"/>
      </w:pPr>
      <w:r>
        <w:t>数据在</w:t>
      </w:r>
      <w:r>
        <w:t>“</w:t>
      </w:r>
      <w:r>
        <w:t>合同</w:t>
      </w:r>
      <w:r>
        <w:t xml:space="preserve"> → </w:t>
      </w:r>
      <w:r>
        <w:t>索引</w:t>
      </w:r>
      <w:r>
        <w:t xml:space="preserve"> → </w:t>
      </w:r>
      <w:r>
        <w:t>审查</w:t>
      </w:r>
      <w:r>
        <w:t xml:space="preserve"> → </w:t>
      </w:r>
      <w:r>
        <w:t>复核</w:t>
      </w:r>
      <w:r>
        <w:t xml:space="preserve"> → </w:t>
      </w:r>
      <w:r>
        <w:t>知识</w:t>
      </w:r>
      <w:r>
        <w:t xml:space="preserve"> → </w:t>
      </w:r>
      <w:r>
        <w:t>合同</w:t>
      </w:r>
      <w:r>
        <w:t>”</w:t>
      </w:r>
      <w:r>
        <w:t>之间单向流动并逐轮增强：合同接入后建立全文与向量索引；审查时经混合检索取回依据；复核结论回流为知识库内容；回流知识在下一轮审查中被优先检索，从而持续提升判定质量。</w:t>
      </w:r>
    </w:p>
    <w:p w14:paraId="578E3F1D" w14:textId="77777777" w:rsidR="001918A9" w:rsidRDefault="00000000">
      <w:pPr>
        <w:pStyle w:val="2"/>
      </w:pPr>
      <w:bookmarkStart w:id="12" w:name="_Toc241495759"/>
      <w:r>
        <w:t>3.4 关键设计决策</w:t>
      </w:r>
      <w:bookmarkEnd w:id="12"/>
    </w:p>
    <w:p w14:paraId="07180E69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lastRenderedPageBreak/>
        <w:t>叠加而非重构：双引擎只增量落在业务层，接入层零改动。</w:t>
      </w:r>
    </w:p>
    <w:p w14:paraId="40ED8193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零新依赖：复用既有检索与</w:t>
      </w:r>
      <w:r>
        <w:t xml:space="preserve"> LLM </w:t>
      </w:r>
      <w:r>
        <w:t>原语，不重复造轮子、不引入中间件。</w:t>
      </w:r>
    </w:p>
    <w:p w14:paraId="7290BD6A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长任务绕行：命令行直连业务层规避请求超时；</w:t>
      </w:r>
      <w:r>
        <w:t xml:space="preserve">HTTP </w:t>
      </w:r>
      <w:r>
        <w:t>侧以</w:t>
      </w:r>
      <w:r>
        <w:t xml:space="preserve"> SSE </w:t>
      </w:r>
      <w:r>
        <w:t>流式输出并按条款增量落盘，中断仍保留可用结论。</w:t>
      </w:r>
    </w:p>
    <w:p w14:paraId="35BF839E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模型可换：本地推理与远端推理只改一处配置，上层业务无感。</w:t>
      </w:r>
    </w:p>
    <w:p w14:paraId="0F2924D6" w14:textId="77777777" w:rsidR="001918A9" w:rsidRDefault="00000000">
      <w:pPr>
        <w:pStyle w:val="1"/>
      </w:pPr>
      <w:bookmarkStart w:id="13" w:name="_Toc241495760"/>
      <w:r>
        <w:t>四、项目科学性与先进性</w:t>
      </w:r>
      <w:bookmarkEnd w:id="13"/>
    </w:p>
    <w:p w14:paraId="3876D074" w14:textId="77777777" w:rsidR="001918A9" w:rsidRDefault="00000000">
      <w:pPr>
        <w:pStyle w:val="2"/>
      </w:pPr>
      <w:bookmarkStart w:id="14" w:name="_Toc241495761"/>
      <w:r>
        <w:t>4.1 科学性</w:t>
      </w:r>
      <w:bookmarkEnd w:id="14"/>
    </w:p>
    <w:p w14:paraId="4127BA26" w14:textId="77777777" w:rsidR="001918A9" w:rsidRDefault="00000000">
      <w:pPr>
        <w:spacing w:before="60" w:after="60" w:line="320" w:lineRule="auto"/>
        <w:ind w:firstLine="480"/>
      </w:pPr>
      <w:r>
        <w:t>项目将依赖经验的合同审查工作拆解为两个可形式化判定的子问题，并以检索增强生成（</w:t>
      </w:r>
      <w:r>
        <w:t>RAG</w:t>
      </w:r>
      <w:r>
        <w:t>）作为共同底座：所有判定均以检索到的条款原文为依据，结论可追溯、可复现，从机制上抑制模型的自由发挥。同时，以</w:t>
      </w:r>
      <w:r>
        <w:t>“</w:t>
      </w:r>
      <w:r>
        <w:t>清单覆盖</w:t>
      </w:r>
      <w:r>
        <w:t>”</w:t>
      </w:r>
      <w:r>
        <w:t>与</w:t>
      </w:r>
      <w:r>
        <w:t>“</w:t>
      </w:r>
      <w:r>
        <w:t>清单盲区</w:t>
      </w:r>
      <w:r>
        <w:t>”</w:t>
      </w:r>
      <w:r>
        <w:t>构成互补判据，在保证确定性的同时降低漏检。</w:t>
      </w:r>
    </w:p>
    <w:p w14:paraId="2C1D0CA3" w14:textId="77777777" w:rsidR="001918A9" w:rsidRDefault="00000000">
      <w:pPr>
        <w:pStyle w:val="2"/>
      </w:pPr>
      <w:bookmarkStart w:id="15" w:name="_Toc241495762"/>
      <w:r>
        <w:t>4.2 先进性</w:t>
      </w:r>
      <w:bookmarkEnd w:id="15"/>
    </w:p>
    <w:p w14:paraId="717A91F8" w14:textId="77777777" w:rsidR="001918A9" w:rsidRDefault="00000000" w:rsidP="00D8488A">
      <w:pPr>
        <w:pStyle w:val="a4"/>
        <w:numPr>
          <w:ilvl w:val="0"/>
          <w:numId w:val="5"/>
        </w:numPr>
        <w:spacing w:before="40" w:after="40" w:line="300" w:lineRule="auto"/>
      </w:pPr>
      <w:r>
        <w:t>双向驱动审查机制：正向规则驱动保证确定性与可审计，反向合同驱动保证发现力，突破单一</w:t>
      </w:r>
      <w:r>
        <w:t>“</w:t>
      </w:r>
      <w:r>
        <w:t>整篇丢给大模型</w:t>
      </w:r>
      <w:r>
        <w:t>”</w:t>
      </w:r>
      <w:r>
        <w:t>的范式。</w:t>
      </w:r>
    </w:p>
    <w:p w14:paraId="063EBF3F" w14:textId="77777777" w:rsidR="001918A9" w:rsidRDefault="00000000" w:rsidP="00D8488A">
      <w:pPr>
        <w:pStyle w:val="a4"/>
        <w:numPr>
          <w:ilvl w:val="0"/>
          <w:numId w:val="5"/>
        </w:numPr>
        <w:spacing w:before="40" w:after="40" w:line="300" w:lineRule="auto"/>
      </w:pPr>
      <w:r>
        <w:t>混合检索底座：向量语义召回与</w:t>
      </w:r>
      <w:r>
        <w:t xml:space="preserve"> BM25 </w:t>
      </w:r>
      <w:r>
        <w:t>关键词召回并行，辅以可选重排精排，兼顾语义相近与字面命中；并按所选集合类型自动判定检索模式，无需人工切换。</w:t>
      </w:r>
    </w:p>
    <w:p w14:paraId="303B99F2" w14:textId="77777777" w:rsidR="001918A9" w:rsidRDefault="00000000" w:rsidP="00D8488A">
      <w:pPr>
        <w:pStyle w:val="a4"/>
        <w:numPr>
          <w:ilvl w:val="0"/>
          <w:numId w:val="5"/>
        </w:numPr>
        <w:spacing w:before="40" w:after="40" w:line="300" w:lineRule="auto"/>
      </w:pPr>
      <w:r>
        <w:t>条款级定位与全链路可追溯：风险条目携带命中规则、风险等级、原文摘录、出处行号与整改建议，支持一键定位原文。</w:t>
      </w:r>
    </w:p>
    <w:p w14:paraId="798DAC62" w14:textId="77777777" w:rsidR="001918A9" w:rsidRDefault="00000000" w:rsidP="00D8488A">
      <w:pPr>
        <w:pStyle w:val="a4"/>
        <w:numPr>
          <w:ilvl w:val="0"/>
          <w:numId w:val="5"/>
        </w:numPr>
        <w:spacing w:before="40" w:after="40" w:line="300" w:lineRule="auto"/>
      </w:pPr>
      <w:r>
        <w:t>规则可配置与知识自演进：通过合同类型与规则集的映射实现按类型精细配置；复核结论既回流知识库，也回流为规则修订与提示词优化样本。</w:t>
      </w:r>
    </w:p>
    <w:p w14:paraId="4B1B12C7" w14:textId="77777777" w:rsidR="001918A9" w:rsidRDefault="00000000" w:rsidP="00D8488A">
      <w:pPr>
        <w:pStyle w:val="a4"/>
        <w:numPr>
          <w:ilvl w:val="0"/>
          <w:numId w:val="5"/>
        </w:numPr>
        <w:spacing w:before="40" w:after="40" w:line="300" w:lineRule="auto"/>
      </w:pPr>
      <w:r>
        <w:t>工程实现先进：单文件数据库承载全文与向量索引，零中间件；流式输出与增量落盘具备抗中断能力；模型层完全解耦。</w:t>
      </w:r>
    </w:p>
    <w:p w14:paraId="68AC3AC6" w14:textId="77777777" w:rsidR="001918A9" w:rsidRDefault="00000000">
      <w:pPr>
        <w:pStyle w:val="1"/>
      </w:pPr>
      <w:bookmarkStart w:id="16" w:name="_Toc241495763"/>
      <w:r>
        <w:t>五、核心机制：双向驱动审查</w:t>
      </w:r>
      <w:bookmarkEnd w:id="16"/>
    </w:p>
    <w:p w14:paraId="3257C002" w14:textId="77777777" w:rsidR="001918A9" w:rsidRDefault="00000000">
      <w:pPr>
        <w:pStyle w:val="2"/>
      </w:pPr>
      <w:bookmarkStart w:id="17" w:name="_Toc241495764"/>
      <w:r>
        <w:t>5.1 正向 · 规则驱动</w:t>
      </w:r>
      <w:bookmarkEnd w:id="17"/>
    </w:p>
    <w:p w14:paraId="6B6DCCCA" w14:textId="77777777" w:rsidR="001918A9" w:rsidRDefault="00000000">
      <w:pPr>
        <w:spacing w:before="60" w:after="60" w:line="320" w:lineRule="auto"/>
        <w:ind w:firstLine="480"/>
      </w:pPr>
      <w:r>
        <w:t>以企业标准风险清单（当前内置</w:t>
      </w:r>
      <w:r>
        <w:t xml:space="preserve"> 44 </w:t>
      </w:r>
      <w:r>
        <w:t>条运营类风险要素清单）为纲，对清单逐条检索合同与知识库，由模型判定是否命中。适用于规则相对固定的合同类型，核心价值是守住</w:t>
      </w:r>
      <w:r>
        <w:t>“</w:t>
      </w:r>
      <w:r>
        <w:t>清单之</w:t>
      </w:r>
      <w:r>
        <w:lastRenderedPageBreak/>
        <w:t>内</w:t>
      </w:r>
      <w:r>
        <w:t>”</w:t>
      </w:r>
      <w:r>
        <w:t>的确定性风险，结论稳定、可解释、可审计。</w:t>
      </w:r>
    </w:p>
    <w:p w14:paraId="6E5646D5" w14:textId="77777777" w:rsidR="001918A9" w:rsidRDefault="00000000">
      <w:pPr>
        <w:pStyle w:val="2"/>
      </w:pPr>
      <w:bookmarkStart w:id="18" w:name="_Toc241495765"/>
      <w:r>
        <w:t>5.2 反向 · 合同驱动</w:t>
      </w:r>
      <w:bookmarkEnd w:id="18"/>
    </w:p>
    <w:p w14:paraId="7EE8577B" w14:textId="77777777" w:rsidR="001918A9" w:rsidRDefault="00000000">
      <w:pPr>
        <w:spacing w:before="60" w:after="60" w:line="320" w:lineRule="auto"/>
        <w:ind w:firstLine="480"/>
      </w:pPr>
      <w:r>
        <w:t>以合同条款片段为起点，在完成条款级切分后反查规则库与知识库，由模型显式标注为</w:t>
      </w:r>
      <w:r>
        <w:t>“</w:t>
      </w:r>
      <w:r>
        <w:t>预料内（</w:t>
      </w:r>
      <w:r>
        <w:t>expected</w:t>
      </w:r>
      <w:r>
        <w:t>）</w:t>
      </w:r>
      <w:r>
        <w:t>”</w:t>
      </w:r>
      <w:r>
        <w:t>或</w:t>
      </w:r>
      <w:r>
        <w:t>“</w:t>
      </w:r>
      <w:r>
        <w:t>预料外（</w:t>
      </w:r>
      <w:r>
        <w:t>unexpected</w:t>
      </w:r>
      <w:r>
        <w:t>）</w:t>
      </w:r>
      <w:r>
        <w:t>”</w:t>
      </w:r>
      <w:r>
        <w:t>。适用于规则尚未固化的合同类型，核心价值是探出</w:t>
      </w:r>
      <w:r>
        <w:t>“</w:t>
      </w:r>
      <w:r>
        <w:t>清单之外</w:t>
      </w:r>
      <w:r>
        <w:t>”</w:t>
      </w:r>
      <w:r>
        <w:t>的盲区风险。</w:t>
      </w:r>
    </w:p>
    <w:p w14:paraId="3270FE7F" w14:textId="77777777" w:rsidR="001918A9" w:rsidRDefault="00000000">
      <w:pPr>
        <w:pStyle w:val="2"/>
      </w:pPr>
      <w:bookmarkStart w:id="19" w:name="_Toc241495766"/>
      <w:r>
        <w:t>5.3 双引擎互补关系</w:t>
      </w:r>
      <w:bookmarkEnd w:id="19"/>
    </w:p>
    <w:p w14:paraId="33E02EDF" w14:textId="77777777" w:rsidR="001918A9" w:rsidRDefault="00000000">
      <w:pPr>
        <w:spacing w:before="60" w:after="60" w:line="320" w:lineRule="auto"/>
        <w:ind w:firstLine="480"/>
      </w:pPr>
      <w:r>
        <w:t>两条路径并行产出、互为补集：正向保证不遗漏既定规则，反向保证不遗漏未知风险。同时，系统支持按合同类型配置专属规则集</w:t>
      </w:r>
      <w:r>
        <w:t>——</w:t>
      </w:r>
      <w:r>
        <w:t>已配置的类型按配置执行，未配置的类型沿用默认全集，从而支持从</w:t>
      </w:r>
      <w:r>
        <w:t>“</w:t>
      </w:r>
      <w:r>
        <w:t>统一清单</w:t>
      </w:r>
      <w:r>
        <w:t>”</w:t>
      </w:r>
      <w:r>
        <w:t>到</w:t>
      </w:r>
      <w:r>
        <w:t>“</w:t>
      </w:r>
      <w:r>
        <w:t>分类型精细规则</w:t>
      </w:r>
      <w:r>
        <w:t>”</w:t>
      </w:r>
      <w:r>
        <w:t>的平滑过渡。</w:t>
      </w:r>
    </w:p>
    <w:p w14:paraId="3A72E798" w14:textId="77777777" w:rsidR="001918A9" w:rsidRDefault="00000000">
      <w:pPr>
        <w:pStyle w:val="1"/>
      </w:pPr>
      <w:bookmarkStart w:id="20" w:name="_Toc241495767"/>
      <w:r>
        <w:t>六、关键技术实现</w:t>
      </w:r>
      <w:bookmarkEnd w:id="20"/>
    </w:p>
    <w:p w14:paraId="652B901A" w14:textId="77777777" w:rsidR="001918A9" w:rsidRDefault="00000000">
      <w:pPr>
        <w:pStyle w:val="2"/>
      </w:pPr>
      <w:bookmarkStart w:id="21" w:name="_Toc241495768"/>
      <w:r>
        <w:t>6.1 混合检索</w:t>
      </w:r>
      <w:bookmarkEnd w:id="21"/>
    </w:p>
    <w:p w14:paraId="53442623" w14:textId="77777777" w:rsidR="001918A9" w:rsidRDefault="00000000">
      <w:pPr>
        <w:spacing w:before="60" w:after="60" w:line="320" w:lineRule="auto"/>
        <w:ind w:firstLine="480"/>
      </w:pPr>
      <w:r>
        <w:t>检索入口统一编排查询扩展、向量召回、</w:t>
      </w:r>
      <w:r>
        <w:t xml:space="preserve">BM25 </w:t>
      </w:r>
      <w:r>
        <w:t>关键词召回与可选重排，支持原始模式、知识库模式与混合模式三种形态。选择不同集合时，模式由所选集合的类型自动判定，无需用户手动切换。</w:t>
      </w:r>
    </w:p>
    <w:p w14:paraId="7877EDBE" w14:textId="77777777" w:rsidR="001918A9" w:rsidRDefault="00000000">
      <w:pPr>
        <w:pStyle w:val="2"/>
      </w:pPr>
      <w:bookmarkStart w:id="22" w:name="_Toc241495769"/>
      <w:r>
        <w:t>6.2 条款级切分与定位</w:t>
      </w:r>
      <w:bookmarkEnd w:id="22"/>
    </w:p>
    <w:p w14:paraId="2BE89AD8" w14:textId="77777777" w:rsidR="001918A9" w:rsidRDefault="00000000">
      <w:pPr>
        <w:spacing w:before="60" w:after="60" w:line="320" w:lineRule="auto"/>
        <w:ind w:firstLine="480"/>
      </w:pPr>
      <w:r>
        <w:t>采用分块与重叠窗口策略切分合同内容，保留条款边界与上下文，避免信息割裂；检索与审查结果可回溯到原文文档与行号，支撑</w:t>
      </w:r>
      <w:r>
        <w:t>“</w:t>
      </w:r>
      <w:r>
        <w:t>定位原文</w:t>
      </w:r>
      <w:r>
        <w:t>”</w:t>
      </w:r>
      <w:r>
        <w:t>的精确定位能力。</w:t>
      </w:r>
    </w:p>
    <w:p w14:paraId="15891E06" w14:textId="77777777" w:rsidR="001918A9" w:rsidRDefault="00000000">
      <w:pPr>
        <w:pStyle w:val="2"/>
      </w:pPr>
      <w:bookmarkStart w:id="23" w:name="_Toc241495770"/>
      <w:r>
        <w:t>6.3 规则与合同类型映射</w:t>
      </w:r>
      <w:bookmarkEnd w:id="23"/>
    </w:p>
    <w:p w14:paraId="48517F95" w14:textId="77777777" w:rsidR="001918A9" w:rsidRDefault="00000000">
      <w:pPr>
        <w:spacing w:before="60" w:after="60" w:line="320" w:lineRule="auto"/>
        <w:ind w:firstLine="480"/>
      </w:pPr>
      <w:r>
        <w:t>通过合同类型与规则集的关联映射，实现按合同类型精细配置专属规则集；未配置的类型沿用默认全集，保证兼容性与灰度过渡能力。</w:t>
      </w:r>
    </w:p>
    <w:p w14:paraId="799841D4" w14:textId="77777777" w:rsidR="001918A9" w:rsidRDefault="00000000">
      <w:pPr>
        <w:pStyle w:val="2"/>
      </w:pPr>
      <w:bookmarkStart w:id="24" w:name="_Toc241495771"/>
      <w:r>
        <w:t>6.4 流式输出与增量落盘</w:t>
      </w:r>
      <w:bookmarkEnd w:id="24"/>
    </w:p>
    <w:p w14:paraId="612265E3" w14:textId="77777777" w:rsidR="001918A9" w:rsidRDefault="00000000">
      <w:pPr>
        <w:spacing w:before="60" w:after="60" w:line="320" w:lineRule="auto"/>
        <w:ind w:firstLine="480"/>
      </w:pPr>
      <w:r>
        <w:t>问答与审查结果通过</w:t>
      </w:r>
      <w:r>
        <w:t xml:space="preserve"> SSE </w:t>
      </w:r>
      <w:r>
        <w:t>流式增量推送；审查过程按条款增量持久化，即使长耗时任务被中断，也能保留已产出的部分可用结论。</w:t>
      </w:r>
    </w:p>
    <w:p w14:paraId="7FABA9AD" w14:textId="77777777" w:rsidR="001918A9" w:rsidRDefault="00000000">
      <w:pPr>
        <w:pStyle w:val="2"/>
      </w:pPr>
      <w:bookmarkStart w:id="25" w:name="_Toc241495772"/>
      <w:r>
        <w:t>6.5 统一模型适配层</w:t>
      </w:r>
      <w:bookmarkEnd w:id="25"/>
    </w:p>
    <w:p w14:paraId="7799477B" w14:textId="77777777" w:rsidR="001918A9" w:rsidRDefault="00000000">
      <w:pPr>
        <w:spacing w:before="60" w:after="60" w:line="320" w:lineRule="auto"/>
        <w:ind w:firstLine="480"/>
      </w:pPr>
      <w:r>
        <w:lastRenderedPageBreak/>
        <w:t>通过统一适配层屏蔽本地推理与远端</w:t>
      </w:r>
      <w:r>
        <w:t xml:space="preserve"> OpenAI </w:t>
      </w:r>
      <w:r>
        <w:t>兼容接口的差异，生成、嵌入与重排三类调用共用同一出口，实现</w:t>
      </w:r>
      <w:r>
        <w:t>“</w:t>
      </w:r>
      <w:r>
        <w:t>模型可换、只改一处配置</w:t>
      </w:r>
      <w:r>
        <w:t>”</w:t>
      </w:r>
      <w:r>
        <w:t>。</w:t>
      </w:r>
    </w:p>
    <w:p w14:paraId="4E5840C7" w14:textId="77777777" w:rsidR="001918A9" w:rsidRDefault="00000000">
      <w:pPr>
        <w:pStyle w:val="1"/>
      </w:pPr>
      <w:bookmarkStart w:id="26" w:name="_Toc241495773"/>
      <w:r>
        <w:t>七、技术特点与优势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918A9" w14:paraId="42EBF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FF51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84EB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1918A9" w14:paraId="7C437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9C2B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审查机制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22EB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双向驱动（规则驱动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合同驱动），覆盖清单之内与清单之外</w:t>
            </w:r>
          </w:p>
        </w:tc>
      </w:tr>
      <w:tr w:rsidR="001918A9" w14:paraId="423ED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BEFA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检索能力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608D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向量</w:t>
            </w:r>
            <w:r>
              <w:rPr>
                <w:sz w:val="21"/>
                <w:szCs w:val="21"/>
              </w:rPr>
              <w:t xml:space="preserve"> + BM25 + </w:t>
            </w:r>
            <w:r>
              <w:rPr>
                <w:sz w:val="21"/>
                <w:szCs w:val="21"/>
              </w:rPr>
              <w:t>可选重排，按集合类型自动判定模式</w:t>
            </w:r>
          </w:p>
        </w:tc>
      </w:tr>
      <w:tr w:rsidR="001918A9" w14:paraId="7BAA1A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F621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可追溯性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4FAA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条款级定位，风险可回溯至文档与行号，结论可审计</w:t>
            </w:r>
          </w:p>
        </w:tc>
      </w:tr>
      <w:tr w:rsidR="001918A9" w14:paraId="187A5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CB1D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规则治理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E34A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合同类型与规则集映射，支持专属规则集与默认全集两种口径</w:t>
            </w:r>
          </w:p>
        </w:tc>
      </w:tr>
      <w:tr w:rsidR="001918A9" w14:paraId="38EED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2DCE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可靠性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0C5B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SSE </w:t>
            </w:r>
            <w:r>
              <w:rPr>
                <w:sz w:val="21"/>
                <w:szCs w:val="21"/>
              </w:rPr>
              <w:t>流式输出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按条款增量落盘，长任务抗中断</w:t>
            </w:r>
          </w:p>
        </w:tc>
      </w:tr>
      <w:tr w:rsidR="001918A9" w14:paraId="612B9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C878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部署形态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7D96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零中间件、单文件数据库，完全内网私有化，数据不出域</w:t>
            </w:r>
          </w:p>
        </w:tc>
      </w:tr>
      <w:tr w:rsidR="001918A9" w14:paraId="56550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CFCE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成本可控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072C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模型本地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云端可换，避免绑定单一厂商</w:t>
            </w:r>
          </w:p>
        </w:tc>
      </w:tr>
      <w:tr w:rsidR="001918A9" w14:paraId="161A7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1EA8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持续进化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D844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复核结论回流知识库，误报逐轮下降、命中逐轮提升</w:t>
            </w:r>
          </w:p>
        </w:tc>
      </w:tr>
    </w:tbl>
    <w:p w14:paraId="111D6B09" w14:textId="77777777" w:rsidR="001918A9" w:rsidRDefault="00000000">
      <w:pPr>
        <w:pStyle w:val="1"/>
      </w:pPr>
      <w:bookmarkStart w:id="27" w:name="_Toc241495774"/>
      <w:r>
        <w:t>八、使用说明</w:t>
      </w:r>
      <w:bookmarkEnd w:id="27"/>
    </w:p>
    <w:p w14:paraId="309FEC32" w14:textId="77777777" w:rsidR="001918A9" w:rsidRDefault="00000000" w:rsidP="00D8488A">
      <w:pPr>
        <w:pStyle w:val="a4"/>
        <w:numPr>
          <w:ilvl w:val="0"/>
          <w:numId w:val="4"/>
        </w:numPr>
        <w:spacing w:before="40" w:after="40" w:line="300" w:lineRule="auto"/>
      </w:pPr>
      <w:r>
        <w:t>合同接入：上传合同文件（支持</w:t>
      </w:r>
      <w:r>
        <w:t xml:space="preserve"> PDF</w:t>
      </w:r>
      <w:r>
        <w:t>、</w:t>
      </w:r>
      <w:r>
        <w:t>Word</w:t>
      </w:r>
      <w:r>
        <w:t>、</w:t>
      </w:r>
      <w:r>
        <w:t>PPT</w:t>
      </w:r>
      <w:r>
        <w:t>、</w:t>
      </w:r>
      <w:r>
        <w:t>Excel</w:t>
      </w:r>
      <w:r>
        <w:t>、</w:t>
      </w:r>
      <w:r>
        <w:t xml:space="preserve">Markdown </w:t>
      </w:r>
      <w:r>
        <w:t>等），按集合组织并登记合同类型，系统自动完成解析、切块与索引构建。</w:t>
      </w:r>
    </w:p>
    <w:p w14:paraId="02350F49" w14:textId="77777777" w:rsidR="001918A9" w:rsidRDefault="00000000" w:rsidP="00D8488A">
      <w:pPr>
        <w:pStyle w:val="a4"/>
        <w:numPr>
          <w:ilvl w:val="0"/>
          <w:numId w:val="4"/>
        </w:numPr>
        <w:spacing w:before="40" w:after="40" w:line="300" w:lineRule="auto"/>
      </w:pPr>
      <w:r>
        <w:t>发起检索或审查：在问答入口直接提问，或使用系统提供的快捷审查语句，系统识别意图后启动相应流程。</w:t>
      </w:r>
    </w:p>
    <w:p w14:paraId="4898242F" w14:textId="77777777" w:rsidR="001918A9" w:rsidRDefault="00000000" w:rsidP="00D8488A">
      <w:pPr>
        <w:pStyle w:val="a4"/>
        <w:numPr>
          <w:ilvl w:val="0"/>
          <w:numId w:val="4"/>
        </w:numPr>
        <w:spacing w:before="40" w:after="40" w:line="300" w:lineRule="auto"/>
      </w:pPr>
      <w:r>
        <w:t>人机复核：重点查看高风险项与</w:t>
      </w:r>
      <w:r>
        <w:t>“</w:t>
      </w:r>
      <w:r>
        <w:t>预料外</w:t>
      </w:r>
      <w:r>
        <w:t>”</w:t>
      </w:r>
      <w:r>
        <w:t>项，逐条确认结论与整改意见，可一键定位合同原文出处。</w:t>
      </w:r>
    </w:p>
    <w:p w14:paraId="0FB0EF8E" w14:textId="77777777" w:rsidR="001918A9" w:rsidRDefault="00000000" w:rsidP="00D8488A">
      <w:pPr>
        <w:pStyle w:val="a4"/>
        <w:numPr>
          <w:ilvl w:val="0"/>
          <w:numId w:val="4"/>
        </w:numPr>
        <w:spacing w:before="40" w:after="40" w:line="300" w:lineRule="auto"/>
      </w:pPr>
      <w:r>
        <w:t>知识回流：将复核确认的结论、条款修订与补充规则沉淀为知识页，纳入知识库供后续优先检索。</w:t>
      </w:r>
    </w:p>
    <w:p w14:paraId="11E2C1DA" w14:textId="77777777" w:rsidR="001918A9" w:rsidRDefault="00000000" w:rsidP="00D8488A">
      <w:pPr>
        <w:pStyle w:val="a4"/>
        <w:numPr>
          <w:ilvl w:val="0"/>
          <w:numId w:val="4"/>
        </w:numPr>
        <w:spacing w:before="40" w:after="40" w:line="300" w:lineRule="auto"/>
      </w:pPr>
      <w:r>
        <w:t>报告归档：系统生成结构化审查报告，包含风险清单、等级、摘录、依据与建议，支持追溯复盘。</w:t>
      </w:r>
    </w:p>
    <w:p w14:paraId="43338291" w14:textId="77777777" w:rsidR="001918A9" w:rsidRDefault="00000000">
      <w:pPr>
        <w:pStyle w:val="1"/>
      </w:pPr>
      <w:bookmarkStart w:id="28" w:name="_Toc241495775"/>
      <w:r>
        <w:t>九、应用场景与实施路径</w:t>
      </w:r>
      <w:bookmarkEnd w:id="28"/>
    </w:p>
    <w:p w14:paraId="2A24BB43" w14:textId="77777777" w:rsidR="001918A9" w:rsidRDefault="00000000">
      <w:pPr>
        <w:pStyle w:val="2"/>
      </w:pPr>
      <w:bookmarkStart w:id="29" w:name="_Toc241495776"/>
      <w:r>
        <w:lastRenderedPageBreak/>
        <w:t>9.1 应用场景</w:t>
      </w:r>
      <w:bookmarkEnd w:id="29"/>
    </w:p>
    <w:p w14:paraId="5E30B0DC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施工总包合同、分包分供合同的标准化风险筛查。</w:t>
      </w:r>
    </w:p>
    <w:p w14:paraId="0CFDD89E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融资、担保、股权等其他类合同的盲区风险挖掘。</w:t>
      </w:r>
    </w:p>
    <w:p w14:paraId="016BE012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物业、采购、人事等多业务域合同的规则扩展与定制审查。</w:t>
      </w:r>
    </w:p>
    <w:p w14:paraId="227FCEA2" w14:textId="77777777" w:rsidR="001918A9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历史合同批量体检与风险台账建设。</w:t>
      </w:r>
    </w:p>
    <w:p w14:paraId="1C26EA42" w14:textId="77777777" w:rsidR="001918A9" w:rsidRDefault="00000000">
      <w:pPr>
        <w:pStyle w:val="2"/>
      </w:pPr>
      <w:bookmarkStart w:id="30" w:name="_Toc241495777"/>
      <w:r>
        <w:t>9.2 实施路径</w:t>
      </w:r>
      <w:bookmarkEnd w:id="30"/>
    </w:p>
    <w:p w14:paraId="1BF596F2" w14:textId="77777777" w:rsidR="001918A9" w:rsidRDefault="00000000" w:rsidP="009542ED">
      <w:pPr>
        <w:pStyle w:val="a4"/>
        <w:numPr>
          <w:ilvl w:val="0"/>
          <w:numId w:val="6"/>
        </w:numPr>
        <w:spacing w:before="40" w:after="40" w:line="300" w:lineRule="auto"/>
      </w:pPr>
      <w:r>
        <w:t>准备阶段：梳理企业风险清单与合同类型，完成规则初始化配置。</w:t>
      </w:r>
    </w:p>
    <w:p w14:paraId="37AC7D25" w14:textId="77777777" w:rsidR="001918A9" w:rsidRDefault="00000000" w:rsidP="009542ED">
      <w:pPr>
        <w:pStyle w:val="a4"/>
        <w:numPr>
          <w:ilvl w:val="0"/>
          <w:numId w:val="6"/>
        </w:numPr>
        <w:spacing w:before="40" w:after="40" w:line="300" w:lineRule="auto"/>
      </w:pPr>
      <w:r>
        <w:t>试点阶段：选取</w:t>
      </w:r>
      <w:r>
        <w:t xml:space="preserve"> 1-2 </w:t>
      </w:r>
      <w:r>
        <w:t>类合同开展双引擎审查，建立评测样本与基线。</w:t>
      </w:r>
    </w:p>
    <w:p w14:paraId="6F49D19D" w14:textId="77777777" w:rsidR="001918A9" w:rsidRDefault="00000000" w:rsidP="009542ED">
      <w:pPr>
        <w:pStyle w:val="a4"/>
        <w:numPr>
          <w:ilvl w:val="0"/>
          <w:numId w:val="6"/>
        </w:numPr>
        <w:spacing w:before="40" w:after="40" w:line="300" w:lineRule="auto"/>
      </w:pPr>
      <w:r>
        <w:t>推广阶段：扩展业务域规则与合同类型，接入更多业务单位。</w:t>
      </w:r>
    </w:p>
    <w:p w14:paraId="7DFB5C08" w14:textId="77777777" w:rsidR="001918A9" w:rsidRDefault="00000000" w:rsidP="009542ED">
      <w:pPr>
        <w:pStyle w:val="a4"/>
        <w:numPr>
          <w:ilvl w:val="0"/>
          <w:numId w:val="6"/>
        </w:numPr>
        <w:spacing w:before="40" w:after="40" w:line="300" w:lineRule="auto"/>
      </w:pPr>
      <w:r>
        <w:t>运营阶段：持续开展复核回流，驱动规则与知识自演进。</w:t>
      </w:r>
    </w:p>
    <w:p w14:paraId="2F06A39B" w14:textId="77777777" w:rsidR="001918A9" w:rsidRDefault="00000000">
      <w:pPr>
        <w:pStyle w:val="1"/>
      </w:pPr>
      <w:bookmarkStart w:id="31" w:name="_Toc241495778"/>
      <w:r>
        <w:t>十、演进路线与未来展望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3226"/>
        <w:gridCol w:w="2500"/>
      </w:tblGrid>
      <w:tr w:rsidR="001918A9" w14:paraId="02F65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3F29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D72B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周期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6D35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关键动作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42E6" w14:textId="77777777" w:rsidR="001918A9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交付物</w:t>
            </w:r>
          </w:p>
        </w:tc>
      </w:tr>
      <w:tr w:rsidR="001918A9" w14:paraId="7E57C6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9E27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一期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263F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1-2 </w:t>
            </w:r>
            <w:r>
              <w:rPr>
                <w:sz w:val="21"/>
                <w:szCs w:val="21"/>
              </w:rPr>
              <w:t>月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14D4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三入口能力对齐、建立评测集、多模型对比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EFF7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功能对齐清单、评测集、选型报告</w:t>
            </w:r>
          </w:p>
        </w:tc>
      </w:tr>
      <w:tr w:rsidR="001918A9" w14:paraId="7ECFB9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BCC5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二期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7550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3-6 </w:t>
            </w:r>
            <w:r>
              <w:rPr>
                <w:sz w:val="21"/>
                <w:szCs w:val="21"/>
              </w:rPr>
              <w:t>月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23D3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扩多业务域规则、按类型配置规则集、双回流、试点验证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447A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多域规则包、试点报告、提示词迭代记录</w:t>
            </w:r>
          </w:p>
        </w:tc>
      </w:tr>
      <w:tr w:rsidR="001918A9" w14:paraId="372AEB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267E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三期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4E45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6-12 </w:t>
            </w:r>
            <w:r>
              <w:rPr>
                <w:sz w:val="21"/>
                <w:szCs w:val="21"/>
              </w:rPr>
              <w:t>月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8423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内核组件化、开放规则共建、形成开放生态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FFBD" w14:textId="77777777" w:rsidR="001918A9" w:rsidRDefault="00000000">
            <w:pPr>
              <w:spacing w:before="40" w:after="40"/>
            </w:pPr>
            <w:r>
              <w:rPr>
                <w:sz w:val="21"/>
                <w:szCs w:val="21"/>
              </w:rPr>
              <w:t>可复用组件、共建规范、接入文档</w:t>
            </w:r>
          </w:p>
        </w:tc>
      </w:tr>
    </w:tbl>
    <w:p w14:paraId="04948324" w14:textId="77777777" w:rsidR="001918A9" w:rsidRDefault="00000000">
      <w:pPr>
        <w:spacing w:before="200" w:after="60" w:line="320" w:lineRule="auto"/>
        <w:ind w:firstLine="480"/>
      </w:pPr>
      <w:r>
        <w:t>贯穿主线：一是数据闭环逐期加快；二是模型与存储解耦，规模增长时可平滑替换为独立推理服务或集中式向量库；三是保持零中间件、单文件库的私有化交付优势。</w:t>
      </w:r>
    </w:p>
    <w:p w14:paraId="5077B792" w14:textId="77777777" w:rsidR="001918A9" w:rsidRDefault="00000000">
      <w:pPr>
        <w:pStyle w:val="1"/>
      </w:pPr>
      <w:bookmarkStart w:id="32" w:name="_Toc241495779"/>
      <w:r>
        <w:t>十一、结论</w:t>
      </w:r>
      <w:bookmarkEnd w:id="32"/>
    </w:p>
    <w:p w14:paraId="1BCA3E6C" w14:textId="77777777" w:rsidR="001918A9" w:rsidRDefault="00000000">
      <w:pPr>
        <w:spacing w:before="60" w:after="60" w:line="320" w:lineRule="auto"/>
        <w:ind w:firstLine="480"/>
      </w:pPr>
      <w:r>
        <w:t>本项目针对合同审查中</w:t>
      </w:r>
      <w:r>
        <w:t>“</w:t>
      </w:r>
      <w:r>
        <w:t>工作量大、标准不一、知识难沉淀</w:t>
      </w:r>
      <w:r>
        <w:t>”</w:t>
      </w:r>
      <w:r>
        <w:t>的痛点，提出了以双向驱动为核心的合同风险智能审查方案，并完成了从架构设计、核心机制到工程实现的完整落地。系统在保证结论可追溯、可审计的前提下，兼顾了确定性风险的全面覆盖与未知风险的有效发现，同时通过复核回流实现了知识自演进。</w:t>
      </w:r>
    </w:p>
    <w:p w14:paraId="38C97BAB" w14:textId="77777777" w:rsidR="001918A9" w:rsidRDefault="00000000">
      <w:pPr>
        <w:spacing w:before="60" w:after="60" w:line="320" w:lineRule="auto"/>
        <w:ind w:firstLine="480"/>
      </w:pPr>
      <w:r>
        <w:t>项目采用零中间件、单文件数据库的私有化交付形态，适配内网与多用户隔离场景，具备良好的可交付性与可演进性。后续将按三期路线持续推进规则体系扩展与能力组件化，逐步</w:t>
      </w:r>
      <w:r>
        <w:lastRenderedPageBreak/>
        <w:t>从</w:t>
      </w:r>
      <w:r>
        <w:t>“</w:t>
      </w:r>
      <w:r>
        <w:t>清单驱动</w:t>
      </w:r>
      <w:r>
        <w:t>”</w:t>
      </w:r>
      <w:r>
        <w:t>走向</w:t>
      </w:r>
      <w:r>
        <w:t>“</w:t>
      </w:r>
      <w:r>
        <w:t>知识驱动</w:t>
      </w:r>
      <w:r>
        <w:t>”</w:t>
      </w:r>
      <w:r>
        <w:t>。</w:t>
      </w:r>
    </w:p>
    <w:p w14:paraId="249A1F12" w14:textId="77777777" w:rsidR="001918A9" w:rsidRDefault="00000000">
      <w:pPr>
        <w:pStyle w:val="1"/>
      </w:pPr>
      <w:bookmarkStart w:id="33" w:name="_Toc241495780"/>
      <w:r>
        <w:t>十二、项目获奖及鉴定结果</w:t>
      </w:r>
      <w:bookmarkEnd w:id="33"/>
    </w:p>
    <w:p w14:paraId="1A2449D0" w14:textId="05920CB5" w:rsidR="001918A9" w:rsidRDefault="00000000" w:rsidP="00F76683">
      <w:pPr>
        <w:pStyle w:val="a4"/>
        <w:spacing w:before="40" w:after="40" w:line="300" w:lineRule="auto"/>
        <w:ind w:left="720"/>
        <w:rPr>
          <w:rFonts w:hint="eastAsia"/>
        </w:rPr>
      </w:pPr>
      <w:r>
        <w:t>本项目暂未申报外部奖项，已完成内部功能验收与业务试点验证</w:t>
      </w:r>
    </w:p>
    <w:sectPr w:rsidR="001918A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22809" w14:textId="77777777" w:rsidR="005B49A6" w:rsidRDefault="005B49A6">
      <w:r>
        <w:separator/>
      </w:r>
    </w:p>
  </w:endnote>
  <w:endnote w:type="continuationSeparator" w:id="0">
    <w:p w14:paraId="660DFE47" w14:textId="77777777" w:rsidR="005B49A6" w:rsidRDefault="005B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63FF7" w14:textId="77777777" w:rsidR="001918A9" w:rsidRDefault="00000000">
    <w:pPr>
      <w:jc w:val="center"/>
    </w:pPr>
    <w:r>
      <w:rPr>
        <w:color w:val="666666"/>
        <w:sz w:val="18"/>
        <w:szCs w:val="18"/>
      </w:rPr>
      <w:t>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2306C">
      <w:rPr>
        <w:rFonts w:hint="eastAsia"/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C83E" w14:textId="77777777" w:rsidR="005B49A6" w:rsidRDefault="005B49A6">
      <w:r>
        <w:separator/>
      </w:r>
    </w:p>
  </w:footnote>
  <w:footnote w:type="continuationSeparator" w:id="0">
    <w:p w14:paraId="73C9C388" w14:textId="77777777" w:rsidR="005B49A6" w:rsidRDefault="005B4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9FE0" w14:textId="77777777" w:rsidR="001918A9" w:rsidRDefault="00000000">
    <w:pPr>
      <w:pBdr>
        <w:bottom w:val="single" w:sz="6" w:space="1" w:color="2E5496"/>
      </w:pBdr>
    </w:pPr>
    <w:r>
      <w:rPr>
        <w:color w:val="666666"/>
        <w:sz w:val="18"/>
        <w:szCs w:val="18"/>
      </w:rPr>
      <w:t>合同风险智能审查平台</w:t>
    </w:r>
    <w:r>
      <w:rPr>
        <w:color w:val="666666"/>
        <w:sz w:val="18"/>
        <w:szCs w:val="18"/>
      </w:rPr>
      <w:t xml:space="preserve"> · </w:t>
    </w:r>
    <w:r>
      <w:rPr>
        <w:color w:val="666666"/>
        <w:sz w:val="18"/>
        <w:szCs w:val="18"/>
      </w:rPr>
      <w:t>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4CBD"/>
    <w:multiLevelType w:val="hybridMultilevel"/>
    <w:tmpl w:val="9CD639B0"/>
    <w:lvl w:ilvl="0" w:tplc="5EB24408">
      <w:start w:val="1"/>
      <w:numFmt w:val="bullet"/>
      <w:lvlText w:val="●"/>
      <w:lvlJc w:val="left"/>
      <w:pPr>
        <w:ind w:left="720" w:hanging="360"/>
      </w:pPr>
    </w:lvl>
    <w:lvl w:ilvl="1" w:tplc="340E553E">
      <w:start w:val="1"/>
      <w:numFmt w:val="bullet"/>
      <w:lvlText w:val="○"/>
      <w:lvlJc w:val="left"/>
      <w:pPr>
        <w:ind w:left="1440" w:hanging="360"/>
      </w:pPr>
    </w:lvl>
    <w:lvl w:ilvl="2" w:tplc="8AB6CA52">
      <w:start w:val="1"/>
      <w:numFmt w:val="bullet"/>
      <w:lvlText w:val="■"/>
      <w:lvlJc w:val="left"/>
      <w:pPr>
        <w:ind w:left="2160" w:hanging="360"/>
      </w:pPr>
    </w:lvl>
    <w:lvl w:ilvl="3" w:tplc="67186998">
      <w:start w:val="1"/>
      <w:numFmt w:val="bullet"/>
      <w:lvlText w:val="●"/>
      <w:lvlJc w:val="left"/>
      <w:pPr>
        <w:ind w:left="2880" w:hanging="360"/>
      </w:pPr>
    </w:lvl>
    <w:lvl w:ilvl="4" w:tplc="7DD604AE">
      <w:start w:val="1"/>
      <w:numFmt w:val="bullet"/>
      <w:lvlText w:val="○"/>
      <w:lvlJc w:val="left"/>
      <w:pPr>
        <w:ind w:left="3600" w:hanging="360"/>
      </w:pPr>
    </w:lvl>
    <w:lvl w:ilvl="5" w:tplc="C096EDE6">
      <w:start w:val="1"/>
      <w:numFmt w:val="bullet"/>
      <w:lvlText w:val="■"/>
      <w:lvlJc w:val="left"/>
      <w:pPr>
        <w:ind w:left="4320" w:hanging="360"/>
      </w:pPr>
    </w:lvl>
    <w:lvl w:ilvl="6" w:tplc="119CD912">
      <w:start w:val="1"/>
      <w:numFmt w:val="bullet"/>
      <w:lvlText w:val="●"/>
      <w:lvlJc w:val="left"/>
      <w:pPr>
        <w:ind w:left="5040" w:hanging="360"/>
      </w:pPr>
    </w:lvl>
    <w:lvl w:ilvl="7" w:tplc="3EE67812">
      <w:start w:val="1"/>
      <w:numFmt w:val="bullet"/>
      <w:lvlText w:val="●"/>
      <w:lvlJc w:val="left"/>
      <w:pPr>
        <w:ind w:left="5760" w:hanging="360"/>
      </w:pPr>
    </w:lvl>
    <w:lvl w:ilvl="8" w:tplc="E8AE1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FF06CA"/>
    <w:multiLevelType w:val="hybridMultilevel"/>
    <w:tmpl w:val="230E351A"/>
    <w:lvl w:ilvl="0" w:tplc="75082A14">
      <w:start w:val="1"/>
      <w:numFmt w:val="bullet"/>
      <w:lvlText w:val="•"/>
      <w:lvlJc w:val="left"/>
      <w:pPr>
        <w:ind w:left="720" w:hanging="360"/>
      </w:pPr>
    </w:lvl>
    <w:lvl w:ilvl="1" w:tplc="96387124">
      <w:numFmt w:val="decimal"/>
      <w:lvlText w:val=""/>
      <w:lvlJc w:val="left"/>
    </w:lvl>
    <w:lvl w:ilvl="2" w:tplc="EE2492C2">
      <w:numFmt w:val="decimal"/>
      <w:lvlText w:val=""/>
      <w:lvlJc w:val="left"/>
    </w:lvl>
    <w:lvl w:ilvl="3" w:tplc="BEBA8AB2">
      <w:numFmt w:val="decimal"/>
      <w:lvlText w:val=""/>
      <w:lvlJc w:val="left"/>
    </w:lvl>
    <w:lvl w:ilvl="4" w:tplc="3790E9E6">
      <w:numFmt w:val="decimal"/>
      <w:lvlText w:val=""/>
      <w:lvlJc w:val="left"/>
    </w:lvl>
    <w:lvl w:ilvl="5" w:tplc="CEF89966">
      <w:numFmt w:val="decimal"/>
      <w:lvlText w:val=""/>
      <w:lvlJc w:val="left"/>
    </w:lvl>
    <w:lvl w:ilvl="6" w:tplc="7B421DD8">
      <w:numFmt w:val="decimal"/>
      <w:lvlText w:val=""/>
      <w:lvlJc w:val="left"/>
    </w:lvl>
    <w:lvl w:ilvl="7" w:tplc="605E90D2">
      <w:numFmt w:val="decimal"/>
      <w:lvlText w:val=""/>
      <w:lvlJc w:val="left"/>
    </w:lvl>
    <w:lvl w:ilvl="8" w:tplc="48741CFE">
      <w:numFmt w:val="decimal"/>
      <w:lvlText w:val=""/>
      <w:lvlJc w:val="left"/>
    </w:lvl>
  </w:abstractNum>
  <w:abstractNum w:abstractNumId="2" w15:restartNumberingAfterBreak="0">
    <w:nsid w:val="24BF5C70"/>
    <w:multiLevelType w:val="hybridMultilevel"/>
    <w:tmpl w:val="E418142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F6415C9"/>
    <w:multiLevelType w:val="hybridMultilevel"/>
    <w:tmpl w:val="EA567026"/>
    <w:lvl w:ilvl="0" w:tplc="F45E7E7A">
      <w:start w:val="1"/>
      <w:numFmt w:val="decimal"/>
      <w:lvlText w:val="%1."/>
      <w:lvlJc w:val="left"/>
      <w:pPr>
        <w:ind w:left="720" w:hanging="360"/>
      </w:pPr>
    </w:lvl>
    <w:lvl w:ilvl="1" w:tplc="7EA27770">
      <w:numFmt w:val="decimal"/>
      <w:lvlText w:val=""/>
      <w:lvlJc w:val="left"/>
    </w:lvl>
    <w:lvl w:ilvl="2" w:tplc="89A637D4">
      <w:numFmt w:val="decimal"/>
      <w:lvlText w:val=""/>
      <w:lvlJc w:val="left"/>
    </w:lvl>
    <w:lvl w:ilvl="3" w:tplc="4F140BD0">
      <w:numFmt w:val="decimal"/>
      <w:lvlText w:val=""/>
      <w:lvlJc w:val="left"/>
    </w:lvl>
    <w:lvl w:ilvl="4" w:tplc="7FDEF96E">
      <w:numFmt w:val="decimal"/>
      <w:lvlText w:val=""/>
      <w:lvlJc w:val="left"/>
    </w:lvl>
    <w:lvl w:ilvl="5" w:tplc="81367022">
      <w:numFmt w:val="decimal"/>
      <w:lvlText w:val=""/>
      <w:lvlJc w:val="left"/>
    </w:lvl>
    <w:lvl w:ilvl="6" w:tplc="3B30EBE0">
      <w:numFmt w:val="decimal"/>
      <w:lvlText w:val=""/>
      <w:lvlJc w:val="left"/>
    </w:lvl>
    <w:lvl w:ilvl="7" w:tplc="8F982E12">
      <w:numFmt w:val="decimal"/>
      <w:lvlText w:val=""/>
      <w:lvlJc w:val="left"/>
    </w:lvl>
    <w:lvl w:ilvl="8" w:tplc="DE72375E">
      <w:numFmt w:val="decimal"/>
      <w:lvlText w:val=""/>
      <w:lvlJc w:val="left"/>
    </w:lvl>
  </w:abstractNum>
  <w:abstractNum w:abstractNumId="4" w15:restartNumberingAfterBreak="0">
    <w:nsid w:val="41AB1056"/>
    <w:multiLevelType w:val="hybridMultilevel"/>
    <w:tmpl w:val="B36A6B7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6D76B50"/>
    <w:multiLevelType w:val="hybridMultilevel"/>
    <w:tmpl w:val="40AEA19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295912557">
    <w:abstractNumId w:val="0"/>
    <w:lvlOverride w:ilvl="0">
      <w:startOverride w:val="1"/>
    </w:lvlOverride>
  </w:num>
  <w:num w:numId="2" w16cid:durableId="982850622">
    <w:abstractNumId w:val="3"/>
    <w:lvlOverride w:ilvl="0">
      <w:startOverride w:val="1"/>
    </w:lvlOverride>
  </w:num>
  <w:num w:numId="3" w16cid:durableId="637762416">
    <w:abstractNumId w:val="1"/>
    <w:lvlOverride w:ilvl="0">
      <w:startOverride w:val="1"/>
    </w:lvlOverride>
  </w:num>
  <w:num w:numId="4" w16cid:durableId="377899353">
    <w:abstractNumId w:val="2"/>
  </w:num>
  <w:num w:numId="5" w16cid:durableId="603459075">
    <w:abstractNumId w:val="5"/>
  </w:num>
  <w:num w:numId="6" w16cid:durableId="1520122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A9"/>
    <w:rsid w:val="001918A9"/>
    <w:rsid w:val="002A6C43"/>
    <w:rsid w:val="002A6DB4"/>
    <w:rsid w:val="00301293"/>
    <w:rsid w:val="005B49A6"/>
    <w:rsid w:val="009542ED"/>
    <w:rsid w:val="00A37828"/>
    <w:rsid w:val="00B2306C"/>
    <w:rsid w:val="00D8488A"/>
    <w:rsid w:val="00DB499A"/>
    <w:rsid w:val="00F7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AA1CE"/>
  <w15:docId w15:val="{078BE8A1-96B3-4584-8063-5B00FF1B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rFonts w:eastAsia="微软雅黑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color w:val="2E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2306C"/>
  </w:style>
  <w:style w:type="paragraph" w:styleId="TOC2">
    <w:name w:val="toc 2"/>
    <w:basedOn w:val="a"/>
    <w:next w:val="a"/>
    <w:autoRedefine/>
    <w:uiPriority w:val="39"/>
    <w:unhideWhenUsed/>
    <w:rsid w:val="00B2306C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zhuzhongzhi50@gmail.com</cp:lastModifiedBy>
  <cp:revision>9</cp:revision>
  <dcterms:created xsi:type="dcterms:W3CDTF">2026-09-28T05:43:00Z</dcterms:created>
  <dcterms:modified xsi:type="dcterms:W3CDTF">2026-09-28T05:51:00Z</dcterms:modified>
</cp:coreProperties>
</file>