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QMD 每用户专属配置 设计说明</w:t>
      </w:r>
    </w:p>
    <w:p>
      <w:r>
        <w:t xml:space="preserve">版本：v1（含使用说明）。本文档描述如何在「单实例、共享索引、共享本地模型」架构下，为每位使用者提供互不干扰的专属配置（检索偏好 + 个人回答 LLM）。</w:t>
      </w:r>
    </w:p>
    <w:p>
      <w:pPr>
        <w:pStyle w:val="Heading1"/>
      </w:pPr>
      <w:r>
        <w:t xml:space="preserve">1. 背景与动机</w:t>
      </w:r>
    </w:p>
    <w:p>
      <w:r>
        <w:t xml:space="preserve">不同使用者（团队成员 / 外部访客）往往希望使用不同的检索阈值、不同的回答模型，甚至各自的 LLM API Key。当前配置系统只有一份全局 settings.json，所有人共享同一份参数，无法满足「我的配置」诉求。</w:t>
      </w:r>
    </w:p>
    <w:p>
      <w:r>
        <w:t xml:space="preserve">本文档给出一套最小侵入、可落地、可逆的「每用户专属配置」方案：全局默认层 + 用户覆盖层做 merge，核心检索逻辑无需改动。</w:t>
      </w:r>
    </w:p>
    <w:p>
      <w:pPr>
        <w:pStyle w:val="Heading1"/>
      </w:pPr>
      <w:r>
        <w:t xml:space="preserve">2. 现状事实（基于源码）</w:t>
      </w:r>
    </w:p>
    <w:p>
      <w:r>
        <w:t xml:space="preserve">• settings.ts 中 let cache 为进程级单例；getSettings() 无参返回全局默认。</w:t>
      </w:r>
    </w:p>
    <w:p>
      <w:r>
        <w:t xml:space="preserve">• 所有核心模块（store / search / hybrid-search / llm / rag）均无参调用 getSettings()，读取 ~/.config/qmd/settings.json。</w:t>
      </w:r>
    </w:p>
    <w:p>
      <w:r>
        <w:t xml:space="preserve">• /api/config 的 GET/PUT/reset 全部作用于全局；CORS 默认 *。</w:t>
      </w:r>
    </w:p>
    <w:p>
      <w:r>
        <w:t xml:space="preserve">• /api/query 已支持单次请求级覆盖：limit / minScore / topK / intent / collections 已可每次请求不同。</w:t>
      </w:r>
    </w:p>
    <w:p>
      <w:r>
        <w:t xml:space="preserve">• 关键约束：项目当前没有「用户」概念（无登录、session、token），必须先补齐身份标识。</w:t>
      </w:r>
    </w:p>
    <w:p>
      <w:pPr>
        <w:pStyle w:val="Heading1"/>
      </w:pPr>
      <w:r>
        <w:t xml:space="preserve">3. 设计原则</w:t>
      </w:r>
    </w:p>
    <w:p>
      <w:r>
        <w:t xml:space="preserve">• 核心层零侵入：store / search / hybrid-search / llm / rag 一行不改。</w:t>
      </w:r>
    </w:p>
    <w:p>
      <w:r>
        <w:t xml:space="preserve">• 配置叠加：全局默认层 + 用户覆盖层做 merge。</w:t>
      </w:r>
    </w:p>
    <w:p>
      <w:r>
        <w:t xml:space="preserve">• 最小权限：用户只能改「与单次检索/回答相关且不影响他人」的参数。</w:t>
      </w:r>
    </w:p>
    <w:p>
      <w:r>
        <w:t xml:space="preserve">• 可逆：随时删除用户覆盖层即回到全局默认。</w:t>
      </w:r>
    </w:p>
    <w:p>
      <w:pPr>
        <w:pStyle w:val="Heading1"/>
      </w:pPr>
      <w:r>
        <w:t xml:space="preserve">4. 哪些参数能 per-user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Grid>
          <w:gridCol w:w="2250"/>
          <w:gridCol w:w="2250"/>
          <w:gridCol w:w="2250"/>
          <w:gridCol w:w="2250"/>
        </w:tblGrid>
      </w:tblPr>
      <w:tr>
        <w:tc>
          <w:tcPr>
            <w:tcW w:w="2250" w:type="dxa"/>
          </w:tcPr>
          <w:p>
            <w:r>
              <w:rPr>
                <w:b/>
              </w:rPr>
              <w:t xml:space="preserve">类别</w:t>
            </w:r>
          </w:p>
        </w:tc>
        <w:tc>
          <w:tcPr>
            <w:tcW w:w="2250" w:type="dxa"/>
          </w:tcPr>
          <w:p>
            <w:r>
              <w:rPr>
                <w:b/>
              </w:rPr>
              <w:t xml:space="preserve">字段</w:t>
            </w:r>
          </w:p>
        </w:tc>
        <w:tc>
          <w:tcPr>
            <w:tcW w:w="2250" w:type="dxa"/>
          </w:tcPr>
          <w:p>
            <w:r>
              <w:rPr>
                <w:b/>
              </w:rPr>
              <w:t xml:space="preserve">能否 per-user</w:t>
            </w:r>
          </w:p>
        </w:tc>
        <w:tc>
          <w:tcPr>
            <w:tcW w:w="2250" w:type="dxa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>
            <w:tcW w:w="2250" w:type="dxa"/>
          </w:tcPr>
          <w:p>
            <w:r>
              <w:rPr/>
              <w:t xml:space="preserve">检索数值类</w:t>
            </w:r>
          </w:p>
        </w:tc>
        <w:tc>
          <w:tcPr>
            <w:tcW w:w="2250" w:type="dxa"/>
          </w:tcPr>
          <w:p>
            <w:r>
              <w:rPr/>
              <w:t xml:space="preserve">queryLimit / minScore / candidateLimit / strongSignalMinScore / strongSignalMinGap / intentWeightSnippet / intentWeightChunk / rrfK</w:t>
            </w:r>
          </w:p>
        </w:tc>
        <w:tc>
          <w:tcPr>
            <w:tcW w:w="2250" w:type="dxa"/>
          </w:tcPr>
          <w:p>
            <w:r>
              <w:rPr/>
              <w:t xml:space="preserve">安全（推荐）</w:t>
            </w:r>
          </w:p>
        </w:tc>
        <w:tc>
          <w:tcPr>
            <w:tcW w:w="2250" w:type="dxa"/>
          </w:tcPr>
          <w:p>
            <w:r>
              <w:rPr/>
              <w:t xml:space="preserve">每次检索读取，互不影响</w:t>
            </w:r>
          </w:p>
        </w:tc>
      </w:tr>
      <w:tr>
        <w:tc>
          <w:tcPr>
            <w:tcW w:w="2250" w:type="dxa"/>
          </w:tcPr>
          <w:p>
            <w:r>
              <w:rPr/>
              <w:t xml:space="preserve">个人回答 LLM</w:t>
            </w:r>
          </w:p>
        </w:tc>
        <w:tc>
          <w:tcPr>
            <w:tcW w:w="2250" w:type="dxa"/>
          </w:tcPr>
          <w:p>
            <w:r>
              <w:rPr/>
              <w:t xml:space="preserve">llmBaseUrl / llmApiKey / llmModel</w:t>
            </w:r>
          </w:p>
        </w:tc>
        <w:tc>
          <w:tcPr>
            <w:tcW w:w="2250" w:type="dxa"/>
          </w:tcPr>
          <w:p>
            <w:r>
              <w:rPr/>
              <w:t xml:space="preserve">安全</w:t>
            </w:r>
          </w:p>
        </w:tc>
        <w:tc>
          <w:tcPr>
            <w:tcW w:w="2250" w:type="dxa"/>
          </w:tcPr>
          <w:p>
            <w:r>
              <w:rPr/>
              <w:t xml:space="preserve">用户用自己的外部 LLM Key 与模型回答</w:t>
            </w:r>
          </w:p>
        </w:tc>
      </w:tr>
      <w:tr>
        <w:tc>
          <w:tcPr>
            <w:tcW w:w="2250" w:type="dxa"/>
          </w:tcPr>
          <w:p>
            <w:r>
              <w:rPr/>
              <w:t xml:space="preserve">开关类</w:t>
            </w:r>
          </w:p>
        </w:tc>
        <w:tc>
          <w:tcPr>
            <w:tcW w:w="2250" w:type="dxa"/>
          </w:tcPr>
          <w:p>
            <w:r>
              <w:rPr/>
              <w:t xml:space="preserve">enableRerank / enableQueryExpansion</w:t>
            </w:r>
          </w:p>
        </w:tc>
        <w:tc>
          <w:tcPr>
            <w:tcW w:w="2250" w:type="dxa"/>
          </w:tcPr>
          <w:p>
            <w:r>
              <w:rPr/>
              <w:t xml:space="preserve">可（请求时跳过/开启）</w:t>
            </w:r>
          </w:p>
        </w:tc>
        <w:tc>
          <w:tcPr>
            <w:tcW w:w="2250" w:type="dxa"/>
          </w:tcPr>
          <w:p>
            <w:r>
              <w:rPr/>
              <w:t xml:space="preserve">一旦开启会加载全局模型</w:t>
            </w:r>
          </w:p>
        </w:tc>
      </w:tr>
      <w:tr>
        <w:tc>
          <w:tcPr>
            <w:tcW w:w="2250" w:type="dxa"/>
          </w:tcPr>
          <w:p>
            <w:r>
              <w:rPr/>
              <w:t xml:space="preserve">模型本体</w:t>
            </w:r>
          </w:p>
        </w:tc>
        <w:tc>
          <w:tcPr>
            <w:tcW w:w="2250" w:type="dxa"/>
          </w:tcPr>
          <w:p>
            <w:r>
              <w:rPr/>
              <w:t xml:space="preserve">embedModel / rerankModel / queryExpansionModel</w:t>
            </w:r>
          </w:p>
        </w:tc>
        <w:tc>
          <w:tcPr>
            <w:tcW w:w="2250" w:type="dxa"/>
          </w:tcPr>
          <w:p>
            <w:r>
              <w:rPr/>
              <w:t xml:space="preserve">不可</w:t>
            </w:r>
          </w:p>
        </w:tc>
        <w:tc>
          <w:tcPr>
            <w:tcW w:w="2250" w:type="dxa"/>
          </w:tcPr>
          <w:p>
            <w:r>
              <w:rPr/>
              <w:t xml:space="preserve">单实例常驻，切换开销大</w:t>
            </w:r>
          </w:p>
        </w:tc>
      </w:tr>
      <w:tr>
        <w:tc>
          <w:tcPr>
            <w:tcW w:w="2250" w:type="dxa"/>
          </w:tcPr>
          <w:p>
            <w:r>
              <w:rPr/>
              <w:t xml:space="preserve">索引/分块类</w:t>
            </w:r>
          </w:p>
        </w:tc>
        <w:tc>
          <w:tcPr>
            <w:tcW w:w="2250" w:type="dxa"/>
          </w:tcPr>
          <w:p>
            <w:r>
              <w:rPr/>
              <w:t xml:space="preserve">chunkSizeTokens / chunkOverlapRatio / embedBatchSize / modelCacheDir</w:t>
            </w:r>
          </w:p>
        </w:tc>
        <w:tc>
          <w:tcPr>
            <w:tcW w:w="2250" w:type="dxa"/>
          </w:tcPr>
          <w:p>
            <w:r>
              <w:rPr/>
              <w:t xml:space="preserve">不可</w:t>
            </w:r>
          </w:p>
        </w:tc>
        <w:tc>
          <w:tcPr>
            <w:tcW w:w="2250" w:type="dxa"/>
          </w:tcPr>
          <w:p>
            <w:r>
              <w:rPr/>
              <w:t xml:space="preserve">索引共享，per-user 改分块会冲突</w:t>
            </w:r>
          </w:p>
        </w:tc>
      </w:tr>
    </w:tbl>
    <w:p>
      <w:pPr>
        <w:pStyle w:val="Heading1"/>
      </w:pPr>
      <w:r>
        <w:t xml:space="preserve">5. 推荐方案详述</w:t>
      </w:r>
    </w:p>
    <w:p>
      <w:pPr>
        <w:pStyle w:val="Heading2"/>
      </w:pPr>
      <w:r>
        <w:t xml:space="preserve">5.1 轻量 Bearer Token 标识用户</w:t>
      </w:r>
    </w:p>
    <w:p>
      <w:r>
        <w:t xml:space="preserve">qmd user add &lt;name&gt; 生成 userId + token，存于 ~/.config/qmd/users/&lt;userId&gt;.json 与 tokens.json。无外部依赖，零额外服务。</w:t>
      </w:r>
    </w:p>
    <w:p>
      <w:pPr>
        <w:pStyle w:val="Heading2"/>
      </w:pPr>
      <w:r>
        <w:t xml:space="preserve">5.2 存储（两个文件）</w:t>
      </w:r>
    </w:p>
    <w:p>
      <w:r>
        <w:t xml:space="preserve">• users/&lt;userId&gt;.json: { name, createdAt, settings:{} }</w:t>
      </w:r>
    </w:p>
    <w:p>
      <w:r>
        <w:t xml:space="preserve">• tokens.json: { token: userId }</w:t>
      </w:r>
    </w:p>
    <w:p>
      <w:r>
        <w:t xml:space="preserve">• 与索引同目录，便于统一备份。</w:t>
      </w:r>
    </w:p>
    <w:p>
      <w:pPr>
        <w:pStyle w:val="Heading2"/>
      </w:pPr>
      <w:r>
        <w:t xml:space="preserve">5.3 getSettings() 叠加用户层（示意）</w:t>
      </w:r>
    </w:p>
    <w:p>
      <w:pPr>
        <w:shd w:val="clear" w:color="auto" w:fill="F2F2F2"/>
        <w:spacing w:after="40"/>
      </w:pPr>
      <w:r>
        <w:rPr>
          <w:rFonts w:ascii="Consolas" w:hAnsi="Consolas" w:cs="Consolas"/>
          <w:sz w:val="18"/>
        </w:rPr>
        <w:t xml:space="preserve">
          const userContext = new AsyncLocalStorage();
          <w:br/>
          export function getSettings() {
          <w:br/>
            const base = cache ?? loadSettings();
          <w:br/>
            const uid = userContext.getStore();      // 当前请求的用户
          <w:br/>
            if (!uid) return base;
          <w:br/>
            return QmdSettingsSchema.parse({ ...base, ...overlay(uid) });
          <w:br/>
          }
        </w:t>
      </w:r>
    </w:p>
    <w:p>
      <w:pPr>
        <w:pStyle w:val="Heading2"/>
      </w:pPr>
      <w:r>
        <w:t xml:space="preserve">5.4 AsyncLocalStorage 透传（示意）</w:t>
      </w:r>
    </w:p>
    <w:p>
      <w:pPr>
        <w:shd w:val="clear" w:color="auto" w:fill="F2F2F2"/>
        <w:spacing w:after="40"/>
      </w:pPr>
      <w:r>
        <w:rPr>
          <w:rFonts w:ascii="Consolas" w:hAnsi="Consolas" w:cs="Consolas"/>
          <w:sz w:val="18"/>
        </w:rPr>
        <w:t xml:space="preserve">
          const uid = token ? resolveUser(token) : undefined;
          <w:br/>
          await runWithUserAsync(uid, async () =&gt; {
          <w:br/>
            /* 原请求处理逻辑原样放这里，内部 getSettings() 自动带用户层 */
          <w:br/>
          });
        </w:t>
      </w:r>
    </w:p>
    <w:p>
      <w:pPr>
        <w:pStyle w:val="Heading2"/>
      </w:pPr>
      <w:r>
        <w:t xml:space="preserve">5.5 鉴权中间件</w:t>
      </w:r>
    </w:p>
    <w:p>
      <w:r>
        <w:t xml:space="preserve">无 token 访问 /api 返回 401；/health 与静态资源放行。</w:t>
      </w:r>
    </w:p>
    <w:p>
      <w:pPr>
        <w:pStyle w:val="Heading2"/>
      </w:pPr>
      <w:r>
        <w:t xml:space="preserve">5.6 API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Grid>
          <w:gridCol w:w="4500"/>
          <w:gridCol w:w="4500"/>
        </w:tblGrid>
      </w:tblPr>
      <w:tr>
        <w:tc>
          <w:tcPr>
            <w:tcW w:w="4500" w:type="dxa"/>
          </w:tcPr>
          <w:p>
            <w:r>
              <w:rPr>
                <w:b/>
              </w:rPr>
              <w:t xml:space="preserve">方法 / 路径</w:t>
            </w:r>
          </w:p>
        </w:tc>
        <w:tc>
          <w:tcPr>
            <w:tcW w:w="4500" w:type="dxa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>
            <w:tcW w:w="4500" w:type="dxa"/>
          </w:tcPr>
          <w:p>
            <w:r>
              <w:rPr/>
              <w:t xml:space="preserve">GET /api/config</w:t>
            </w:r>
          </w:p>
        </w:tc>
        <w:tc>
          <w:tcPr>
            <w:tcW w:w="4500" w:type="dxa"/>
          </w:tcPr>
          <w:p>
            <w:r>
              <w:rPr/>
              <w:t xml:space="preserve">返回当前用户合并后配置</w:t>
            </w:r>
          </w:p>
        </w:tc>
      </w:tr>
      <w:tr>
        <w:tc>
          <w:tcPr>
            <w:tcW w:w="4500" w:type="dxa"/>
          </w:tcPr>
          <w:p>
            <w:r>
              <w:rPr/>
              <w:t xml:space="preserve">PUT /api/config</w:t>
            </w:r>
          </w:p>
        </w:tc>
        <w:tc>
          <w:tcPr>
            <w:tcW w:w="4500" w:type="dxa"/>
          </w:tcPr>
          <w:p>
            <w:r>
              <w:rPr/>
              <w:t xml:space="preserve">写入该用户覆盖层（仅白名单字段）</w:t>
            </w:r>
          </w:p>
        </w:tc>
      </w:tr>
      <w:tr>
        <w:tc>
          <w:tcPr>
            <w:tcW w:w="4500" w:type="dxa"/>
          </w:tcPr>
          <w:p>
            <w:r>
              <w:rPr/>
              <w:t xml:space="preserve">POST /api/config/reset</w:t>
            </w:r>
          </w:p>
        </w:tc>
        <w:tc>
          <w:tcPr>
            <w:tcW w:w="4500" w:type="dxa"/>
          </w:tcPr>
          <w:p>
            <w:r>
              <w:rPr/>
              <w:t xml:space="preserve">清除该用户覆盖层（恢复默认）</w:t>
            </w:r>
          </w:p>
        </w:tc>
      </w:tr>
      <w:tr>
        <w:tc>
          <w:tcPr>
            <w:tcW w:w="4500" w:type="dxa"/>
          </w:tcPr>
          <w:p>
            <w:r>
              <w:rPr/>
              <w:t xml:space="preserve">GET /api/users（管理员）</w:t>
            </w:r>
          </w:p>
        </w:tc>
        <w:tc>
          <w:tcPr>
            <w:tcW w:w="4500" w:type="dxa"/>
          </w:tcPr>
          <w:p>
            <w:r>
              <w:rPr/>
              <w:t xml:space="preserve">列出用户（需 QMD_ADMIN_TOKEN）</w:t>
            </w:r>
          </w:p>
        </w:tc>
      </w:tr>
      <w:tr>
        <w:tc>
          <w:tcPr>
            <w:tcW w:w="4500" w:type="dxa"/>
          </w:tcPr>
          <w:p>
            <w:r>
              <w:rPr/>
              <w:t xml:space="preserve">POST /api/users（管理员）</w:t>
            </w:r>
          </w:p>
        </w:tc>
        <w:tc>
          <w:tcPr>
            <w:tcW w:w="4500" w:type="dxa"/>
          </w:tcPr>
          <w:p>
            <w:r>
              <w:rPr/>
              <w:t xml:space="preserve">创建用户并返回 token（需 QMD_ADMIN_TOKEN）</w:t>
            </w:r>
          </w:p>
        </w:tc>
      </w:tr>
    </w:tbl>
    <w:p>
      <w:pPr>
        <w:pStyle w:val="Heading2"/>
      </w:pPr>
      <w:r>
        <w:t xml:space="preserve">5.7 白名单</w:t>
      </w:r>
    </w:p>
    <w:p>
      <w:r>
        <w:t xml:space="preserve">USER_WRITABLE_SETTINGS 仅允许上面的「检索数值 + 个人 LLM + 两个开关」；其余字段忽略，并在响应中以 rejected 列表提示。</w:t>
      </w:r>
    </w:p>
    <w:p>
      <w:pPr>
        <w:pStyle w:val="Heading1"/>
      </w:pPr>
      <w:r>
        <w:t xml:space="preserve">6. 数据流图</w:t>
      </w:r>
    </w:p>
    <w:p>
      <w:r>
        <w:t xml:space="preserve">一次带 token 的请求：</w:t>
      </w:r>
    </w:p>
    <w:p>
      <w:pPr>
        <w:shd w:val="clear" w:color="auto" w:fill="F2F2F2"/>
        <w:spacing w:after="40"/>
      </w:pPr>
      <w:r>
        <w:rPr>
          <w:rFonts w:ascii="Consolas" w:hAnsi="Consolas" w:cs="Consolas"/>
          <w:sz w:val="18"/>
        </w:rPr>
        <w:t xml:space="preserve">
          浏览器/客户端
          <w:br/>
            │  Authorization: Bearer &lt;token&gt;
          <w:br/>
            ▼
          <w:br/>
          server.ts 解析 token -&gt; userId
          <w:br/>
            │  AsyncLocalStorage.run(uid, ...)   // 仅此一处包裹
          <w:br/>
            ▼
          <w:br/>
          核心检索 / 回答  (store / search / hybrid-search / llm / rag)
          <w:br/>
            │  内部 getSettings() 自动返回 全局默认 + 用户覆盖层 的合并
          <w:br/>
            ▼
          <w:br/>
          响应（已应用该用户的专属配置）
        </w:t>
      </w:r>
    </w:p>
    <w:p>
      <w:r>
        <w:t xml:space="preserve">核心层完全无感：userId 随请求自动流动，无需给任何函数加参数。</w:t>
      </w:r>
    </w:p>
    <w:p>
      <w:pPr>
        <w:pStyle w:val="Heading1"/>
      </w:pPr>
      <w:r>
        <w:t xml:space="preserve">7. 落地清单（6 步）</w:t>
      </w:r>
    </w:p>
    <w:p>
      <w:r>
        <w:t xml:space="preserve">• CLI：新增 qmd user add / list / revoke 子命令生成与管理 token。</w:t>
      </w:r>
    </w:p>
    <w:p>
      <w:r>
        <w:t xml:space="preserve">• settings.ts：引入 AsyncLocalStorage、用户文件存储、getSettings 叠加、白名单校验、用户 CRUD。</w:t>
      </w:r>
    </w:p>
    <w:p>
      <w:r>
        <w:t xml:space="preserve">• server.ts：加 token 鉴权中间件、AsyncLocalStorage 注入、/api/config 用户维度、CORS 收紧为白名单。</w:t>
      </w:r>
    </w:p>
    <w:p>
      <w:r>
        <w:t xml:space="preserve">• 前端 app.js：增加 token 输入框；fetch 自动附加 Authorization；配置面板读写「我的配置」。</w:t>
      </w:r>
    </w:p>
    <w:p>
      <w:r>
        <w:t xml:space="preserve">• 环境变量：QMD_ALLOW_ANONYMOUS / QMD_ALLOWED_ORIGINS / QMD_ADMIN_TOKEN 控制安全与跨域。</w:t>
      </w:r>
    </w:p>
    <w:p>
      <w:r>
        <w:t xml:space="preserve">• 测试：创建用户 → 带 token 检索 → 验证配置叠加 → CORS → 无 token 拒绝。</w:t>
      </w:r>
    </w:p>
    <w:p>
      <w:pPr>
        <w:pStyle w:val="Heading1"/>
      </w:pPr>
      <w:r>
        <w:t xml:space="preserve">8. 备选 / 简化方案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Grid>
          <w:gridCol w:w="3000"/>
          <w:gridCol w:w="3000"/>
          <w:gridCol w:w="3000"/>
        </w:tblGrid>
      </w:tblPr>
      <w:tr>
        <w:tc>
          <w:tcPr>
            <w:tcW w:w="3000" w:type="dxa"/>
          </w:tcPr>
          <w:p>
            <w:r>
              <w:rPr>
                <w:b/>
              </w:rPr>
              <w:t xml:space="preserve">方案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做法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取舍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前端 localStorage</w:t>
            </w:r>
          </w:p>
        </w:tc>
        <w:tc>
          <w:tcPr>
            <w:tcW w:w="3000" w:type="dxa"/>
          </w:tcPr>
          <w:p>
            <w:r>
              <w:rPr/>
              <w:t xml:space="preserve">偏好存浏览器，每次 /api/query 带上</w:t>
            </w:r>
          </w:p>
        </w:tc>
        <w:tc>
          <w:tcPr>
            <w:tcW w:w="3000" w:type="dxa"/>
          </w:tcPr>
          <w:p>
            <w:r>
              <w:rPr/>
              <w:t xml:space="preserve">不跨设备、不能安全存 LLM Key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接入 SSO/OAuth</w:t>
            </w:r>
          </w:p>
        </w:tc>
        <w:tc>
          <w:tcPr>
            <w:tcW w:w="3000" w:type="dxa"/>
          </w:tcPr>
          <w:p>
            <w:r>
              <w:rPr/>
              <w:t xml:space="preserve">从 JWT 解析 userId</w:t>
            </w:r>
          </w:p>
        </w:tc>
        <w:tc>
          <w:tcPr>
            <w:tcW w:w="3000" w:type="dxa"/>
          </w:tcPr>
          <w:p>
            <w:r>
              <w:rPr/>
              <w:t xml:space="preserve">需要现有登录系统，改动较大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外部推理服务</w:t>
            </w:r>
          </w:p>
        </w:tc>
        <w:tc>
          <w:tcPr>
            <w:tcW w:w="3000" w:type="dxa"/>
          </w:tcPr>
          <w:p>
            <w:r>
              <w:rPr/>
              <w:t xml:space="preserve">llm.ts 改调 vLLM / Ollama</w:t>
            </w:r>
          </w:p>
        </w:tc>
        <w:tc>
          <w:tcPr>
            <w:tcW w:w="3000" w:type="dxa"/>
          </w:tcPr>
          <w:p>
            <w:r>
              <w:rPr/>
              <w:t xml:space="preserve">可让模型本体 per-user，但需额外部署</w:t>
            </w:r>
          </w:p>
        </w:tc>
      </w:tr>
    </w:tbl>
    <w:p>
      <w:pPr>
        <w:pStyle w:val="Heading1"/>
      </w:pPr>
      <w:r>
        <w:t xml:space="preserve">9. 与并发 / 部署的关系</w:t>
      </w:r>
    </w:p>
    <w:p>
      <w:r>
        <w:t xml:space="preserve">• per-user 配置不引入新瓶颈：读库在 WAL 下可并发；配置叠加是纯内存 merge。</w:t>
      </w:r>
    </w:p>
    <w:p>
      <w:r>
        <w:t xml:space="preserve">• 真正瓶颈仍是模型推理串行（见并发分析）；若需高并发，把推理外置为独立服务。</w:t>
      </w:r>
    </w:p>
    <w:p>
      <w:r>
        <w:t xml:space="preserve">• 部署：qmd serve 为单实例，token 与用户覆盖层持久化在 ~/.config/qmd 下，建议定期备份。</w:t>
      </w:r>
    </w:p>
    <w:p>
      <w:pPr>
        <w:pStyle w:val="Heading1"/>
      </w:pPr>
      <w:r>
        <w:t xml:space="preserve">10. 风险与注意事项</w:t>
      </w:r>
    </w:p>
    <w:p>
      <w:r>
        <w:t xml:space="preserve">• LLM Key 明文存于本地文件，需限制文件权限（chmod 600）。</w:t>
      </w:r>
    </w:p>
    <w:p>
      <w:r>
        <w:t xml:space="preserve">• token 泄露等同于该用户身份，提供 qmd user revoke &lt;token&gt; 吊销。</w:t>
      </w:r>
    </w:p>
    <w:p>
      <w:r>
        <w:t xml:space="preserve">• 用户开启 enableRerank / enableQueryExpansion 会加载全局模型，影响所有请求。</w:t>
      </w:r>
    </w:p>
    <w:p>
      <w:r>
        <w:t xml:space="preserve">• 多实例指向同一 SQLite 时，写操作必须集中到单一 writer。</w:t>
      </w:r>
    </w:p>
    <w:p>
      <w:pPr>
        <w:pStyle w:val="Heading1"/>
      </w:pPr>
      <w:r>
        <w:t xml:space="preserve">11. 验收标准</w:t>
      </w:r>
    </w:p>
    <w:p>
      <w:r>
        <w:t xml:space="preserve">• 无 token 访问 /api → 401。</w:t>
      </w:r>
    </w:p>
    <w:p>
      <w:r>
        <w:t xml:space="preserve">• 带 token → 200，返回合并后的配置。</w:t>
      </w:r>
    </w:p>
    <w:p>
      <w:r>
        <w:t xml:space="preserve">• PUT 白名单字段生效并持久化；非白名单字段被忽略并在响应中返回 rejected。</w:t>
      </w:r>
    </w:p>
    <w:p>
      <w:r>
        <w:t xml:space="preserve">• 重置后回到全局默认；两用户配置互相隔离。</w:t>
      </w:r>
    </w:p>
    <w:p>
      <w:r>
        <w:t xml:space="preserve">• CORS 按 QMD_ALLOWED_ORIGINS 白名单生效。</w:t>
      </w:r>
    </w:p>
    <w:p>
      <w:pPr>
        <w:pStyle w:val="Heading1"/>
      </w:pPr>
      <w:r>
        <w:t xml:space="preserve">12. 使用说明</w:t>
      </w:r>
    </w:p>
    <w:p>
      <w:r>
        <w:t xml:space="preserve">本节说明如何在实际部署中使用「每用户专属配置」：如何启动服务、如何为用户签发令牌、前端与 API 的调用方式，以及可配置项的范围。</w:t>
      </w:r>
    </w:p>
    <w:p>
      <w:pPr>
        <w:pStyle w:val="Heading2"/>
      </w:pPr>
      <w:r>
        <w:t xml:space="preserve">12.1 启动 API 服务</w:t>
      </w:r>
    </w:p>
    <w:p>
      <w:r>
        <w:t xml:space="preserve">通过以下命令启动 HTTP API 服务（在前端 build 之后，或配合静态资源一同提供）：</w:t>
      </w:r>
    </w:p>
    <w:p>
      <w:pPr>
        <w:shd w:val="clear" w:color="auto" w:fill="F2F2F2"/>
        <w:spacing w:after="40"/>
      </w:pPr>
      <w:r>
        <w:rPr>
          <w:rFonts w:ascii="Consolas" w:hAnsi="Consolas" w:cs="Consolas"/>
          <w:sz w:val="18"/>
        </w:rPr>
        <w:t xml:space="preserve">qmd serve --port 8787</w:t>
      </w:r>
    </w:p>
    <w:p>
      <w:r>
        <w:t xml:space="preserve">生产环境建议通过以下环境变量控制安全与跨域（均为可选）：</w:t>
      </w:r>
    </w:p>
    <w:p>
      <w:pPr>
        <w:shd w:val="clear" w:color="auto" w:fill="F2F2F2"/>
        <w:spacing w:after="40"/>
      </w:pPr>
      <w:r>
        <w:rPr>
          <w:rFonts w:ascii="Consolas" w:hAnsi="Consolas" w:cs="Consolas"/>
          <w:sz w:val="18"/>
        </w:rPr>
        <w:t xml:space="preserve">
          QMD_ALLOW_ANONYMOUS=false          # 关闭匿名访问（默认即需 token）
          <w:br/>
          QMD_ALLOWED_ORIGINS=https://your.domain   # CORS 白名单，未设置时回退为 *
          <w:br/>
          QMD_ADMIN_TOKEN=&lt;管理员令牌&gt;        # 启用 POST/GET /api/users 用户管理
        </w:t>
      </w:r>
    </w:p>
    <w:p>
      <w:pPr>
        <w:pStyle w:val="Heading2"/>
      </w:pPr>
      <w:r>
        <w:t xml:space="preserve">12.2 为用户签发令牌</w:t>
      </w:r>
    </w:p>
    <w:p>
      <w:r>
        <w:t xml:space="preserve">使用 CLI 创建用户并生成 Bearer Token：</w:t>
      </w:r>
    </w:p>
    <w:p>
      <w:pPr>
        <w:shd w:val="clear" w:color="auto" w:fill="F2F2F2"/>
        <w:spacing w:after="40"/>
      </w:pPr>
      <w:r>
        <w:rPr>
          <w:rFonts w:ascii="Consolas" w:hAnsi="Consolas" w:cs="Consolas"/>
          <w:sz w:val="18"/>
        </w:rPr>
        <w:t xml:space="preserve">qmd user add alice</w:t>
      </w:r>
    </w:p>
    <w:p>
      <w:r>
        <w:t xml:space="preserve">命令会输出 userId、name 与 token。请将 token 安全地交给该用户；用户也可随后用 qmd user revoke &lt;token&gt; 吊销。管理员亦可在服务侧用 QMD_ADMIN_TOKEN 调用 POST /api/users 创建用户（返回 token），GET /api/users 查看用户列表。</w:t>
      </w:r>
    </w:p>
    <w:p>
      <w:pPr>
        <w:pStyle w:val="Heading2"/>
      </w:pPr>
      <w:r>
        <w:t xml:space="preserve">12.3 前端使用</w:t>
      </w:r>
    </w:p>
    <w:p>
      <w:r>
        <w:t xml:space="preserve">打开 QMD 网页后进入「配置」面板，会看到新增的「访问令牌 (Bearer Token)」输入框。粘贴 token 并点击「保存令牌」后，页面后续所有请求（检索、配置读写、模型预热）都会自动携带该令牌。配置面板此时展示的是「全局默认 + 该用户覆盖层」合并后的结果；修改并保存后只影响当前用户自己的配置。</w:t>
      </w:r>
    </w:p>
    <w:p>
      <w:r>
        <w:t xml:space="preserve">若某字段被服务器拒绝（如分块大小、模型本体等仅管理员可改的字段），保存后会提示「以下字段仅管理员可改，已忽略：…」。</w:t>
      </w:r>
    </w:p>
    <w:p>
      <w:pPr>
        <w:pStyle w:val="Heading2"/>
      </w:pPr>
      <w:r>
        <w:t xml:space="preserve">12.4 直接调用 API</w:t>
      </w:r>
    </w:p>
    <w:p>
      <w:r>
        <w:t xml:space="preserve">所有 /api 接口都需要在请求头携带 Authorization: Bearer &lt;token&gt;。示例：</w:t>
      </w:r>
    </w:p>
    <w:p>
      <w:pPr>
        <w:shd w:val="clear" w:color="auto" w:fill="F2F2F2"/>
        <w:spacing w:after="40"/>
      </w:pPr>
      <w:r>
        <w:rPr>
          <w:rFonts w:ascii="Consolas" w:hAnsi="Consolas" w:cs="Consolas"/>
          <w:sz w:val="18"/>
        </w:rPr>
        <w:t xml:space="preserve">
          # 查看我的配置（合并后）
          <w:br/>
          curl -H "Authorization: Bearer &lt;token&gt;" http://host:8787/api/config
        </w:t>
      </w:r>
    </w:p>
    <w:p>
      <w:pPr>
        <w:shd w:val="clear" w:color="auto" w:fill="F2F2F2"/>
        <w:spacing w:after="40"/>
      </w:pPr>
      <w:r>
        <w:rPr>
          <w:rFonts w:ascii="Consolas" w:hAnsi="Consolas" w:cs="Consolas"/>
          <w:sz w:val="18"/>
        </w:rPr>
        <w:t xml:space="preserve">
          # 修改我的检索阈值与回答模型
          <w:br/>
          curl -X PUT -H "Authorization: Bearer &lt;token&gt;" -H "Content-Type: application/json" \
          <w:br/>
               -d "{\"minScore\":0.3,\"llmApiKey\":\"sk-xxx\",\"llmModel\":\"gpt-4o\"}" http://host:8787/api/config
        </w:t>
      </w:r>
    </w:p>
    <w:p>
      <w:pPr>
        <w:shd w:val="clear" w:color="auto" w:fill="F2F2F2"/>
        <w:spacing w:after="40"/>
      </w:pPr>
      <w:r>
        <w:rPr>
          <w:rFonts w:ascii="Consolas" w:hAnsi="Consolas" w:cs="Consolas"/>
          <w:sz w:val="18"/>
        </w:rPr>
        <w:t xml:space="preserve">
          # 恢复我的配置到全局默认
          <w:br/>
          curl -X POST -H "Authorization: Bearer &lt;token&gt;" http://host:8787/api/config/reset
        </w:t>
      </w:r>
    </w:p>
    <w:p>
      <w:pPr>
        <w:shd w:val="clear" w:color="auto" w:fill="F2F2F2"/>
        <w:spacing w:after="40"/>
      </w:pPr>
      <w:r>
        <w:rPr>
          <w:rFonts w:ascii="Consolas" w:hAnsi="Consolas" w:cs="Consolas"/>
          <w:sz w:val="18"/>
        </w:rPr>
        <w:t xml:space="preserve">
          # 未带 token 访问会被拒绝
          <w:br/>
          curl http://host:8787/api/config   # -&gt; 401
        </w:t>
      </w:r>
    </w:p>
    <w:p>
      <w:pPr>
        <w:pStyle w:val="Heading2"/>
      </w:pPr>
      <w:r>
        <w:t xml:space="preserve">12.5 可配置项范围</w:t>
      </w:r>
    </w:p>
    <w:p>
      <w:r>
        <w:t xml:space="preserve">出于共享索引与单实例本地模型的约束，每个用户仅可覆盖「与单次检索/回答相关、且不影响他人」的参数：</w:t>
      </w:r>
    </w:p>
    <w:p>
      <w:r>
        <w:t xml:space="preserve">• 检索数值：queryLimit、minScore、candidateLimit、strongSignalMinScore、strongSignalMinGap、intentWeightSnippet、intentWeightChunk、rrfK</w:t>
      </w:r>
    </w:p>
    <w:p>
      <w:r>
        <w:t xml:space="preserve">• 个人回答 LLM：llmBaseUrl、llmApiKey、llmModel</w:t>
      </w:r>
    </w:p>
    <w:p>
      <w:r>
        <w:t xml:space="preserve">• 开关：enableRerank、enableQueryExpansion（开启会加载全局模型，请按需）</w:t>
      </w:r>
    </w:p>
    <w:p>
      <w:r>
        <w:t xml:space="preserve">以下字段不可由普通用户修改（会被忽略）：chunkSizeTokens、chunkOverlapRatio、embedModel、rerankModel、queryExpansionModel、embedBatchSize、modelCacheDir 等索引/模型本体参数。</w:t>
      </w:r>
    </w:p>
    <w:p>
      <w:pPr>
        <w:pStyle w:val="Heading2"/>
      </w:pPr>
      <w:r>
        <w:t xml:space="preserve">12.6 部署与安全提示</w:t>
      </w:r>
    </w:p>
    <w:p>
      <w:r>
        <w:t xml:space="preserve">• 单实例：当前为单进程内存态，token 与用户覆盖层持久化在 ~/.config/qmd 下（users/ 与 tokens.json），建议定期备份该目录。</w:t>
      </w:r>
    </w:p>
    <w:p>
      <w:r>
        <w:t xml:space="preserve">• 反向代理：公网部署务必放在 Nginx/Caddy 之后，做 HTTPS、限流与统一鉴权；不要将 qmd serve 直接暴露公网。</w:t>
      </w:r>
    </w:p>
    <w:p>
      <w:r>
        <w:t xml:space="preserve">• 并发：检索读库在 WAL 下可并发；但模型推理（扩展开关、重排、embed）本质串行，高并发请参考设计文档将推理外置。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SimSun"/>
        <w:sz w:val="21"/>
      </w:rPr>
    </w:rPrDefault>
  </w:docDefaults>
  <w:style w:type="paragraph" w:styleId="Heading1">
    <w:name w:val="heading 1"/>
    <w:basedOn w:val="Normal"/>
    <w:next w:val="Normal"/>
    <w:pPr>
      <w:keepNext/>
      <w:spacing w:before="240" w:after="80"/>
      <w:outlineLvl w:val="0"/>
    </w:pPr>
    <w:rPr>
      <w:b/>
      <w:sz w:val="30"/>
    </w:rPr>
  </w:style>
  <w:style w:type="paragraph" w:styleId="Heading2">
    <w:name w:val="heading 2"/>
    <w:basedOn w:val="Normal"/>
    <w:next w:val="Normal"/>
    <w:pPr>
      <w:keepNext/>
      <w:spacing w:before="160" w:after="60"/>
      <w:outlineLvl w:val="1"/>
    </w:pPr>
    <w:rPr>
      <w:b/>
      <w:sz w:val="26"/>
    </w:rPr>
  </w:style>
  <w:style w:type="paragraph" w:styleId="Normal">
    <w:name w:val="Normal"/>
    <w:pPr>
      <w:spacing w:after="120"/>
    </w:pPr>
  </w:style>
  <w:style w:type="table" w:styleId="TableGrid">
    <w:name w:val="Table Grid"/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QMD DocGen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QMD 每用户专属配置 设计说明</dc:title>
  <dc:creator>QMD</dc:creator>
  <cp:lastModifiedBy>QMD</cp:lastModifiedBy>
  <dcterms:created xsi:type="dcterms:W3CDTF">2026-09-09T00:00:00Z</dcterms:created>
  <dcterms:modified xsi:type="dcterms:W3CDTF">2026-09-09T00:00:00Z</dcterms:modified>
</cp:coreProperties>
</file>