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微软雅黑" w:hAnsi="微软雅黑" w:eastAsia="微软雅黑" w:cs="微软雅黑"/>
          <w:color w:val="3F3F3F"/>
          <w:kern w:val="0"/>
          <w:sz w:val="22"/>
          <w:szCs w:val="22"/>
          <w:lang w:val="en-US" w:eastAsia="zh-CN" w:bidi="ar"/>
        </w:rPr>
      </w:pPr>
      <w:r>
        <w:rPr>
          <w:rFonts w:ascii="微软雅黑" w:hAnsi="微软雅黑" w:eastAsia="微软雅黑" w:cs="微软雅黑"/>
          <w:color w:val="3F3F3F"/>
          <w:kern w:val="0"/>
          <w:sz w:val="22"/>
          <w:szCs w:val="22"/>
          <w:lang w:val="en-US" w:eastAsia="zh-CN" w:bidi="ar"/>
        </w:rPr>
        <w:t>交易策略的选择标准</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eastAsia" w:ascii="微软雅黑" w:hAnsi="微软雅黑" w:eastAsia="微软雅黑" w:cs="微软雅黑"/>
          <w:color w:val="3F3F3F"/>
          <w:kern w:val="0"/>
          <w:sz w:val="22"/>
          <w:szCs w:val="22"/>
          <w:lang w:val="en-US" w:eastAsia="zh-CN" w:bidi="ar"/>
        </w:rPr>
        <w:t>1、</w:t>
      </w:r>
      <w:r>
        <w:rPr>
          <w:rFonts w:ascii="微软雅黑" w:hAnsi="微软雅黑" w:eastAsia="微软雅黑" w:cs="微软雅黑"/>
          <w:color w:val="3F3F3F"/>
          <w:kern w:val="0"/>
          <w:sz w:val="22"/>
          <w:szCs w:val="22"/>
          <w:lang w:val="en-US" w:eastAsia="zh-CN" w:bidi="ar"/>
        </w:rPr>
        <w:t>获利预期</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eastAsia" w:ascii="微软雅黑" w:hAnsi="微软雅黑" w:eastAsia="微软雅黑" w:cs="微软雅黑"/>
          <w:color w:val="3F3F3F"/>
          <w:kern w:val="0"/>
          <w:sz w:val="22"/>
          <w:szCs w:val="22"/>
          <w:lang w:val="en-US" w:eastAsia="zh-CN" w:bidi="ar"/>
        </w:rPr>
        <w:t>2、</w:t>
      </w:r>
      <w:r>
        <w:rPr>
          <w:rFonts w:ascii="微软雅黑" w:hAnsi="微软雅黑" w:eastAsia="微软雅黑" w:cs="微软雅黑"/>
          <w:color w:val="3F3F3F"/>
          <w:kern w:val="0"/>
          <w:sz w:val="22"/>
          <w:szCs w:val="22"/>
          <w:lang w:val="en-US" w:eastAsia="zh-CN" w:bidi="ar"/>
        </w:rPr>
        <w:t>成功率</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eastAsia" w:ascii="微软雅黑" w:hAnsi="微软雅黑" w:eastAsia="微软雅黑" w:cs="微软雅黑"/>
          <w:color w:val="3F3F3F"/>
          <w:kern w:val="0"/>
          <w:sz w:val="22"/>
          <w:szCs w:val="22"/>
          <w:lang w:val="en-US" w:eastAsia="zh-CN" w:bidi="ar"/>
        </w:rPr>
        <w:t>3、</w:t>
      </w:r>
      <w:r>
        <w:rPr>
          <w:rFonts w:ascii="微软雅黑" w:hAnsi="微软雅黑" w:eastAsia="微软雅黑" w:cs="微软雅黑"/>
          <w:color w:val="3F3F3F"/>
          <w:kern w:val="0"/>
          <w:sz w:val="22"/>
          <w:szCs w:val="22"/>
          <w:lang w:val="en-US" w:eastAsia="zh-CN" w:bidi="ar"/>
        </w:rPr>
        <w:t>触发频率</w:t>
      </w:r>
    </w:p>
    <w:p>
      <w:pPr>
        <w:keepNext w:val="0"/>
        <w:keepLines w:val="0"/>
        <w:widowControl/>
        <w:suppressLineNumbers w:val="0"/>
        <w:jc w:val="left"/>
        <w:rPr>
          <w:rFonts w:ascii="微软雅黑" w:hAnsi="微软雅黑" w:eastAsia="微软雅黑" w:cs="微软雅黑"/>
          <w:color w:val="3F3F3F"/>
          <w:kern w:val="0"/>
          <w:sz w:val="22"/>
          <w:szCs w:val="22"/>
          <w:lang w:val="en-US" w:eastAsia="zh-CN" w:bidi="ar"/>
        </w:rPr>
      </w:pPr>
    </w:p>
    <w:p>
      <w:pPr>
        <w:keepNext w:val="0"/>
        <w:keepLines w:val="0"/>
        <w:widowControl/>
        <w:suppressLineNumbers w:val="0"/>
        <w:jc w:val="left"/>
        <w:rPr>
          <w:rFonts w:ascii="微软雅黑" w:hAnsi="微软雅黑" w:eastAsia="微软雅黑" w:cs="微软雅黑"/>
          <w:color w:val="3F3F3F"/>
          <w:kern w:val="0"/>
          <w:sz w:val="22"/>
          <w:szCs w:val="22"/>
          <w:lang w:val="en-US" w:eastAsia="zh-CN" w:bidi="ar"/>
        </w:rPr>
      </w:pPr>
      <w:r>
        <w:rPr>
          <w:rFonts w:ascii="微软雅黑" w:hAnsi="微软雅黑" w:eastAsia="微软雅黑" w:cs="微软雅黑"/>
          <w:color w:val="3F3F3F"/>
          <w:kern w:val="0"/>
          <w:sz w:val="22"/>
          <w:szCs w:val="22"/>
          <w:lang w:val="en-US" w:eastAsia="zh-CN" w:bidi="ar"/>
        </w:rPr>
        <w:t>最重要的指标或策略，要同时满足“获利预期”和“触发频率”。</w:t>
      </w:r>
    </w:p>
    <w:p>
      <w:pPr>
        <w:keepNext w:val="0"/>
        <w:keepLines w:val="0"/>
        <w:widowControl/>
        <w:suppressLineNumbers w:val="0"/>
        <w:jc w:val="left"/>
        <w:rPr>
          <w:rFonts w:ascii="微软雅黑" w:hAnsi="微软雅黑" w:eastAsia="微软雅黑" w:cs="微软雅黑"/>
          <w:color w:val="3F3F3F"/>
          <w:kern w:val="0"/>
          <w:sz w:val="22"/>
          <w:szCs w:val="22"/>
          <w:lang w:val="en-US" w:eastAsia="zh-CN" w:bidi="ar"/>
        </w:rPr>
      </w:pPr>
    </w:p>
    <w:p>
      <w:pPr>
        <w:keepNext w:val="0"/>
        <w:keepLines w:val="0"/>
        <w:widowControl/>
        <w:suppressLineNumbers w:val="0"/>
        <w:jc w:val="left"/>
        <w:rPr>
          <w:rFonts w:hint="eastAsia" w:ascii="微软雅黑" w:hAnsi="微软雅黑" w:eastAsia="微软雅黑" w:cs="微软雅黑"/>
          <w:color w:val="3F3F3F"/>
          <w:kern w:val="0"/>
          <w:sz w:val="22"/>
          <w:szCs w:val="22"/>
          <w:lang w:val="en-US" w:eastAsia="zh-CN" w:bidi="ar"/>
        </w:rPr>
      </w:pPr>
      <w:r>
        <w:rPr>
          <w:rFonts w:ascii="微软雅黑" w:hAnsi="微软雅黑" w:eastAsia="微软雅黑" w:cs="微软雅黑"/>
          <w:color w:val="3F3F3F"/>
          <w:kern w:val="0"/>
          <w:sz w:val="22"/>
          <w:szCs w:val="22"/>
          <w:lang w:val="en-US" w:eastAsia="zh-CN" w:bidi="ar"/>
        </w:rPr>
        <w:t>如果你的交易系统是由一个主策略和多个副策略组</w:t>
      </w:r>
      <w:r>
        <w:rPr>
          <w:rFonts w:hint="eastAsia" w:ascii="微软雅黑" w:hAnsi="微软雅黑" w:eastAsia="微软雅黑" w:cs="微软雅黑"/>
          <w:color w:val="3F3F3F"/>
          <w:kern w:val="0"/>
          <w:sz w:val="22"/>
          <w:szCs w:val="22"/>
          <w:lang w:val="en-US" w:eastAsia="zh-CN" w:bidi="ar"/>
        </w:rPr>
        <w:t>成，那如何进行有效、高效地融合呢？答案是：仓位权重。写好了仓位权重剧本，最终落到买卖操作上，我们自己当一台机器人就好了。</w:t>
      </w:r>
    </w:p>
    <w:p>
      <w:pPr>
        <w:keepNext w:val="0"/>
        <w:keepLines w:val="0"/>
        <w:widowControl/>
        <w:suppressLineNumbers w:val="0"/>
        <w:jc w:val="left"/>
        <w:rPr>
          <w:rFonts w:hint="eastAsia" w:ascii="微软雅黑" w:hAnsi="微软雅黑" w:eastAsia="微软雅黑" w:cs="微软雅黑"/>
          <w:color w:val="3F3F3F"/>
          <w:kern w:val="0"/>
          <w:sz w:val="22"/>
          <w:szCs w:val="22"/>
          <w:lang w:val="en-US" w:eastAsia="zh-CN" w:bidi="ar"/>
        </w:rPr>
      </w:pPr>
    </w:p>
    <w:p>
      <w:pPr>
        <w:keepNext w:val="0"/>
        <w:keepLines w:val="0"/>
        <w:widowControl/>
        <w:suppressLineNumbers w:val="0"/>
        <w:jc w:val="left"/>
        <w:rPr>
          <w:rFonts w:ascii="微软雅黑" w:hAnsi="微软雅黑" w:eastAsia="微软雅黑" w:cs="微软雅黑"/>
          <w:color w:val="3F3F3F"/>
          <w:kern w:val="0"/>
          <w:sz w:val="22"/>
          <w:szCs w:val="22"/>
          <w:lang w:val="en-US" w:eastAsia="zh-CN" w:bidi="ar"/>
        </w:rPr>
      </w:pPr>
      <w:r>
        <w:rPr>
          <w:rFonts w:ascii="微软雅黑" w:hAnsi="微软雅黑" w:eastAsia="微软雅黑" w:cs="微软雅黑"/>
          <w:color w:val="3F3F3F"/>
          <w:kern w:val="0"/>
          <w:sz w:val="22"/>
          <w:szCs w:val="22"/>
          <w:lang w:val="en-US" w:eastAsia="zh-CN" w:bidi="ar"/>
        </w:rPr>
        <w:t>我自己交易系统的指标，由三部分组成。</w:t>
      </w:r>
    </w:p>
    <w:p>
      <w:pPr>
        <w:keepNext w:val="0"/>
        <w:keepLines w:val="0"/>
        <w:widowControl/>
        <w:numPr>
          <w:ilvl w:val="0"/>
          <w:numId w:val="1"/>
        </w:numPr>
        <w:suppressLineNumbers w:val="0"/>
        <w:jc w:val="left"/>
        <w:rPr>
          <w:rFonts w:ascii="微软雅黑" w:hAnsi="微软雅黑" w:eastAsia="微软雅黑" w:cs="微软雅黑"/>
          <w:color w:val="3F3F3F"/>
          <w:kern w:val="0"/>
          <w:sz w:val="22"/>
          <w:szCs w:val="22"/>
          <w:lang w:val="en-US" w:eastAsia="zh-CN" w:bidi="ar"/>
        </w:rPr>
      </w:pPr>
      <w:r>
        <w:rPr>
          <w:rFonts w:ascii="微软雅黑" w:hAnsi="微软雅黑" w:eastAsia="微软雅黑" w:cs="微软雅黑"/>
          <w:color w:val="3F3F3F"/>
          <w:kern w:val="0"/>
          <w:sz w:val="22"/>
          <w:szCs w:val="22"/>
          <w:lang w:val="en-US" w:eastAsia="zh-CN" w:bidi="ar"/>
        </w:rPr>
        <w:t>趋势和结构</w:t>
      </w:r>
      <w:r>
        <w:rPr>
          <w:rFonts w:hint="eastAsia" w:ascii="微软雅黑" w:hAnsi="微软雅黑" w:eastAsia="微软雅黑" w:cs="微软雅黑"/>
          <w:color w:val="3F3F3F"/>
          <w:kern w:val="0"/>
          <w:sz w:val="22"/>
          <w:szCs w:val="22"/>
          <w:lang w:val="en-US" w:eastAsia="zh-CN" w:bidi="ar"/>
        </w:rPr>
        <w:t>:</w:t>
      </w:r>
    </w:p>
    <w:p>
      <w:pPr>
        <w:keepNext w:val="0"/>
        <w:keepLines w:val="0"/>
        <w:widowControl/>
        <w:numPr>
          <w:ilvl w:val="0"/>
          <w:numId w:val="1"/>
        </w:numPr>
        <w:suppressLineNumbers w:val="0"/>
        <w:ind w:left="0" w:leftChars="0" w:firstLine="0" w:firstLineChars="0"/>
        <w:jc w:val="left"/>
        <w:rPr>
          <w:rFonts w:ascii="微软雅黑" w:hAnsi="微软雅黑" w:eastAsia="微软雅黑" w:cs="微软雅黑"/>
          <w:color w:val="3F3F3F"/>
          <w:kern w:val="0"/>
          <w:sz w:val="22"/>
          <w:szCs w:val="22"/>
          <w:lang w:val="en-US" w:eastAsia="zh-CN" w:bidi="ar"/>
        </w:rPr>
      </w:pPr>
      <w:r>
        <w:rPr>
          <w:rFonts w:ascii="微软雅黑" w:hAnsi="微软雅黑" w:eastAsia="微软雅黑" w:cs="微软雅黑"/>
          <w:color w:val="3F3F3F"/>
          <w:kern w:val="0"/>
          <w:sz w:val="22"/>
          <w:szCs w:val="22"/>
          <w:lang w:val="en-US" w:eastAsia="zh-CN" w:bidi="ar"/>
        </w:rPr>
        <w:t>周期和序列；</w:t>
      </w:r>
    </w:p>
    <w:p>
      <w:pPr>
        <w:keepNext w:val="0"/>
        <w:keepLines w:val="0"/>
        <w:widowControl/>
        <w:numPr>
          <w:ilvl w:val="0"/>
          <w:numId w:val="1"/>
        </w:numPr>
        <w:suppressLineNumbers w:val="0"/>
        <w:ind w:left="0" w:leftChars="0" w:firstLine="0" w:firstLineChars="0"/>
        <w:jc w:val="left"/>
        <w:rPr>
          <w:rFonts w:hint="eastAsia" w:ascii="微软雅黑" w:hAnsi="微软雅黑" w:eastAsia="微软雅黑" w:cs="微软雅黑"/>
          <w:color w:val="3F3F3F"/>
          <w:kern w:val="0"/>
          <w:sz w:val="22"/>
          <w:szCs w:val="22"/>
          <w:lang w:val="en-US" w:eastAsia="zh-CN" w:bidi="ar"/>
        </w:rPr>
      </w:pPr>
      <w:r>
        <w:rPr>
          <w:rFonts w:ascii="微软雅黑" w:hAnsi="微软雅黑" w:eastAsia="微软雅黑" w:cs="微软雅黑"/>
          <w:color w:val="3F3F3F"/>
          <w:kern w:val="0"/>
          <w:sz w:val="22"/>
          <w:szCs w:val="22"/>
          <w:lang w:val="en-US" w:eastAsia="zh-CN" w:bidi="ar"/>
        </w:rPr>
        <w:t>其他指</w:t>
      </w:r>
      <w:r>
        <w:rPr>
          <w:rFonts w:hint="eastAsia" w:ascii="微软雅黑" w:hAnsi="微软雅黑" w:eastAsia="微软雅黑" w:cs="微软雅黑"/>
          <w:color w:val="3F3F3F"/>
          <w:kern w:val="0"/>
          <w:sz w:val="22"/>
          <w:szCs w:val="22"/>
          <w:lang w:val="en-US" w:eastAsia="zh-CN" w:bidi="ar"/>
        </w:rPr>
        <w:t>标。</w:t>
      </w:r>
    </w:p>
    <w:p>
      <w:pPr>
        <w:keepNext w:val="0"/>
        <w:keepLines w:val="0"/>
        <w:widowControl/>
        <w:numPr>
          <w:ilvl w:val="0"/>
          <w:numId w:val="0"/>
        </w:numPr>
        <w:suppressLineNumbers w:val="0"/>
        <w:ind w:leftChars="0"/>
        <w:jc w:val="left"/>
        <w:rPr>
          <w:rFonts w:hint="eastAsia" w:ascii="微软雅黑" w:hAnsi="微软雅黑" w:eastAsia="微软雅黑" w:cs="微软雅黑"/>
          <w:color w:val="3F3F3F"/>
          <w:kern w:val="0"/>
          <w:sz w:val="22"/>
          <w:szCs w:val="22"/>
          <w:lang w:val="en-US" w:eastAsia="zh-CN" w:bidi="ar"/>
        </w:rPr>
      </w:pPr>
      <w:r>
        <w:rPr>
          <w:rFonts w:hint="eastAsia" w:ascii="微软雅黑" w:hAnsi="微软雅黑" w:eastAsia="微软雅黑" w:cs="微软雅黑"/>
          <w:color w:val="3F3F3F"/>
          <w:kern w:val="0"/>
          <w:sz w:val="22"/>
          <w:szCs w:val="22"/>
          <w:lang w:val="en-US" w:eastAsia="zh-CN" w:bidi="ar"/>
        </w:rPr>
        <w:t>只有趋势和结构，有仓位权重。操作上的所有动作，都由它们来决定，且趋势为主，结构为辅。</w:t>
      </w:r>
    </w:p>
    <w:p>
      <w:pPr>
        <w:keepNext w:val="0"/>
        <w:keepLines w:val="0"/>
        <w:widowControl/>
        <w:suppressLineNumbers w:val="0"/>
        <w:jc w:val="left"/>
        <w:rPr>
          <w:rFonts w:hint="eastAsia" w:ascii="微软雅黑" w:hAnsi="微软雅黑" w:eastAsia="微软雅黑" w:cs="微软雅黑"/>
          <w:color w:val="3F3F3F"/>
          <w:kern w:val="0"/>
          <w:sz w:val="22"/>
          <w:szCs w:val="22"/>
          <w:lang w:val="en-US" w:eastAsia="zh-CN" w:bidi="ar"/>
        </w:rPr>
      </w:pPr>
      <w:r>
        <w:rPr>
          <w:rFonts w:hint="eastAsia" w:ascii="微软雅黑" w:hAnsi="微软雅黑" w:eastAsia="微软雅黑" w:cs="微软雅黑"/>
          <w:color w:val="3F3F3F"/>
          <w:kern w:val="0"/>
          <w:sz w:val="22"/>
          <w:szCs w:val="22"/>
          <w:lang w:val="en-US" w:eastAsia="zh-CN" w:bidi="ar"/>
        </w:rPr>
        <w:t>周期和序列是对趋势和结构的精细化辅佐，不能单独使用。</w:t>
      </w:r>
    </w:p>
    <w:p>
      <w:pPr>
        <w:keepNext w:val="0"/>
        <w:keepLines w:val="0"/>
        <w:widowControl/>
        <w:suppressLineNumbers w:val="0"/>
        <w:jc w:val="left"/>
        <w:rPr>
          <w:rFonts w:hint="eastAsia" w:ascii="微软雅黑" w:hAnsi="微软雅黑" w:eastAsia="微软雅黑" w:cs="微软雅黑"/>
          <w:color w:val="3F3F3F"/>
          <w:kern w:val="0"/>
          <w:sz w:val="22"/>
          <w:szCs w:val="22"/>
          <w:lang w:val="en-US" w:eastAsia="zh-CN" w:bidi="ar"/>
        </w:rPr>
      </w:pPr>
      <w:r>
        <w:rPr>
          <w:rFonts w:hint="eastAsia" w:ascii="微软雅黑" w:hAnsi="微软雅黑" w:eastAsia="微软雅黑" w:cs="微软雅黑"/>
          <w:color w:val="3F3F3F"/>
          <w:kern w:val="0"/>
          <w:sz w:val="22"/>
          <w:szCs w:val="22"/>
          <w:lang w:val="en-US" w:eastAsia="zh-CN" w:bidi="ar"/>
        </w:rPr>
        <w:t>其他指标要么进一步辅 佐主要指标，要么作为极端行情的备用.</w:t>
      </w:r>
    </w:p>
    <w:p>
      <w:pPr>
        <w:keepNext w:val="0"/>
        <w:keepLines w:val="0"/>
        <w:widowControl/>
        <w:suppressLineNumbers w:val="0"/>
        <w:jc w:val="left"/>
        <w:rPr>
          <w:rFonts w:hint="eastAsia" w:ascii="微软雅黑" w:hAnsi="微软雅黑" w:eastAsia="微软雅黑" w:cs="微软雅黑"/>
          <w:color w:val="3F3F3F"/>
          <w:kern w:val="0"/>
          <w:sz w:val="22"/>
          <w:szCs w:val="22"/>
          <w:lang w:val="en-US" w:eastAsia="zh-CN" w:bidi="ar"/>
        </w:rPr>
      </w:pPr>
    </w:p>
    <w:p>
      <w:pPr>
        <w:keepNext w:val="0"/>
        <w:keepLines w:val="0"/>
        <w:widowControl/>
        <w:suppressLineNumbers w:val="0"/>
        <w:jc w:val="left"/>
        <w:rPr>
          <w:rFonts w:hint="default" w:ascii="微软雅黑" w:hAnsi="微软雅黑" w:eastAsia="微软雅黑" w:cs="微软雅黑"/>
          <w:color w:val="3F3F3F"/>
          <w:kern w:val="0"/>
          <w:sz w:val="22"/>
          <w:szCs w:val="22"/>
          <w:lang w:val="en-US" w:eastAsia="zh-CN" w:bidi="ar"/>
        </w:rPr>
      </w:pPr>
      <w:r>
        <w:rPr>
          <w:rFonts w:hint="eastAsia" w:ascii="微软雅黑" w:hAnsi="微软雅黑" w:eastAsia="微软雅黑" w:cs="微软雅黑"/>
          <w:color w:val="3F3F3F"/>
          <w:kern w:val="0"/>
          <w:sz w:val="22"/>
          <w:szCs w:val="22"/>
          <w:lang w:val="en-US" w:eastAsia="zh-CN" w:bidi="ar"/>
        </w:rPr>
        <w:t>精细化仓位管理：</w:t>
      </w:r>
    </w:p>
    <w:p>
      <w:pPr>
        <w:keepNext w:val="0"/>
        <w:keepLines w:val="0"/>
        <w:widowControl/>
        <w:suppressLineNumbers w:val="0"/>
        <w:ind w:firstLine="720" w:firstLineChars="0"/>
        <w:jc w:val="left"/>
        <w:rPr>
          <w:rFonts w:hint="eastAsia" w:ascii="微软雅黑" w:hAnsi="微软雅黑" w:eastAsia="微软雅黑" w:cs="微软雅黑"/>
          <w:color w:val="3F3F3F"/>
          <w:kern w:val="0"/>
          <w:sz w:val="22"/>
          <w:szCs w:val="22"/>
          <w:lang w:val="en-US" w:eastAsia="zh-CN" w:bidi="ar"/>
        </w:rPr>
      </w:pPr>
      <w:r>
        <w:rPr>
          <w:rFonts w:ascii="微软雅黑" w:hAnsi="微软雅黑" w:eastAsia="微软雅黑" w:cs="微软雅黑"/>
          <w:color w:val="3F3F3F"/>
          <w:kern w:val="0"/>
          <w:sz w:val="22"/>
          <w:szCs w:val="22"/>
          <w:lang w:val="en-US" w:eastAsia="zh-CN" w:bidi="ar"/>
        </w:rPr>
        <w:t>趋势</w:t>
      </w:r>
      <w:r>
        <w:rPr>
          <w:rFonts w:hint="eastAsia" w:ascii="微软雅黑" w:hAnsi="微软雅黑" w:eastAsia="微软雅黑" w:cs="微软雅黑"/>
          <w:color w:val="3F3F3F"/>
          <w:kern w:val="0"/>
          <w:sz w:val="22"/>
          <w:szCs w:val="22"/>
          <w:lang w:val="en-US" w:eastAsia="zh-CN" w:bidi="ar"/>
        </w:rPr>
        <w:t>上最少保留 6 成仓，趋势下最多买进 4 成仓.</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p>
    <w:p>
      <w:pPr>
        <w:keepNext w:val="0"/>
        <w:keepLines w:val="0"/>
        <w:widowControl/>
        <w:suppressLineNumbers w:val="0"/>
        <w:jc w:val="left"/>
        <w:rPr>
          <w:rFonts w:hint="eastAsia" w:ascii="微软雅黑" w:hAnsi="微软雅黑" w:eastAsia="微软雅黑" w:cs="微软雅黑"/>
          <w:color w:val="3F3F3F"/>
          <w:kern w:val="0"/>
          <w:sz w:val="22"/>
          <w:szCs w:val="22"/>
          <w:lang w:val="en-US" w:eastAsia="zh-CN" w:bidi="ar"/>
        </w:rPr>
      </w:pPr>
      <w:r>
        <w:rPr>
          <w:rFonts w:ascii="微软雅黑" w:hAnsi="微软雅黑" w:eastAsia="微软雅黑" w:cs="微软雅黑"/>
          <w:color w:val="3F3F3F"/>
          <w:kern w:val="0"/>
          <w:sz w:val="22"/>
          <w:szCs w:val="22"/>
          <w:lang w:val="en-US" w:eastAsia="zh-CN" w:bidi="ar"/>
        </w:rPr>
        <w:t>“趋势”是</w:t>
      </w:r>
      <w:r>
        <w:rPr>
          <w:rFonts w:hint="eastAsia" w:ascii="微软雅黑" w:hAnsi="微软雅黑" w:eastAsia="微软雅黑" w:cs="微软雅黑"/>
          <w:color w:val="3F3F3F"/>
          <w:kern w:val="0"/>
          <w:sz w:val="22"/>
          <w:szCs w:val="22"/>
          <w:lang w:val="en-US" w:eastAsia="zh-CN" w:bidi="ar"/>
        </w:rPr>
        <w:t>典型的右侧交易，是在转势之后的跟进。</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eastAsia" w:ascii="微软雅黑" w:hAnsi="微软雅黑" w:eastAsia="微软雅黑" w:cs="微软雅黑"/>
          <w:color w:val="3F3F3F"/>
          <w:kern w:val="0"/>
          <w:sz w:val="22"/>
          <w:szCs w:val="22"/>
          <w:lang w:val="en-US" w:eastAsia="zh-CN" w:bidi="ar"/>
        </w:rPr>
        <w:t>“结构”是典型的左侧交易，它是对速度的 一种势能定性，是从鼎盛到衰退的一种量化标准</w:t>
      </w:r>
      <w:r>
        <w:rPr>
          <w:rFonts w:hint="default" w:ascii="微软雅黑" w:hAnsi="微软雅黑" w:eastAsia="微软雅黑" w:cs="微软雅黑"/>
          <w:color w:val="3F3F3F"/>
          <w:kern w:val="0"/>
          <w:sz w:val="22"/>
          <w:szCs w:val="22"/>
          <w:lang w:val="en-GB" w:eastAsia="zh-CN" w:bidi="ar"/>
        </w:rPr>
        <w:t>.</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ascii="微软雅黑" w:hAnsi="微软雅黑" w:eastAsia="微软雅黑" w:cs="微软雅黑"/>
          <w:color w:val="3F3F3F"/>
          <w:kern w:val="0"/>
          <w:sz w:val="22"/>
          <w:szCs w:val="22"/>
          <w:lang w:val="en-US" w:eastAsia="zh-CN" w:bidi="ar"/>
        </w:rPr>
        <w:t>结构形成之前，必先出现一种状态：钝化。钝化是结构形成的必经之路。那什么是钝化？</w:t>
      </w:r>
      <w:r>
        <w:rPr>
          <w:rFonts w:hint="eastAsia" w:ascii="微软雅黑" w:hAnsi="微软雅黑" w:eastAsia="微软雅黑" w:cs="微软雅黑"/>
          <w:color w:val="3F3F3F"/>
          <w:kern w:val="0"/>
          <w:sz w:val="22"/>
          <w:szCs w:val="22"/>
          <w:lang w:val="en-US" w:eastAsia="zh-CN" w:bidi="ar"/>
        </w:rPr>
        <w:t>直白点说，就是没有表现出应该表现的状态，出现了不同步。当价格创新低，MACD 的 DIF值不新低，且负脚线出现 2 根则判定钝化。当钝化发生之后，出现 DIF 拐头的那一刻，结构就此形成。钝化是种状态，结构形成是一个时刻</w:t>
      </w:r>
      <w:r>
        <w:rPr>
          <w:rFonts w:hint="default" w:ascii="微软雅黑" w:hAnsi="微软雅黑" w:eastAsia="微软雅黑" w:cs="微软雅黑"/>
          <w:color w:val="3F3F3F"/>
          <w:kern w:val="0"/>
          <w:sz w:val="22"/>
          <w:szCs w:val="22"/>
          <w:lang w:val="en-GB" w:eastAsia="zh-CN" w:bidi="ar"/>
        </w:rPr>
        <w:t>.</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在钝化现象的前提下，趋势类指标MACD的DIF值先行出现转向，即顶部结构由上升转为下跌，底部结构由下跌转为上升（只取整数位），则判断结构形成了75%。</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MACD的MACD值变颜色（MACD有三个数值，分别是DIF</w:t>
      </w:r>
      <w:r>
        <w:rPr>
          <w:rFonts w:hint="eastAsia" w:ascii="微软雅黑" w:hAnsi="微软雅黑" w:eastAsia="微软雅黑" w:cs="微软雅黑"/>
          <w:color w:val="3F3F3F"/>
          <w:kern w:val="0"/>
          <w:sz w:val="22"/>
          <w:szCs w:val="22"/>
          <w:lang w:val="en-GB" w:eastAsia="zh-CN" w:bidi="ar"/>
        </w:rPr>
        <w:t>、</w:t>
      </w:r>
      <w:r>
        <w:rPr>
          <w:rFonts w:hint="default" w:ascii="微软雅黑" w:hAnsi="微软雅黑" w:eastAsia="微软雅黑" w:cs="微软雅黑"/>
          <w:color w:val="3F3F3F"/>
          <w:kern w:val="0"/>
          <w:sz w:val="22"/>
          <w:szCs w:val="22"/>
          <w:lang w:val="en-GB" w:eastAsia="zh-CN" w:bidi="ar"/>
        </w:rPr>
        <w:t>DEA</w:t>
      </w:r>
      <w:r>
        <w:rPr>
          <w:rFonts w:hint="eastAsia" w:ascii="微软雅黑" w:hAnsi="微软雅黑" w:eastAsia="微软雅黑" w:cs="微软雅黑"/>
          <w:color w:val="3F3F3F"/>
          <w:kern w:val="0"/>
          <w:sz w:val="22"/>
          <w:szCs w:val="22"/>
          <w:lang w:val="en-GB" w:eastAsia="zh-CN" w:bidi="ar"/>
        </w:rPr>
        <w:t>、</w:t>
      </w:r>
      <w:r>
        <w:rPr>
          <w:rFonts w:hint="default" w:ascii="微软雅黑" w:hAnsi="微软雅黑" w:eastAsia="微软雅黑" w:cs="微软雅黑"/>
          <w:color w:val="3F3F3F"/>
          <w:kern w:val="0"/>
          <w:sz w:val="22"/>
          <w:szCs w:val="22"/>
          <w:lang w:val="en-GB" w:eastAsia="zh-CN" w:bidi="ar"/>
        </w:rPr>
        <w:t>MACD，DIF最重要，也最常用，MACD值变颜色是金叉死叉的结果）。这只是结构形成的一个补充或加强，这个现象出现，结构形成了100%.</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MACD30分钟，60分钟，120分钟钝化之后，顶背离结构成立，需要耐心等待MACD回归0轴！</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如何使用MACD判断顶部结构！</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今天咱们来系统的讲一下关于顶部结构的那些事，虽反覆提及过多次，在12月30日的顶部结构时也写过一篇文章阐述过顶部结构形成的过程跟原则，但依旧有不少投资者还是不够了解的。</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既然谈到顶部结构，就必须要先懂得什么叫顶，即价格的最高点为顶。但往往在实践的过程中会发现想要卖在最高价是不可能的事情，也不应该是投资者所追求的一种买卖方式。所谓顶部结构，是指在价格以及指标走势上所出现的一种常见但并非频繁出现的技术形态，他往往不是最高价，但一定是在高位形成的。</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顶部结构是由价格跟指标的相反走势关系而形成的，所以这里我们除了用到K线以外仅仅需要一个MACD指标即可。当然大部分投资者更喜欢把这种结构称为背离。在顶部结构形成之前必须要先形成钝化，所谓钝化即价格新高，MACD指标中的DIF值不创新高。先来看张图：</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US" w:eastAsia="zh-CN" w:bidi="ar"/>
        </w:rPr>
        <w:drawing>
          <wp:inline distT="0" distB="0" distL="114300" distR="114300">
            <wp:extent cx="3476625" cy="4038600"/>
            <wp:effectExtent l="0" t="0" r="9525"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3476625" cy="4038600"/>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从上图中我们可以看到价格创了新高，但MACD的DIF值并没有形成新高。</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有两个细节需要各位注意：</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1，利用MACD指标判断背离时一定是</w:t>
      </w:r>
      <w:r>
        <w:rPr>
          <w:rFonts w:hint="default" w:ascii="微软雅黑" w:hAnsi="微软雅黑" w:eastAsia="微软雅黑" w:cs="微软雅黑"/>
          <w:color w:val="0000FF"/>
          <w:kern w:val="0"/>
          <w:sz w:val="22"/>
          <w:szCs w:val="22"/>
          <w:lang w:val="en-GB" w:eastAsia="zh-CN" w:bidi="ar"/>
        </w:rPr>
        <w:t>前后两波</w:t>
      </w:r>
      <w:r>
        <w:rPr>
          <w:rFonts w:hint="default" w:ascii="微软雅黑" w:hAnsi="微软雅黑" w:eastAsia="微软雅黑" w:cs="微软雅黑"/>
          <w:color w:val="FF0000"/>
          <w:kern w:val="0"/>
          <w:sz w:val="22"/>
          <w:szCs w:val="22"/>
          <w:lang w:val="en-GB" w:eastAsia="zh-CN" w:bidi="ar"/>
        </w:rPr>
        <w:t>上涨</w:t>
      </w:r>
      <w:r>
        <w:rPr>
          <w:rFonts w:hint="default" w:ascii="微软雅黑" w:hAnsi="微软雅黑" w:eastAsia="微软雅黑" w:cs="微软雅黑"/>
          <w:color w:val="0000FF"/>
          <w:kern w:val="0"/>
          <w:sz w:val="22"/>
          <w:szCs w:val="22"/>
          <w:lang w:val="en-GB" w:eastAsia="zh-CN" w:bidi="ar"/>
        </w:rPr>
        <w:t>行情</w:t>
      </w:r>
      <w:r>
        <w:rPr>
          <w:rFonts w:hint="default" w:ascii="微软雅黑" w:hAnsi="微软雅黑" w:eastAsia="微软雅黑" w:cs="微软雅黑"/>
          <w:color w:val="3F3F3F"/>
          <w:kern w:val="0"/>
          <w:sz w:val="22"/>
          <w:szCs w:val="22"/>
          <w:lang w:val="en-GB" w:eastAsia="zh-CN" w:bidi="ar"/>
        </w:rPr>
        <w:t>做对比，也就是说在两波上升行情中间一定要有一波调整做间隔，不一定是较有力度的下跌，但在MACD指标上一定要有绿柱做间隔，且数量必须要在3根以上。假如太少或没有，就只能理解为同一波上涨行情。</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2，价格新高的标准，一定是收盘价创新高，而非盘中的价格。</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满足以上两个条件，即形成钝化，而钝化并不是说形成之后就一定会形成顶部结构，因为钝化也是可以消失的，假如在形成钝化之后价格快速连续的上升就会消除掉钝化，没有钝化也就没有顶部结构，钝化是顶部结构形成的必要前提条件。</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0000FF"/>
          <w:kern w:val="0"/>
          <w:sz w:val="22"/>
          <w:szCs w:val="22"/>
          <w:lang w:val="en-GB" w:eastAsia="zh-CN" w:bidi="ar"/>
        </w:rPr>
        <w:t>结构形成的标准， 当钝化形成之后MACD指标的DIF值向下转势，且重新由红色柱体变为绿色柱体，则结构形成，为卖出信号</w:t>
      </w:r>
      <w:r>
        <w:rPr>
          <w:rFonts w:hint="default" w:ascii="微软雅黑" w:hAnsi="微软雅黑" w:eastAsia="微软雅黑" w:cs="微软雅黑"/>
          <w:color w:val="3F3F3F"/>
          <w:kern w:val="0"/>
          <w:sz w:val="22"/>
          <w:szCs w:val="22"/>
          <w:lang w:val="en-GB" w:eastAsia="zh-CN" w:bidi="ar"/>
        </w:rPr>
        <w:t>。</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我们拿股灾至今的走势来举例说明：</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drawing>
          <wp:inline distT="0" distB="0" distL="114300" distR="114300">
            <wp:extent cx="3067050" cy="4000500"/>
            <wp:effectExtent l="0" t="0" r="0" b="0"/>
            <wp:docPr id="5" name="Picture 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
                    <pic:cNvPicPr>
                      <a:picLocks noChangeAspect="1"/>
                    </pic:cNvPicPr>
                  </pic:nvPicPr>
                  <pic:blipFill>
                    <a:blip r:embed="rId5"/>
                    <a:stretch>
                      <a:fillRect/>
                    </a:stretch>
                  </pic:blipFill>
                  <pic:spPr>
                    <a:xfrm>
                      <a:off x="0" y="0"/>
                      <a:ext cx="3067050" cy="4000500"/>
                    </a:xfrm>
                    <a:prstGeom prst="rect">
                      <a:avLst/>
                    </a:prstGeom>
                  </pic:spPr>
                </pic:pic>
              </a:graphicData>
            </a:graphic>
          </wp:inline>
        </w:drawing>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5178点顶部结构：前期DIF值形成高点1后市场出现一波调整，MACD出现绿柱2后市场继续上攻，重新出现红柱，但在这个过程中价格持续创新高且收盘价高于4月27日收盘价，但DIF值却一直都没有创新高，形成高点3，即，顶部钝化。直到6月16日MACD指标DIF值转身向下并重新出现绿柱4，顶部结构成立，为卖点。</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12月底，3600点附近顶部结构：1为高点，2为间隔，3为价格新高但DIF值未新高。1与3对比为钝化形成，4为转势后顶部结构的形成，为卖点。</w:t>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drawing>
          <wp:inline distT="0" distB="0" distL="114300" distR="114300">
            <wp:extent cx="3371850" cy="4048125"/>
            <wp:effectExtent l="0" t="0" r="0" b="952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6"/>
                    <a:stretch>
                      <a:fillRect/>
                    </a:stretch>
                  </pic:blipFill>
                  <pic:spPr>
                    <a:xfrm>
                      <a:off x="0" y="0"/>
                      <a:ext cx="3371850" cy="4048125"/>
                    </a:xfrm>
                    <a:prstGeom prst="rect">
                      <a:avLst/>
                    </a:prstGeom>
                  </pic:spPr>
                </pic:pic>
              </a:graphicData>
            </a:graphic>
          </wp:inline>
        </w:drawing>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US" w:eastAsia="zh-CN" w:bidi="ar"/>
        </w:rPr>
        <w:drawing>
          <wp:inline distT="0" distB="0" distL="114300" distR="114300">
            <wp:extent cx="2781300" cy="3771900"/>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2781300" cy="3771900"/>
                    </a:xfrm>
                    <a:prstGeom prst="rect">
                      <a:avLst/>
                    </a:prstGeom>
                    <a:noFill/>
                    <a:ln w="9525">
                      <a:noFill/>
                    </a:ln>
                  </pic:spPr>
                </pic:pic>
              </a:graphicData>
            </a:graphic>
          </wp:inline>
        </w:drawing>
      </w: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r>
        <w:rPr>
          <w:rFonts w:hint="default" w:ascii="微软雅黑" w:hAnsi="微软雅黑" w:eastAsia="微软雅黑" w:cs="微软雅黑"/>
          <w:color w:val="3F3F3F"/>
          <w:kern w:val="0"/>
          <w:sz w:val="22"/>
          <w:szCs w:val="22"/>
          <w:lang w:val="en-GB" w:eastAsia="zh-CN" w:bidi="ar"/>
        </w:rPr>
        <w:t>上图为上证60分钟走势图，上周四已经形成过一次顶背离结构，指数也出现了相应的调整，但今天由于在所谓的利好推动下，市场将形成二次的钝化结构，但只要不出现快速的连续上涨，就不会消除60分钟顶部结构。</w:t>
      </w:r>
    </w:p>
    <w:p>
      <w:pPr>
        <w:keepNext w:val="0"/>
        <w:keepLines w:val="0"/>
        <w:widowControl/>
        <w:suppressLineNumbers w:val="0"/>
        <w:jc w:val="left"/>
        <w:rPr>
          <w:rFonts w:hint="eastAsia" w:ascii="微软雅黑" w:hAnsi="微软雅黑" w:eastAsia="微软雅黑" w:cs="微软雅黑"/>
          <w:color w:val="3F3F3F"/>
          <w:kern w:val="0"/>
          <w:sz w:val="22"/>
          <w:szCs w:val="22"/>
          <w:lang w:val="en-US" w:eastAsia="zh-CN" w:bidi="ar"/>
        </w:rPr>
      </w:pPr>
    </w:p>
    <w:p>
      <w:pPr>
        <w:keepNext w:val="0"/>
        <w:keepLines w:val="0"/>
        <w:widowControl/>
        <w:suppressLineNumbers w:val="0"/>
        <w:jc w:val="left"/>
        <w:rPr>
          <w:rFonts w:hint="default" w:ascii="微软雅黑" w:hAnsi="微软雅黑" w:eastAsia="微软雅黑" w:cs="微软雅黑"/>
          <w:color w:val="3F3F3F"/>
          <w:kern w:val="0"/>
          <w:sz w:val="22"/>
          <w:szCs w:val="22"/>
          <w:lang w:val="en-GB"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BDE18"/>
    <w:multiLevelType w:val="singleLevel"/>
    <w:tmpl w:val="192BDE1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604D2"/>
    <w:rsid w:val="08511F55"/>
    <w:rsid w:val="0DE40111"/>
    <w:rsid w:val="0ED66EB6"/>
    <w:rsid w:val="15657C5C"/>
    <w:rsid w:val="1BC71F78"/>
    <w:rsid w:val="1D6A16DA"/>
    <w:rsid w:val="20A121E7"/>
    <w:rsid w:val="24B7363E"/>
    <w:rsid w:val="27955B9B"/>
    <w:rsid w:val="2C295FD9"/>
    <w:rsid w:val="31AF3D62"/>
    <w:rsid w:val="3CAD330D"/>
    <w:rsid w:val="3EE6343A"/>
    <w:rsid w:val="520D54D6"/>
    <w:rsid w:val="53DD7F75"/>
    <w:rsid w:val="70097325"/>
    <w:rsid w:val="70DE3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590</TotalTime>
  <ScaleCrop>false</ScaleCrop>
  <LinksUpToDate>false</LinksUpToDate>
  <CharactersWithSpaces>0</CharactersWithSpaces>
  <Application>WPS Office_11.2.0.11070_F1E327BC-269C-435d-A152-05C5408002CA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2022-03-10T09:10:00Z</dcterms:created>
  <dc:creator>Eagle_ZOU</dc:creator>
  <cp:lastModifiedBy>Eagle ZOU</cp:lastModifiedBy>
  <dcterms:modified xsi:type="dcterms:W3CDTF">2022-03-31T17:55:14Z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1033-11.2.0.11070</vt:lpwstr>
  </property>
  <property fmtid="{D5CDD505-2E9C-101B-9397-08002B2CF9AE}" pid="3" name="ICV">
    <vt:lpwstr>88A22BDA41C1449A87F1E8B02DAAE6B7</vt:lpwstr>
  </property>
</Properties>
</file>