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77" w:rsidRPr="002860DE" w:rsidRDefault="00A11E77" w:rsidP="009467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DE">
        <w:rPr>
          <w:rFonts w:ascii="Times New Roman" w:hAnsi="Times New Roman" w:cs="Times New Roman"/>
          <w:b/>
          <w:bCs/>
          <w:sz w:val="24"/>
          <w:szCs w:val="24"/>
        </w:rPr>
        <w:t xml:space="preserve">The 2-year influence of </w:t>
      </w:r>
      <w:r w:rsidR="0094673F" w:rsidRPr="002860DE">
        <w:rPr>
          <w:rFonts w:ascii="Times New Roman" w:hAnsi="Times New Roman" w:cs="Times New Roman"/>
          <w:b/>
          <w:bCs/>
          <w:sz w:val="24"/>
          <w:szCs w:val="24"/>
        </w:rPr>
        <w:t>hard</w:t>
      </w:r>
      <w:r w:rsidRPr="002860DE">
        <w:rPr>
          <w:rFonts w:ascii="Times New Roman" w:hAnsi="Times New Roman" w:cs="Times New Roman"/>
          <w:b/>
          <w:bCs/>
          <w:sz w:val="24"/>
          <w:szCs w:val="24"/>
        </w:rPr>
        <w:t xml:space="preserve"> drug</w:t>
      </w:r>
      <w:r w:rsidR="00743A45" w:rsidRPr="002860DE">
        <w:rPr>
          <w:rFonts w:ascii="Times New Roman" w:hAnsi="Times New Roman" w:cs="Times New Roman"/>
          <w:b/>
          <w:bCs/>
          <w:sz w:val="24"/>
          <w:szCs w:val="24"/>
        </w:rPr>
        <w:t xml:space="preserve"> use</w:t>
      </w:r>
      <w:r w:rsidRPr="002860DE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94673F" w:rsidRPr="002860DE">
        <w:rPr>
          <w:rFonts w:ascii="Times New Roman" w:hAnsi="Times New Roman" w:cs="Times New Roman"/>
          <w:b/>
          <w:bCs/>
          <w:sz w:val="24"/>
          <w:szCs w:val="24"/>
        </w:rPr>
        <w:t>HIV treatment response</w:t>
      </w:r>
    </w:p>
    <w:p w:rsidR="0094673F" w:rsidRPr="002860DE" w:rsidRDefault="0094673F" w:rsidP="0094673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60DE">
        <w:rPr>
          <w:rFonts w:ascii="Times New Roman" w:hAnsi="Times New Roman" w:cs="Times New Roman"/>
          <w:b/>
          <w:bCs/>
          <w:sz w:val="24"/>
          <w:szCs w:val="24"/>
        </w:rPr>
        <w:t>Wenru Zhou</w:t>
      </w:r>
    </w:p>
    <w:p w:rsidR="00D65458" w:rsidRPr="002860DE" w:rsidRDefault="00E93B8C" w:rsidP="00F426C8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  <w:t>Introduction: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A11E7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Scientists are interested in whether hard drug use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, such as heroin and cocaine,</w:t>
      </w:r>
      <w:r w:rsidR="00A11E7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will influence the effect of HARRT</w:t>
      </w:r>
      <w:r w:rsidR="0094673F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-</w:t>
      </w:r>
      <w:r w:rsidR="00A11E7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 standard </w:t>
      </w:r>
      <w:r w:rsidR="00D65458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treatment</w:t>
      </w:r>
      <w:r w:rsidR="00A11E7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for HIV infected patients. 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We</w:t>
      </w:r>
      <w:r w:rsidR="00D65458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assessed this association in men with HIV-1 infection </w:t>
      </w:r>
      <w:r w:rsidR="00163F9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from</w:t>
      </w:r>
      <w:r w:rsidR="00D65458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163F9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the</w:t>
      </w:r>
      <w:r w:rsidR="0003710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ongoing perspective Multicenter AIDS Cohort Study</w:t>
      </w:r>
      <w:r w:rsidR="00D65458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The following variables are of primary interests: SF36 MCS score, </w:t>
      </w:r>
      <w:r w:rsidR="001B47A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which is a kind of mental score measurements, 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SF36 PCS score, </w:t>
      </w:r>
      <w:r w:rsidR="001B47A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which is a kind of physical score measurements, 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CD4 positive cells, Standardized viral load</w:t>
      </w:r>
      <w:r w:rsidR="00B20AD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Other important variables: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743A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Whether using</w:t>
      </w:r>
      <w:r w:rsidR="0094673F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hard drug at baseline and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94673F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dherence to HARRT</w:t>
      </w:r>
      <w:r w:rsidR="00743A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since year-1 visit. We also included </w:t>
      </w:r>
      <w:r w:rsidR="006373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smoke status, BMI, age, race and education in our analytic dataset.</w:t>
      </w:r>
      <w:r w:rsidR="00B20AD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The null hypotheses is that there is no association between two-year changes in SF36 MCS score, SF36 PCS score, CD4 positive cells </w:t>
      </w:r>
      <w:r w:rsidR="008B1335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viral load </w:t>
      </w:r>
      <w:r w:rsidR="00B20AD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and hard drug use status at baseline. </w:t>
      </w:r>
    </w:p>
    <w:p w:rsidR="00780F5D" w:rsidRPr="002860DE" w:rsidRDefault="00A11E77" w:rsidP="00B20A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  <w:t xml:space="preserve">Methods: </w:t>
      </w:r>
    </w:p>
    <w:p w:rsidR="00743A45" w:rsidRPr="002860DE" w:rsidRDefault="000A40C9" w:rsidP="0007764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Data clean: </w:t>
      </w:r>
      <w:r w:rsidR="00743A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We used 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information at baseline and at </w:t>
      </w:r>
      <w:r w:rsidR="008134B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2-year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visit to conduct our analysis. Participants without follow up at </w:t>
      </w:r>
      <w:r w:rsidR="008134B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2-year 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visit </w:t>
      </w:r>
      <w:r w:rsidR="00EC7FA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with impossible demographic information were excluded from the analysis dataset. From previous analyses, age, BMI, adherence, race, income and smoking status should be adjusted. However, </w:t>
      </w:r>
      <w:r w:rsidR="00EC7FA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education was used to adjust for socioeconomic status</w:t>
      </w:r>
      <w:r w:rsidR="00163F9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due to many missing in income</w:t>
      </w:r>
      <w:r w:rsidR="00EC7FA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Levels of race, smoke status and adherence to medicine</w:t>
      </w:r>
      <w:r w:rsidR="004B76B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were collapsed due to low number of records</w:t>
      </w:r>
      <w:r w:rsidR="00EC7FA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  <w:r w:rsidR="006F6C0F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We did not exclude any records with missing SF36 MCS score, SF36 PCS score, CD4 cell counts or standardized viral load because 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they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were fitted separately.</w:t>
      </w:r>
    </w:p>
    <w:p w:rsidR="00077646" w:rsidRPr="002860DE" w:rsidRDefault="008666B6" w:rsidP="0007764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lastRenderedPageBreak/>
        <w:t xml:space="preserve">Data analyses: 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The outcomes were changes in SF36 MCS score, SF36 PCS score, </w:t>
      </w:r>
      <w:r w:rsidR="008511E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change of log</w:t>
      </w:r>
      <w:r w:rsidR="00055DF3" w:rsidRPr="002860DE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zh-CN"/>
        </w:rPr>
        <w:t>10</w:t>
      </w:r>
      <w:r w:rsidR="008511E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CD4 positive cells</w:t>
      </w:r>
      <w:r w:rsidR="008511E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r w:rsidR="00743A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and </w:t>
      </w:r>
      <w:r w:rsidR="008511E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log</w:t>
      </w:r>
      <w:r w:rsidR="00055DF3" w:rsidRPr="002860DE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zh-CN"/>
        </w:rPr>
        <w:t>10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Standardized viral load </w:t>
      </w:r>
      <w:r w:rsidR="00743A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from baseline visit to 2-year visit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We used changed measurements instead of measurements at 2-year visit because this is a cohort study, and the measurements at baseline for each participants are quite different. </w:t>
      </w:r>
      <w:r w:rsidR="0007764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The main predictor was hard drug use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at baseline. O</w:t>
      </w:r>
      <w:r w:rsidR="0007764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ther covariates were smoke status, BMI, age, race and education.</w:t>
      </w:r>
      <w:r w:rsidR="008511E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</w:p>
    <w:p w:rsidR="00B20AD7" w:rsidRPr="002860DE" w:rsidRDefault="00B20AD7" w:rsidP="00163F92">
      <w:pPr>
        <w:spacing w:line="480" w:lineRule="auto"/>
        <w:rPr>
          <w:rFonts w:ascii="Times New Roman" w:hAnsi="Times New Roman" w:cs="Times New Roman"/>
          <w:bCs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Non-</w:t>
      </w:r>
      <w:r w:rsidR="00055DF3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Bayesian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framework</w:t>
      </w:r>
      <w:r w:rsidR="00E93B8C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: 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</w:t>
      </w:r>
      <w:r w:rsidR="00E93B8C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ultivariate linear regression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were conducted</w:t>
      </w:r>
      <w:r w:rsidR="00E93B8C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Least square method was us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ed to estimate the coefficient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="00780F5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F test was performed to test</w:t>
      </w:r>
      <w:r w:rsidR="008666B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significance</w:t>
      </w:r>
      <w:r w:rsidR="000A40C9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T</w:t>
      </w:r>
      <w:r w:rsidR="008666B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he significant level for this study was set as 0.05</w:t>
      </w:r>
      <w:r w:rsidR="0065128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="00EF486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We used QQ-plot and residual plot to check linearity and equal variance assumption. 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We set seeds to ensure reproducible results.</w:t>
      </w:r>
    </w:p>
    <w:p w:rsidR="00DA7151" w:rsidRPr="002860DE" w:rsidRDefault="00FD7CDA" w:rsidP="0007764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Bayesian</w:t>
      </w:r>
      <w:r w:rsidR="00B20AD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framework</w:t>
      </w:r>
      <w:r w:rsidR="00E93B8C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</w:t>
      </w:r>
      <w:r w:rsidR="00D327F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Bayesian theory and Markov chain Monte Carlo method were</w:t>
      </w:r>
      <w:r w:rsidR="00EF4867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used to make inference of 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mean and variance of coefficients and error. </w:t>
      </w:r>
      <w:r w:rsidR="00C71FF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Priors were </w:t>
      </w:r>
      <w:r w:rsidR="0065128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on-informative. The coefficients</w:t>
      </w:r>
      <w:r w:rsidR="0065128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were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assumed to have normal distribution (mean=0, variance=100000), and the </w:t>
      </w:r>
      <w:r w:rsidR="00C71FF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error is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assumed to have inverse-gamma distribution </w:t>
      </w:r>
      <w:r w:rsidR="0065128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(shape=2.001, scale</w:t>
      </w:r>
      <w:r w:rsidR="00DA715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=1.001). DIC was used to compare full models and reduce models in order to find the influence of variables.</w:t>
      </w:r>
      <w:r w:rsidR="0065128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 also checked autocorrelation function and trace plot to check the convergence and autocorrelation of models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B20AD7" w:rsidRPr="002860DE" w:rsidRDefault="00FD7CDA" w:rsidP="00B20A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  <w:t>Results:</w:t>
      </w:r>
    </w:p>
    <w:p w:rsidR="00570530" w:rsidRPr="002860DE" w:rsidRDefault="002A30FA" w:rsidP="00B138C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715 participants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were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at baseline from Perspective Multicenter AIDS Cohort Study. 506 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of 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participants available at 2-year visit. We excluded 18 (3.6%) records due to invalid or missing BMI</w:t>
      </w:r>
      <w:r w:rsidR="00C20845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After excluding missing 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BMI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,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we have totally 488 patients. 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Partic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ipants ranged from age 20 years to 73 years</w:t>
      </w:r>
      <w:r w:rsidR="00D93A6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old</w:t>
      </w:r>
      <w:r w:rsidR="00B138C3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and from BMI 16 to BMI 45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The percent of whites was 68%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57% of 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lastRenderedPageBreak/>
        <w:t xml:space="preserve">participants </w:t>
      </w:r>
      <w:r w:rsidR="00F74FA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never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complet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ed 4-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year 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College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or </w:t>
      </w:r>
      <w:r w:rsidR="00295131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had</w:t>
      </w:r>
      <w:r w:rsidR="00A86D9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college degree</w:t>
      </w:r>
      <w:r w:rsidR="00F74FA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21% of them finished 4 year college or had a college degree</w:t>
      </w:r>
      <w:r w:rsidR="0094480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62% of them were not current smokers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(Table 1).</w:t>
      </w:r>
    </w:p>
    <w:p w:rsidR="008511E7" w:rsidRPr="002860DE" w:rsidRDefault="008511E7" w:rsidP="008511E7">
      <w:pPr>
        <w:pStyle w:val="BodyText"/>
        <w:rPr>
          <w:rFonts w:ascii="Times New Roman" w:hAnsi="Times New Roman" w:cs="Times New Roman"/>
          <w:b/>
          <w:sz w:val="14"/>
          <w:szCs w:val="14"/>
        </w:rPr>
      </w:pPr>
      <w:r w:rsidRPr="002860DE">
        <w:rPr>
          <w:rFonts w:ascii="Times New Roman" w:hAnsi="Times New Roman" w:cs="Times New Roman"/>
          <w:b/>
          <w:sz w:val="14"/>
          <w:szCs w:val="14"/>
        </w:rPr>
        <w:t>Table 1. Demographic characteristics Baseline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560"/>
        <w:gridCol w:w="222"/>
        <w:gridCol w:w="1871"/>
        <w:gridCol w:w="2361"/>
        <w:gridCol w:w="2124"/>
        <w:gridCol w:w="222"/>
      </w:tblGrid>
      <w:tr w:rsidR="00D327F1" w:rsidRPr="002860DE" w:rsidTr="00D327F1">
        <w:trPr>
          <w:gridAfter w:val="1"/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Characteristic at baseline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All (n=488)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No hard drug use at baseline (n=452)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Hard drug use at baseline (n=36)</w:t>
            </w:r>
          </w:p>
        </w:tc>
      </w:tr>
      <w:tr w:rsidR="00D327F1" w:rsidRPr="002860DE" w:rsidTr="00D327F1">
        <w:tc>
          <w:tcPr>
            <w:tcW w:w="0" w:type="auto"/>
            <w:tcBorders>
              <w:top w:val="single" w:sz="2" w:space="0" w:color="auto"/>
            </w:tcBorders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SF36 MCS score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45.24±13.67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45.5±13.8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42.01±11.64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SF36 PCS score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51.08±9.04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51.23±9.17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49.16±7.05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Number of CD4 positive cells# (helpers)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375.43±203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376.66±203.34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360.04±200.8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Standardized viral load (copies/ml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)#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32600.5 (11186.22, 136972.5)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33291.5 (11009.25, 136952.75)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29255.5 (12909, 293871)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Age, years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43.16±8.83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43.1±8.78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43.89±9.52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BMI(kg/m2)</w:t>
            </w:r>
            <w:r w:rsidRPr="002860DE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 xml:space="preserve"> ##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25.26±4.41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25.39±4.46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23.62±3.45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Race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Non-White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158 (32%)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141 (31%)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17 (47%)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White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330 (68%)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311 (69%)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19 (53%)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Education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less than college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280 (57%)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254 (56%)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26 (72%)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college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101 (21%)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100 (22%)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 (3%)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greater than college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107 (22%)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98 (22%)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9 (25%)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Smoke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Noncurrent smoker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302 (62%)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293 (65%)</w:t>
            </w:r>
          </w:p>
        </w:tc>
        <w:tc>
          <w:tcPr>
            <w:tcW w:w="0" w:type="auto"/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9 (25%)</w:t>
            </w:r>
          </w:p>
        </w:tc>
        <w:tc>
          <w:tcPr>
            <w:tcW w:w="0" w:type="auto"/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327F1" w:rsidRPr="002860DE" w:rsidTr="00D327F1">
        <w:trPr>
          <w:gridAfter w:val="1"/>
        </w:trPr>
        <w:tc>
          <w:tcPr>
            <w:tcW w:w="0" w:type="auto"/>
            <w:tcBorders>
              <w:bottom w:val="single" w:sz="4" w:space="0" w:color="auto"/>
            </w:tcBorders>
          </w:tcPr>
          <w:p w:rsidR="00D327F1" w:rsidRPr="002860DE" w:rsidRDefault="00D327F1" w:rsidP="00022F60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Current smoker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327F1" w:rsidRPr="002860DE" w:rsidRDefault="00D327F1" w:rsidP="00022F60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186 (38%)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159 (35%)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327F1" w:rsidRPr="002860DE" w:rsidRDefault="00D327F1" w:rsidP="006D76DD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27 (75%)</w:t>
            </w:r>
          </w:p>
        </w:tc>
      </w:tr>
    </w:tbl>
    <w:tbl>
      <w:tblPr>
        <w:tblpPr w:leftFromText="180" w:rightFromText="180" w:vertAnchor="text" w:horzAnchor="margin" w:tblpY="65"/>
        <w:tblW w:w="5000" w:type="pct"/>
        <w:tblLook w:val="07E0" w:firstRow="1" w:lastRow="1" w:firstColumn="1" w:lastColumn="1" w:noHBand="1" w:noVBand="1"/>
      </w:tblPr>
      <w:tblGrid>
        <w:gridCol w:w="2856"/>
        <w:gridCol w:w="1284"/>
        <w:gridCol w:w="3060"/>
        <w:gridCol w:w="1855"/>
        <w:gridCol w:w="305"/>
      </w:tblGrid>
      <w:tr w:rsidR="008134BB" w:rsidRPr="002860DE" w:rsidTr="008134BB">
        <w:trPr>
          <w:gridAfter w:val="1"/>
          <w:wAfter w:w="305" w:type="dxa"/>
          <w:trHeight w:val="246"/>
        </w:trPr>
        <w:tc>
          <w:tcPr>
            <w:tcW w:w="9055" w:type="dxa"/>
            <w:gridSpan w:val="4"/>
            <w:tcBorders>
              <w:bottom w:val="single" w:sz="4" w:space="0" w:color="auto"/>
            </w:tcBorders>
            <w:vAlign w:val="bottom"/>
          </w:tcPr>
          <w:p w:rsidR="008134BB" w:rsidRPr="002860DE" w:rsidRDefault="008134BB" w:rsidP="008134BB">
            <w:pPr>
              <w:pStyle w:val="BodyTex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Table 1. Demographic characteristics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at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2-year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visit-continued</w:t>
            </w:r>
          </w:p>
        </w:tc>
      </w:tr>
      <w:tr w:rsidR="008134BB" w:rsidRPr="002860DE" w:rsidTr="008134BB">
        <w:trPr>
          <w:gridAfter w:val="1"/>
          <w:wAfter w:w="305" w:type="dxa"/>
          <w:trHeight w:val="175"/>
        </w:trPr>
        <w:tc>
          <w:tcPr>
            <w:tcW w:w="2856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Characteristic at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2-year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visit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All (n=488)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No hard drug use at baseline (n=452)</w:t>
            </w:r>
          </w:p>
        </w:tc>
        <w:tc>
          <w:tcPr>
            <w:tcW w:w="1855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Hard drug use at baseline (n=36)</w:t>
            </w:r>
          </w:p>
        </w:tc>
      </w:tr>
      <w:tr w:rsidR="008134BB" w:rsidRPr="002860DE" w:rsidTr="008134BB">
        <w:trPr>
          <w:trHeight w:val="236"/>
        </w:trPr>
        <w:tc>
          <w:tcPr>
            <w:tcW w:w="2856" w:type="dxa"/>
            <w:tcBorders>
              <w:top w:val="single" w:sz="2" w:space="0" w:color="auto"/>
            </w:tcBorders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SF36 MCS score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1284" w:type="dxa"/>
            <w:tcBorders>
              <w:top w:val="single" w:sz="2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47.6±11.94</w:t>
            </w:r>
          </w:p>
        </w:tc>
        <w:tc>
          <w:tcPr>
            <w:tcW w:w="3060" w:type="dxa"/>
            <w:tcBorders>
              <w:top w:val="single" w:sz="2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47.73±11.76</w:t>
            </w:r>
          </w:p>
        </w:tc>
        <w:tc>
          <w:tcPr>
            <w:tcW w:w="1855" w:type="dxa"/>
            <w:tcBorders>
              <w:top w:val="single" w:sz="2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45.9±14.06</w:t>
            </w: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246"/>
        </w:trPr>
        <w:tc>
          <w:tcPr>
            <w:tcW w:w="2856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SF36 PCS score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1284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49.45±10.34</w:t>
            </w:r>
          </w:p>
        </w:tc>
        <w:tc>
          <w:tcPr>
            <w:tcW w:w="3060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49.86±10.1</w:t>
            </w:r>
          </w:p>
        </w:tc>
        <w:tc>
          <w:tcPr>
            <w:tcW w:w="185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44.36±11.96</w:t>
            </w: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246"/>
        </w:trPr>
        <w:tc>
          <w:tcPr>
            <w:tcW w:w="2856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Number of CD4 positive cells (helpers)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1284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543.03±267.99</w:t>
            </w:r>
          </w:p>
        </w:tc>
        <w:tc>
          <w:tcPr>
            <w:tcW w:w="3060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557.15±264.85</w:t>
            </w:r>
          </w:p>
        </w:tc>
        <w:tc>
          <w:tcPr>
            <w:tcW w:w="185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371.22±248.8</w:t>
            </w: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422"/>
        </w:trPr>
        <w:tc>
          <w:tcPr>
            <w:tcW w:w="2856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Standardized viral load (copies/ml)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1284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31.02 (10, 251.25)</w:t>
            </w:r>
          </w:p>
        </w:tc>
        <w:tc>
          <w:tcPr>
            <w:tcW w:w="3060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31 (10.17, 285.84)</w:t>
            </w:r>
          </w:p>
        </w:tc>
        <w:tc>
          <w:tcPr>
            <w:tcW w:w="185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44 (8.85, 160.25)</w:t>
            </w: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422"/>
        </w:trPr>
        <w:tc>
          <w:tcPr>
            <w:tcW w:w="2856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If Adherence to meds since last visit</w:t>
            </w:r>
          </w:p>
        </w:tc>
        <w:tc>
          <w:tcPr>
            <w:tcW w:w="1284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5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236"/>
        </w:trPr>
        <w:tc>
          <w:tcPr>
            <w:tcW w:w="2856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1284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48 (10%)</w:t>
            </w:r>
          </w:p>
        </w:tc>
        <w:tc>
          <w:tcPr>
            <w:tcW w:w="3060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47 (10%)</w:t>
            </w:r>
          </w:p>
        </w:tc>
        <w:tc>
          <w:tcPr>
            <w:tcW w:w="1855" w:type="dxa"/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 (3%)</w:t>
            </w:r>
          </w:p>
        </w:tc>
        <w:tc>
          <w:tcPr>
            <w:tcW w:w="305" w:type="dxa"/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134BB" w:rsidRPr="002860DE" w:rsidTr="006D76DD">
        <w:trPr>
          <w:trHeight w:val="246"/>
        </w:trPr>
        <w:tc>
          <w:tcPr>
            <w:tcW w:w="2856" w:type="dxa"/>
            <w:tcBorders>
              <w:bottom w:val="single" w:sz="4" w:space="0" w:color="auto"/>
            </w:tcBorders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Yes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440 (90%)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405 (90%)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:rsidR="008134BB" w:rsidRPr="002860DE" w:rsidRDefault="008134BB" w:rsidP="008134BB">
            <w:pPr>
              <w:pStyle w:val="Compact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35 (97%)</w:t>
            </w:r>
          </w:p>
        </w:tc>
        <w:tc>
          <w:tcPr>
            <w:tcW w:w="305" w:type="dxa"/>
            <w:tcBorders>
              <w:bottom w:val="single" w:sz="4" w:space="0" w:color="auto"/>
            </w:tcBorders>
          </w:tcPr>
          <w:p w:rsidR="008134BB" w:rsidRPr="002860DE" w:rsidRDefault="008134BB" w:rsidP="008134BB">
            <w:pPr>
              <w:pStyle w:val="Compac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4651E3" w:rsidRPr="002860DE" w:rsidRDefault="004651E3" w:rsidP="00D327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4"/>
          <w:szCs w:val="14"/>
        </w:rPr>
      </w:pPr>
      <w:r w:rsidRPr="002860DE">
        <w:rPr>
          <w:rFonts w:ascii="Times New Roman" w:hAnsi="Times New Roman" w:cs="Times New Roman"/>
          <w:sz w:val="14"/>
          <w:szCs w:val="14"/>
          <w:vertAlign w:val="superscript"/>
        </w:rPr>
        <w:t>#</w:t>
      </w:r>
      <w:r w:rsidR="005030FE" w:rsidRPr="002860DE">
        <w:rPr>
          <w:rFonts w:ascii="Times New Roman" w:hAnsi="Times New Roman" w:cs="Times New Roman"/>
          <w:sz w:val="14"/>
          <w:szCs w:val="14"/>
          <w:vertAlign w:val="superscript"/>
        </w:rPr>
        <w:t xml:space="preserve"> </w:t>
      </w:r>
      <w:r w:rsidR="005030FE" w:rsidRPr="002860DE">
        <w:rPr>
          <w:rFonts w:ascii="Times New Roman" w:hAnsi="Times New Roman" w:cs="Times New Roman"/>
          <w:sz w:val="14"/>
          <w:szCs w:val="14"/>
        </w:rPr>
        <w:t>there were 14 missing in count of CD4 cells and viral load</w:t>
      </w:r>
      <w:r w:rsidR="005030FE" w:rsidRPr="002860DE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5030FE" w:rsidRPr="002860DE">
        <w:rPr>
          <w:rFonts w:ascii="Times New Roman" w:hAnsi="Times New Roman" w:cs="Times New Roman"/>
          <w:sz w:val="14"/>
          <w:szCs w:val="14"/>
        </w:rPr>
        <w:t>There were 7 missing in SF36 MCS score and SF36 PCS score</w:t>
      </w:r>
      <w:r w:rsidR="00D327F1" w:rsidRPr="002860DE">
        <w:rPr>
          <w:rFonts w:ascii="Times New Roman" w:hAnsi="Times New Roman" w:cs="Times New Roman"/>
          <w:sz w:val="14"/>
          <w:szCs w:val="14"/>
        </w:rPr>
        <w:t xml:space="preserve">; </w:t>
      </w:r>
      <w:r w:rsidR="005030FE" w:rsidRPr="002860DE">
        <w:rPr>
          <w:rFonts w:ascii="Times New Roman" w:hAnsi="Times New Roman" w:cs="Times New Roman"/>
          <w:sz w:val="14"/>
          <w:szCs w:val="14"/>
          <w:vertAlign w:val="superscript"/>
        </w:rPr>
        <w:t>##</w:t>
      </w:r>
      <w:proofErr w:type="gramStart"/>
      <w:r w:rsidRPr="002860DE">
        <w:rPr>
          <w:rFonts w:ascii="Times New Roman" w:hAnsi="Times New Roman" w:cs="Times New Roman"/>
          <w:sz w:val="14"/>
          <w:szCs w:val="14"/>
        </w:rPr>
        <w:t>There</w:t>
      </w:r>
      <w:proofErr w:type="gramEnd"/>
      <w:r w:rsidR="00D23360" w:rsidRPr="002860DE">
        <w:rPr>
          <w:rFonts w:ascii="Times New Roman" w:hAnsi="Times New Roman" w:cs="Times New Roman"/>
          <w:sz w:val="14"/>
          <w:szCs w:val="14"/>
        </w:rPr>
        <w:t xml:space="preserve"> were</w:t>
      </w:r>
      <w:r w:rsidR="00D758D6" w:rsidRPr="002860DE">
        <w:rPr>
          <w:rFonts w:ascii="Times New Roman" w:hAnsi="Times New Roman" w:cs="Times New Roman"/>
          <w:sz w:val="14"/>
          <w:szCs w:val="14"/>
        </w:rPr>
        <w:t xml:space="preserve"> 18 invalid BMI: 1 record with impossible BMI. 5 records with insufficient data. 7 records with improbable value. 5 records with missing BMI.</w:t>
      </w:r>
    </w:p>
    <w:p w:rsidR="002860DE" w:rsidRPr="002860DE" w:rsidRDefault="002860DE" w:rsidP="002860DE">
      <w:pPr>
        <w:pStyle w:val="NoSpacing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Table 2 summarized the multivariate regression using </w:t>
      </w:r>
      <w:proofErr w:type="spellStart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frequentist</w:t>
      </w:r>
      <w:proofErr w:type="spellEnd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approch</w:t>
      </w:r>
      <w:proofErr w:type="spellEnd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 All baseline measurements has significantly negative association with outcomes (p-value &lt;.0001). Age was negatively associated with change in physical score (-0.0946±0.0434, p-value=0.03).  Education was significantly associated with change in log number of standardized viral load (p-value=0.048) and change in mental score (p-value=0.04). Further investigation on education needs pairwise t-test, we would not discuss it here. Hard drug use at baseline significantly 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lastRenderedPageBreak/>
        <w:t>decrease change in log10 CD4 cell counts 0.213 times from baseline to 2-year visit (-0.213±0.0345, p-value&lt;.0001). Hard drug use at baseline significantly decrease change in physical score 3.528 times from baseline to 2-year visit (-3.528±1.419, p-value=0.013). Hard drug use at baseline was not associated with change in log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zh-CN"/>
        </w:rPr>
        <w:t>10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number of virus load and change in mental score.</w:t>
      </w:r>
    </w:p>
    <w:p w:rsidR="00722994" w:rsidRPr="002860DE" w:rsidRDefault="00F302CB" w:rsidP="00F302CB">
      <w:pPr>
        <w:pStyle w:val="BodyText"/>
        <w:rPr>
          <w:rFonts w:ascii="Times New Roman" w:hAnsi="Times New Roman" w:cs="Times New Roman"/>
          <w:b/>
          <w:sz w:val="14"/>
          <w:szCs w:val="14"/>
        </w:rPr>
      </w:pPr>
      <w:r w:rsidRPr="002860DE">
        <w:rPr>
          <w:rFonts w:ascii="Times New Roman" w:hAnsi="Times New Roman" w:cs="Times New Roman"/>
          <w:b/>
          <w:sz w:val="14"/>
          <w:szCs w:val="14"/>
        </w:rPr>
        <w:t>Tab</w:t>
      </w:r>
      <w:r w:rsidR="00570530" w:rsidRPr="002860DE">
        <w:rPr>
          <w:rFonts w:ascii="Times New Roman" w:hAnsi="Times New Roman" w:cs="Times New Roman"/>
          <w:b/>
          <w:sz w:val="14"/>
          <w:szCs w:val="14"/>
        </w:rPr>
        <w:t xml:space="preserve">le </w:t>
      </w:r>
      <w:r w:rsidR="00B138C3" w:rsidRPr="002860DE">
        <w:rPr>
          <w:rFonts w:ascii="Times New Roman" w:hAnsi="Times New Roman" w:cs="Times New Roman"/>
          <w:b/>
          <w:sz w:val="14"/>
          <w:szCs w:val="14"/>
        </w:rPr>
        <w:t>2</w:t>
      </w:r>
      <w:r w:rsidR="00570530" w:rsidRPr="002860DE">
        <w:rPr>
          <w:rFonts w:ascii="Times New Roman" w:hAnsi="Times New Roman" w:cs="Times New Roman"/>
          <w:b/>
          <w:sz w:val="14"/>
          <w:szCs w:val="14"/>
        </w:rPr>
        <w:t>. Multivariate regression-</w:t>
      </w:r>
      <w:r w:rsidR="00D93A62" w:rsidRPr="002860DE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="00D93A62" w:rsidRPr="002860DE">
        <w:rPr>
          <w:rFonts w:ascii="Times New Roman" w:hAnsi="Times New Roman" w:cs="Times New Roman"/>
          <w:b/>
          <w:sz w:val="14"/>
          <w:szCs w:val="14"/>
        </w:rPr>
        <w:t>Frequentist</w:t>
      </w:r>
      <w:proofErr w:type="spellEnd"/>
      <w:r w:rsidR="00D93A62" w:rsidRPr="002860DE">
        <w:rPr>
          <w:rFonts w:ascii="Times New Roman" w:hAnsi="Times New Roman" w:cs="Times New Roman"/>
          <w:b/>
          <w:sz w:val="14"/>
          <w:szCs w:val="14"/>
        </w:rPr>
        <w:t xml:space="preserve"> approach</w:t>
      </w:r>
    </w:p>
    <w:tbl>
      <w:tblPr>
        <w:tblW w:w="10885" w:type="dxa"/>
        <w:tblInd w:w="-71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885"/>
        <w:gridCol w:w="1455"/>
        <w:gridCol w:w="900"/>
        <w:gridCol w:w="1260"/>
        <w:gridCol w:w="900"/>
        <w:gridCol w:w="1345"/>
        <w:gridCol w:w="900"/>
      </w:tblGrid>
      <w:tr w:rsidR="002A30FA" w:rsidRPr="002860DE" w:rsidTr="002860DE">
        <w:trPr>
          <w:trHeight w:val="197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Characteristics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1F5882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Change in log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bscript"/>
              </w:rPr>
              <w:t>10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bscript"/>
              </w:rPr>
              <w:t xml:space="preserve">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number of</w:t>
            </w:r>
            <w:r w:rsidR="00F302CB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CD4 positive cells(N=474)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Change in</w:t>
            </w:r>
            <w:r w:rsidR="001F5882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log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bscript"/>
              </w:rPr>
              <w:t xml:space="preserve">10 </w:t>
            </w:r>
            <w:r w:rsidR="001F5882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number of 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virus load (N=474)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AC32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Change in mental score (N=481)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AC32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Change in physical score (N=481)</w:t>
            </w:r>
          </w:p>
        </w:tc>
      </w:tr>
      <w:tr w:rsidR="002A30FA" w:rsidRPr="002860DE" w:rsidTr="001179C6">
        <w:trPr>
          <w:trHeight w:val="46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Regression coefficient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4F06E1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P-</w:t>
            </w:r>
            <w:r w:rsidR="00F302CB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value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Regression coefficient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P-value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Regression coefficient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P-value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Regression coefficient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P-value</w:t>
            </w:r>
          </w:p>
        </w:tc>
      </w:tr>
      <w:tr w:rsidR="002A30FA" w:rsidRPr="002860DE" w:rsidTr="001179C6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Baseline measurements</w:t>
            </w:r>
            <w:r w:rsidR="00D010DD"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-0.473±0.0272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&lt;.0001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-0.508±0.0571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&lt;.0001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-0.511±0.0334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&lt;.0001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-0.301±0.0429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&lt;.0001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</w:tr>
      <w:tr w:rsidR="002A30FA" w:rsidRPr="002860DE" w:rsidTr="001179C6">
        <w:trPr>
          <w:trHeight w:val="1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022F60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="00F302CB" w:rsidRPr="002860DE">
              <w:rPr>
                <w:rFonts w:ascii="Times New Roman" w:hAnsi="Times New Roman" w:cs="Times New Roman"/>
                <w:sz w:val="14"/>
                <w:szCs w:val="14"/>
              </w:rPr>
              <w:t>0.00140±0.00103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022F60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="00F302CB" w:rsidRPr="002860DE">
              <w:rPr>
                <w:rFonts w:ascii="Times New Roman" w:hAnsi="Times New Roman" w:cs="Times New Roman"/>
                <w:sz w:val="14"/>
                <w:szCs w:val="14"/>
              </w:rPr>
              <w:t>0.00517±0.00602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0.0582±0.0528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022F60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="00F302CB" w:rsidRPr="002860DE">
              <w:rPr>
                <w:rFonts w:ascii="Times New Roman" w:hAnsi="Times New Roman" w:cs="Times New Roman"/>
                <w:sz w:val="14"/>
                <w:szCs w:val="14"/>
              </w:rPr>
              <w:t>0.0946±0.0434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0.03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</w:t>
            </w:r>
          </w:p>
        </w:tc>
      </w:tr>
      <w:tr w:rsidR="002A30FA" w:rsidRPr="002860DE" w:rsidTr="001179C6">
        <w:trPr>
          <w:trHeight w:val="261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BMI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0.00349±0.00209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-0.0205±0.0122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0.0182±0.105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0.0680±0.0848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0.4</w:t>
            </w:r>
          </w:p>
        </w:tc>
      </w:tr>
      <w:tr w:rsidR="002A30FA" w:rsidRPr="002860DE" w:rsidTr="001179C6">
        <w:trPr>
          <w:trHeight w:val="23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33527C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White </w:t>
            </w:r>
            <w:r w:rsidR="00F302CB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(Non-white as reference)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-0.0130±0.0199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-0.185±0.118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0.281±1.0118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-0.352±0.829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0.7</w:t>
            </w:r>
          </w:p>
        </w:tc>
      </w:tr>
      <w:tr w:rsidR="002A30FA" w:rsidRPr="002860DE" w:rsidTr="001179C6">
        <w:trPr>
          <w:trHeight w:val="21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Education (&lt;College as reference)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CC0014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0.048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0.04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-0.227±0.953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0.8</w:t>
            </w:r>
          </w:p>
        </w:tc>
      </w:tr>
      <w:tr w:rsidR="002A30FA" w:rsidRPr="002860DE" w:rsidTr="001179C6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College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0.0116±0.0232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-0.292±0.136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1.564±1.184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A30FA" w:rsidRPr="002860DE" w:rsidTr="001179C6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&gt;College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0.0220±0.0234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0.0659±0.139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2.990±1.192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0.126±0.961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0.9</w:t>
            </w:r>
          </w:p>
        </w:tc>
      </w:tr>
      <w:tr w:rsidR="002A30FA" w:rsidRPr="002860DE" w:rsidTr="001179C6">
        <w:trPr>
          <w:trHeight w:val="63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F06E1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Smoke </w:t>
            </w:r>
          </w:p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(Non-current smoker as reference)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-0.0105±0.0194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0.0325±0.113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1.544±0.988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-1.471±0.795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0.07</w:t>
            </w:r>
          </w:p>
        </w:tc>
      </w:tr>
      <w:tr w:rsidR="002A30FA" w:rsidRPr="002860DE" w:rsidTr="001179C6">
        <w:trPr>
          <w:trHeight w:val="63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F06E1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Whether use hard drug at baseline</w:t>
            </w:r>
          </w:p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(No hard drug as reference)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-0.213±0.0345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&lt;.0001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-0.0711±0.202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-0.702±1.766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-3.528±1.419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0.013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</w:t>
            </w:r>
          </w:p>
        </w:tc>
      </w:tr>
      <w:tr w:rsidR="002A30FA" w:rsidRPr="002860DE" w:rsidTr="001179C6">
        <w:trPr>
          <w:trHeight w:val="45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D010DD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Whether adherence to medicine </w:t>
            </w:r>
          </w:p>
          <w:p w:rsidR="00F302CB" w:rsidRPr="002860DE" w:rsidRDefault="00F302CB" w:rsidP="00F302CB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(Non-adherence as reference)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0.0937±0.0296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0.002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-0.466±0.174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0.008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2.387±1.524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2.463±1.226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302CB" w:rsidRPr="002860DE" w:rsidRDefault="00F302CB" w:rsidP="00D010DD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sz w:val="14"/>
                <w:szCs w:val="14"/>
              </w:rPr>
              <w:t>0.045</w:t>
            </w:r>
            <w:r w:rsidR="003F0092" w:rsidRPr="002860DE">
              <w:rPr>
                <w:rFonts w:ascii="Times New Roman" w:hAnsi="Times New Roman" w:cs="Times New Roman"/>
                <w:sz w:val="14"/>
                <w:szCs w:val="14"/>
              </w:rPr>
              <w:t>*</w:t>
            </w:r>
          </w:p>
        </w:tc>
      </w:tr>
    </w:tbl>
    <w:p w:rsidR="00D010DD" w:rsidRPr="002860DE" w:rsidRDefault="00616288" w:rsidP="002860DE">
      <w:pPr>
        <w:pStyle w:val="BodyText"/>
        <w:spacing w:line="200" w:lineRule="exact"/>
        <w:rPr>
          <w:rFonts w:ascii="Times New Roman" w:hAnsi="Times New Roman" w:cs="Times New Roman"/>
          <w:sz w:val="14"/>
          <w:szCs w:val="14"/>
        </w:rPr>
      </w:pPr>
      <w:r w:rsidRPr="002860DE">
        <w:rPr>
          <w:rFonts w:ascii="Times New Roman" w:hAnsi="Times New Roman" w:cs="Times New Roman"/>
          <w:sz w:val="14"/>
          <w:szCs w:val="14"/>
        </w:rPr>
        <w:t>*p-value&lt;0.05</w:t>
      </w:r>
      <w:r w:rsidR="00D327F1" w:rsidRPr="002860DE">
        <w:rPr>
          <w:rFonts w:ascii="Times New Roman" w:hAnsi="Times New Roman" w:cs="Times New Roman"/>
          <w:sz w:val="14"/>
          <w:szCs w:val="14"/>
        </w:rPr>
        <w:t xml:space="preserve">; </w:t>
      </w:r>
      <w:r w:rsidRPr="002860DE">
        <w:rPr>
          <w:rFonts w:ascii="Times New Roman" w:hAnsi="Times New Roman" w:cs="Times New Roman"/>
          <w:sz w:val="14"/>
          <w:szCs w:val="14"/>
        </w:rPr>
        <w:t>**p-value&lt;0.01</w:t>
      </w:r>
      <w:r w:rsidR="002860DE" w:rsidRPr="002860DE">
        <w:rPr>
          <w:rFonts w:ascii="Times New Roman" w:hAnsi="Times New Roman" w:cs="Times New Roman"/>
          <w:sz w:val="14"/>
          <w:szCs w:val="14"/>
        </w:rPr>
        <w:t xml:space="preserve">; </w:t>
      </w:r>
      <w:r w:rsidR="00D010DD" w:rsidRPr="002860DE">
        <w:rPr>
          <w:rFonts w:ascii="Times New Roman" w:hAnsi="Times New Roman" w:cs="Times New Roman"/>
          <w:sz w:val="14"/>
          <w:szCs w:val="14"/>
          <w:vertAlign w:val="superscript"/>
        </w:rPr>
        <w:t>#</w:t>
      </w:r>
      <w:r w:rsidR="00D010DD" w:rsidRPr="002860DE">
        <w:rPr>
          <w:rFonts w:ascii="Times New Roman" w:hAnsi="Times New Roman" w:cs="Times New Roman"/>
          <w:sz w:val="14"/>
          <w:szCs w:val="14"/>
        </w:rPr>
        <w:t>log number of CD4 positive cells, log number of virus load, log number of mental score and log number of physical score at baselin</w:t>
      </w:r>
      <w:r w:rsidR="002860DE" w:rsidRPr="002860DE">
        <w:rPr>
          <w:rFonts w:ascii="Times New Roman" w:hAnsi="Times New Roman" w:cs="Times New Roman"/>
          <w:sz w:val="14"/>
          <w:szCs w:val="14"/>
        </w:rPr>
        <w:t>e accordingly for four columns.</w:t>
      </w:r>
    </w:p>
    <w:p w:rsidR="002860DE" w:rsidRPr="002860DE" w:rsidRDefault="002860DE" w:rsidP="002860DE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As for Bayesian approach, </w:t>
      </w:r>
      <w:proofErr w:type="gramStart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The</w:t>
      </w:r>
      <w:proofErr w:type="gramEnd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sample of trace plot, ACF, and distribution plot were in Figure1. The coefficients of four models did not change much using Bayesian approach compared to </w:t>
      </w:r>
      <w:proofErr w:type="spellStart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Frequentist</w:t>
      </w:r>
      <w:proofErr w:type="spellEnd"/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approach (Table 3). Hard drug use at baseline decrease change in log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zh-CN"/>
        </w:rPr>
        <w:t>10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CD4 cell counts 0.211 times from baseline to 2-year visit (-0.211±0.0367, DIC decrease by 35.008). Hard drug use at baseline decrease change in physical score 3.461 times from baseline to 2-year visit (-3.461±1.410, DIC decrease by 4.391), therefore, including hard drug at baseline helps improve those two models. Removing hard drug use at baseline when modeling change in log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zh-CN"/>
        </w:rPr>
        <w:t>10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number of 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lastRenderedPageBreak/>
        <w:t xml:space="preserve">CD4 positive cells and change in mental score decrease DIC, which means that hard drug use at baseline did not help improve model fit. </w:t>
      </w:r>
    </w:p>
    <w:p w:rsidR="00570530" w:rsidRPr="002860DE" w:rsidRDefault="00570530" w:rsidP="00570530">
      <w:pPr>
        <w:pStyle w:val="BodyText"/>
        <w:rPr>
          <w:rFonts w:ascii="Times New Roman" w:hAnsi="Times New Roman" w:cs="Times New Roman"/>
          <w:b/>
          <w:sz w:val="14"/>
          <w:szCs w:val="14"/>
        </w:rPr>
      </w:pPr>
      <w:r w:rsidRPr="002860DE">
        <w:rPr>
          <w:rFonts w:ascii="Times New Roman" w:hAnsi="Times New Roman" w:cs="Times New Roman"/>
          <w:b/>
          <w:sz w:val="14"/>
          <w:szCs w:val="14"/>
        </w:rPr>
        <w:t xml:space="preserve">Table </w:t>
      </w:r>
      <w:r w:rsidR="00B138C3" w:rsidRPr="002860DE">
        <w:rPr>
          <w:rFonts w:ascii="Times New Roman" w:hAnsi="Times New Roman" w:cs="Times New Roman"/>
          <w:b/>
          <w:sz w:val="14"/>
          <w:szCs w:val="14"/>
        </w:rPr>
        <w:t>3</w:t>
      </w:r>
      <w:r w:rsidRPr="002860DE">
        <w:rPr>
          <w:rFonts w:ascii="Times New Roman" w:hAnsi="Times New Roman" w:cs="Times New Roman"/>
          <w:b/>
          <w:sz w:val="14"/>
          <w:szCs w:val="14"/>
        </w:rPr>
        <w:t>. Multivariate regression- Bayesian approach</w:t>
      </w:r>
    </w:p>
    <w:tbl>
      <w:tblPr>
        <w:tblW w:w="9810" w:type="dxa"/>
        <w:tblInd w:w="-220" w:type="dxa"/>
        <w:tblLayout w:type="fixed"/>
        <w:tblLook w:val="04A0" w:firstRow="1" w:lastRow="0" w:firstColumn="1" w:lastColumn="0" w:noHBand="0" w:noVBand="1"/>
      </w:tblPr>
      <w:tblGrid>
        <w:gridCol w:w="2340"/>
        <w:gridCol w:w="1574"/>
        <w:gridCol w:w="2026"/>
        <w:gridCol w:w="90"/>
        <w:gridCol w:w="90"/>
        <w:gridCol w:w="1620"/>
        <w:gridCol w:w="2070"/>
      </w:tblGrid>
      <w:tr w:rsidR="002A30FA" w:rsidRPr="002860DE" w:rsidTr="00D327F1">
        <w:trPr>
          <w:trHeight w:val="1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Characteristics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8134BB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Change in 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log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bscript"/>
              </w:rPr>
              <w:t xml:space="preserve">10 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number of</w:t>
            </w:r>
            <w:r w:rsidR="00BD4E27"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CD4 positive cells(N=474)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8134BB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Change in 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log</w:t>
            </w:r>
            <w:r w:rsidR="00295131" w:rsidRPr="002860DE">
              <w:rPr>
                <w:rFonts w:ascii="Times New Roman" w:hAnsi="Times New Roman" w:cs="Times New Roman"/>
                <w:b/>
                <w:sz w:val="14"/>
                <w:szCs w:val="14"/>
                <w:vertAlign w:val="subscript"/>
              </w:rPr>
              <w:t xml:space="preserve">10 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number of </w:t>
            </w:r>
            <w:r w:rsidR="00BD4E27"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virus load (N=474)</w:t>
            </w:r>
          </w:p>
        </w:tc>
      </w:tr>
      <w:tr w:rsidR="002A30FA" w:rsidRPr="002860DE" w:rsidTr="00D327F1">
        <w:trPr>
          <w:trHeight w:val="17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Regression coefficient, 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br/>
              <w:t>DIC=-207.330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 without hard drug at baseline, DIC=-172.322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coefficient, DIC=1462.723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 without hard drug at baseline, DIC=1460.933</w:t>
            </w:r>
          </w:p>
        </w:tc>
      </w:tr>
      <w:tr w:rsidR="002A30FA" w:rsidRPr="002860DE" w:rsidTr="00D64982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Baseline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-0.471±0.0285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-0.470±0.0298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-0.506±0.0571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-0.507±0.0562</w:t>
            </w:r>
          </w:p>
        </w:tc>
      </w:tr>
      <w:tr w:rsidR="002A30FA" w:rsidRPr="002860DE" w:rsidTr="00D64982">
        <w:trPr>
          <w:trHeight w:val="22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-0.00139±0.00108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-0.00148±0.00113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-0.00505±0.00600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-0.00517±0.00623</w:t>
            </w:r>
          </w:p>
        </w:tc>
      </w:tr>
      <w:tr w:rsidR="002A30FA" w:rsidRPr="002860DE" w:rsidTr="00D64982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BMI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0.00350±0.0022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0.00440±0.00228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-0.0206±0.0121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-0.0201±0.0122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Race (Non-white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-0.0130±0.0209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-0.00509±0.0219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-0.1869±0.119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-0.183±0.118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Education (&lt;College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College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0.0125±0.0245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0.0262±0.0251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-0.297±0.136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-0.290±0.134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&gt;College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0.0220±0.0244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0.0171±0.0254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0.0693±0.139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0.0565±0.141</w:t>
            </w:r>
          </w:p>
        </w:tc>
      </w:tr>
      <w:tr w:rsidR="002A30FA" w:rsidRPr="002860DE" w:rsidTr="00D327F1">
        <w:trPr>
          <w:trHeight w:val="99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27F1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Smoke</w:t>
            </w:r>
          </w:p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(Non-current smoker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-0.0116±0.0203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-0.0331±0.0207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0.0319±0.113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0.0261±0.112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27F1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Whether use hard drug at baseline</w:t>
            </w:r>
          </w:p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(No hard drug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-0.211±0.0367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-0.0757±0.204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Whether adherence to medicine </w:t>
            </w: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(Non-adherence as reference)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0.0933±0.0313</w:t>
            </w:r>
          </w:p>
        </w:tc>
        <w:tc>
          <w:tcPr>
            <w:tcW w:w="2026" w:type="dxa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0.0755±0.0318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-0.465±0.175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-0.469±0.173</w:t>
            </w:r>
          </w:p>
        </w:tc>
      </w:tr>
      <w:tr w:rsidR="00291D39" w:rsidRPr="002860DE" w:rsidTr="0045440A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91D39" w:rsidRPr="002860DE" w:rsidRDefault="005C7B10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Variance of the errors σ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91D39" w:rsidRPr="002860DE" w:rsidRDefault="009C25A8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0.0408±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0.00267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91D39" w:rsidRPr="002860DE" w:rsidRDefault="008C210F" w:rsidP="008C2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0.0437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0.00286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91D39" w:rsidRPr="002860DE" w:rsidRDefault="008C210F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1.2484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0.0818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91D39" w:rsidRPr="002860DE" w:rsidRDefault="008C210F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1.2466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0.0818</w:t>
            </w:r>
          </w:p>
        </w:tc>
      </w:tr>
      <w:tr w:rsidR="002A30FA" w:rsidRPr="002860DE" w:rsidTr="002860DE">
        <w:trPr>
          <w:trHeight w:val="20"/>
        </w:trPr>
        <w:tc>
          <w:tcPr>
            <w:tcW w:w="981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:rsidR="00570530" w:rsidRPr="002860DE" w:rsidRDefault="00570530" w:rsidP="00570530">
            <w:pPr>
              <w:pStyle w:val="BodyTex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570530" w:rsidRPr="002860DE" w:rsidRDefault="00570530" w:rsidP="00570530">
            <w:pPr>
              <w:pStyle w:val="BodyTex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Table </w:t>
            </w:r>
            <w:r w:rsidR="00B138C3"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3</w:t>
            </w:r>
            <w:r w:rsidRPr="002860DE">
              <w:rPr>
                <w:rFonts w:ascii="Times New Roman" w:hAnsi="Times New Roman" w:cs="Times New Roman"/>
                <w:b/>
                <w:sz w:val="14"/>
                <w:szCs w:val="14"/>
              </w:rPr>
              <w:t>. Multivariate regression- Bayesian approach-continued</w:t>
            </w:r>
          </w:p>
          <w:p w:rsidR="00570530" w:rsidRPr="002860DE" w:rsidRDefault="00570530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2A30FA" w:rsidRPr="002860DE" w:rsidTr="00D327F1">
        <w:trPr>
          <w:trHeight w:val="53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4E27" w:rsidRPr="002860DE" w:rsidRDefault="00BD4E27" w:rsidP="00BD4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AC3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Change in mental score (N=481)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</w:t>
            </w:r>
            <w:r w:rsidR="00AC322D"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hange in 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physical score (N=481)</w:t>
            </w:r>
          </w:p>
        </w:tc>
      </w:tr>
      <w:tr w:rsidR="002A30FA" w:rsidRPr="002860DE" w:rsidTr="00D64982">
        <w:trPr>
          <w:trHeight w:val="585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Characteristics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coefficient, DIC=3571.608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 without hard drug at baseline, DIC=3569.714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coefficient, DIC=3361.911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Regression coefficient without hard drug at baseline, DIC=3366.382</w:t>
            </w:r>
          </w:p>
        </w:tc>
      </w:tr>
      <w:tr w:rsidR="002A30FA" w:rsidRPr="002860DE" w:rsidTr="00D327F1">
        <w:trPr>
          <w:trHeight w:val="5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Baseline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-0.511±0.0336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-0.510±0.0333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-0.302±0.0423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-0.301±0.0426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0.0577±0.0531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0.0582±0.0537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-0.0940±0.0422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-0.0965±0.0437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BMI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0.0186±0.1032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0.0229±0.107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0.0658±0.0854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0.0872±0.0848</w:t>
            </w:r>
          </w:p>
        </w:tc>
      </w:tr>
      <w:tr w:rsidR="002A30FA" w:rsidRPr="002860DE" w:rsidTr="00D64982">
        <w:trPr>
          <w:trHeight w:val="35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Race (Non-white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0.290±1.0252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0.328±1.012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-0.380±0.826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-0.254±0.817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Education (&lt;College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2A30FA" w:rsidRPr="002860DE" w:rsidTr="008B1335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College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1.538±1.198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1.634±1.188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-0.238±0.925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0.00822±0.945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&gt;College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2.953±1.221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2.980±1.191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0.136±0.939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0.0321±0.972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27F1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Smoke </w:t>
            </w:r>
          </w:p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(Non-current smoker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1.532±1.0145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1.499±0.949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-1.469±0.773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-1.836±0.775</w:t>
            </w:r>
          </w:p>
        </w:tc>
      </w:tr>
      <w:tr w:rsidR="002A30FA" w:rsidRPr="002860DE" w:rsidTr="00D327F1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27F1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Whether use hard drug at baseline</w:t>
            </w:r>
          </w:p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(No hard drug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-0.700±1.763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-3.461±1.410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</w:tr>
      <w:tr w:rsidR="002A30FA" w:rsidRPr="002860DE" w:rsidTr="008B1335">
        <w:trPr>
          <w:trHeight w:val="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Whether adherence to medicine </w:t>
            </w:r>
            <w:r w:rsidRPr="002860DE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>(Non-adherence as reference)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2.413±1.522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2.313±1.526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2.487±1.237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E27" w:rsidRPr="002860DE" w:rsidRDefault="00BD4E2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2.171±1.221</w:t>
            </w:r>
          </w:p>
        </w:tc>
      </w:tr>
      <w:tr w:rsidR="008C210F" w:rsidRPr="002860DE" w:rsidTr="008B1335">
        <w:trPr>
          <w:trHeight w:val="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8C210F" w:rsidRPr="002860DE" w:rsidRDefault="008C210F" w:rsidP="00BD4E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Variance of the errors σ</w:t>
            </w:r>
            <w:r w:rsidRPr="002860DE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8C210F" w:rsidRPr="002860DE" w:rsidRDefault="00D103AB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95.438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6.176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8C210F" w:rsidRPr="002860DE" w:rsidRDefault="00D103AB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95.231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6.190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8C210F" w:rsidRPr="002860DE" w:rsidRDefault="00D103AB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61.744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4.010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8C210F" w:rsidRPr="002860DE" w:rsidRDefault="00A64907" w:rsidP="00BD4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62.420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±</w:t>
            </w:r>
            <w:r w:rsidRPr="002860DE">
              <w:rPr>
                <w:rFonts w:ascii="Times New Roman" w:eastAsia="Times New Roman" w:hAnsi="Times New Roman" w:cs="Times New Roman"/>
                <w:sz w:val="14"/>
                <w:szCs w:val="14"/>
              </w:rPr>
              <w:t>4.035</w:t>
            </w:r>
          </w:p>
        </w:tc>
      </w:tr>
    </w:tbl>
    <w:p w:rsidR="006F7EB5" w:rsidRPr="002860DE" w:rsidRDefault="006F7EB5" w:rsidP="006F7EB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860DE">
        <w:rPr>
          <w:rFonts w:ascii="Times New Roman" w:hAnsi="Times New Roman" w:cs="Times New Roman"/>
          <w:noProof/>
        </w:rPr>
        <w:drawing>
          <wp:inline distT="0" distB="0" distL="0" distR="0">
            <wp:extent cx="1973552" cy="1480782"/>
            <wp:effectExtent l="0" t="0" r="8255" b="5715"/>
            <wp:docPr id="1" name="Picture 1" descr="Diagnostic Plots for be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nostic Plots for beta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99" cy="15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F4F" w:rsidRPr="002860DE">
        <w:rPr>
          <w:rFonts w:ascii="Times New Roman" w:hAnsi="Times New Roman" w:cs="Times New Roman"/>
        </w:rPr>
        <w:t xml:space="preserve"> </w:t>
      </w:r>
      <w:r w:rsidR="00341F4F" w:rsidRPr="002860DE">
        <w:rPr>
          <w:rFonts w:ascii="Times New Roman" w:hAnsi="Times New Roman" w:cs="Times New Roman"/>
          <w:noProof/>
        </w:rPr>
        <w:drawing>
          <wp:inline distT="0" distB="0" distL="0" distR="0">
            <wp:extent cx="1985676" cy="1489877"/>
            <wp:effectExtent l="0" t="0" r="0" b="0"/>
            <wp:docPr id="6" name="Picture 6" descr="Diagnostic Plots for sig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nostic Plots for sigma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24" cy="151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4F" w:rsidRPr="002860DE" w:rsidRDefault="006F7EB5" w:rsidP="00341F4F">
      <w:pPr>
        <w:pStyle w:val="BodyText"/>
        <w:rPr>
          <w:rFonts w:ascii="Times New Roman" w:hAnsi="Times New Roman" w:cs="Times New Roman"/>
          <w:b/>
          <w:sz w:val="16"/>
          <w:szCs w:val="16"/>
        </w:rPr>
      </w:pPr>
      <w:r w:rsidRPr="002860DE">
        <w:rPr>
          <w:rFonts w:ascii="Times New Roman" w:hAnsi="Times New Roman" w:cs="Times New Roman"/>
          <w:b/>
          <w:sz w:val="16"/>
          <w:szCs w:val="16"/>
        </w:rPr>
        <w:t>Figure</w:t>
      </w:r>
      <w:r w:rsidR="00B138C3" w:rsidRPr="002860DE">
        <w:rPr>
          <w:rFonts w:ascii="Times New Roman" w:hAnsi="Times New Roman" w:cs="Times New Roman"/>
          <w:b/>
          <w:sz w:val="16"/>
          <w:szCs w:val="16"/>
        </w:rPr>
        <w:t xml:space="preserve"> 1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. </w:t>
      </w:r>
      <w:r w:rsidR="00291D39" w:rsidRPr="002860DE">
        <w:rPr>
          <w:rFonts w:ascii="Times New Roman" w:hAnsi="Times New Roman" w:cs="Times New Roman"/>
          <w:b/>
          <w:sz w:val="16"/>
          <w:szCs w:val="16"/>
        </w:rPr>
        <w:t>Lower</w:t>
      </w:r>
      <w:r w:rsidRPr="002860D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84734" w:rsidRPr="002860DE">
        <w:rPr>
          <w:rFonts w:ascii="Times New Roman" w:hAnsi="Times New Roman" w:cs="Times New Roman"/>
          <w:b/>
          <w:sz w:val="16"/>
          <w:szCs w:val="16"/>
        </w:rPr>
        <w:t>left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Pr="002860DE">
        <w:rPr>
          <w:rFonts w:ascii="Times New Roman" w:hAnsi="Times New Roman" w:cs="Times New Roman"/>
          <w:b/>
          <w:sz w:val="16"/>
          <w:szCs w:val="16"/>
        </w:rPr>
        <w:t>Trace plot, density plot, and autocorrelation plot</w:t>
      </w:r>
      <w:r w:rsidR="009234A4" w:rsidRPr="002860DE">
        <w:rPr>
          <w:rFonts w:ascii="Times New Roman" w:hAnsi="Times New Roman" w:cs="Times New Roman"/>
          <w:b/>
          <w:sz w:val="16"/>
          <w:szCs w:val="16"/>
        </w:rPr>
        <w:t xml:space="preserve"> of </w:t>
      </w:r>
      <w:r w:rsidR="009234A4" w:rsidRPr="002860DE">
        <w:rPr>
          <w:rFonts w:ascii="Times New Roman" w:hAnsi="Times New Roman" w:cs="Times New Roman"/>
          <w:b/>
          <w:sz w:val="16"/>
          <w:szCs w:val="16"/>
        </w:rPr>
        <w:t>BMI</w:t>
      </w:r>
      <w:r w:rsidR="009234A4" w:rsidRPr="002860DE">
        <w:rPr>
          <w:rFonts w:ascii="Times New Roman" w:hAnsi="Times New Roman" w:cs="Times New Roman"/>
          <w:b/>
          <w:sz w:val="16"/>
          <w:szCs w:val="16"/>
        </w:rPr>
        <w:t xml:space="preserve"> when modeling change in log</w:t>
      </w:r>
      <w:r w:rsidR="00A84734" w:rsidRPr="002860DE">
        <w:rPr>
          <w:rFonts w:ascii="Times New Roman" w:hAnsi="Times New Roman" w:cs="Times New Roman"/>
          <w:b/>
          <w:sz w:val="16"/>
          <w:szCs w:val="16"/>
        </w:rPr>
        <w:t>10</w:t>
      </w:r>
      <w:r w:rsidR="009234A4" w:rsidRPr="002860DE">
        <w:rPr>
          <w:rFonts w:ascii="Times New Roman" w:hAnsi="Times New Roman" w:cs="Times New Roman"/>
          <w:b/>
          <w:sz w:val="16"/>
          <w:szCs w:val="16"/>
        </w:rPr>
        <w:t xml:space="preserve"> of CD4 counts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. 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>Lower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>right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: Trace plot, density plot, and autocorrelation plot of 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>the variance of the errors σ</w:t>
      </w:r>
      <w:r w:rsidR="00341F4F" w:rsidRPr="002860DE">
        <w:rPr>
          <w:rFonts w:ascii="Times New Roman" w:hAnsi="Times New Roman" w:cs="Times New Roman"/>
          <w:b/>
          <w:sz w:val="16"/>
          <w:szCs w:val="16"/>
          <w:vertAlign w:val="superscript"/>
        </w:rPr>
        <w:t>2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41F4F" w:rsidRPr="002860DE">
        <w:rPr>
          <w:rFonts w:ascii="Times New Roman" w:hAnsi="Times New Roman" w:cs="Times New Roman"/>
          <w:b/>
          <w:sz w:val="16"/>
          <w:szCs w:val="16"/>
        </w:rPr>
        <w:t>when modeling change in log10 of CD4 counts</w:t>
      </w:r>
    </w:p>
    <w:p w:rsidR="00113C87" w:rsidRPr="002860DE" w:rsidRDefault="00113C87" w:rsidP="00113C8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860D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  <w:lastRenderedPageBreak/>
        <w:t>Conclusions: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In the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population from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Multicenter AIDS Cohort Study, </w:t>
      </w:r>
      <w:r w:rsidR="002860D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sing h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ard</w:t>
      </w:r>
      <w:r w:rsidR="002860D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drug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at baseline decrease</w:t>
      </w:r>
      <w:r w:rsidR="00753C1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change in log10 CD4 cell </w:t>
      </w:r>
      <w:r w:rsidR="002860D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 two years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comparing to those who did not use hard drug at baseline.</w:t>
      </w:r>
      <w:r w:rsidRPr="002860DE">
        <w:rPr>
          <w:rFonts w:ascii="Times New Roman" w:eastAsia="Times New Roman" w:hAnsi="Times New Roman" w:cs="Times New Roman"/>
          <w:bCs/>
          <w:color w:val="AEAAAA" w:themeColor="background2" w:themeShade="BF"/>
          <w:sz w:val="24"/>
          <w:szCs w:val="24"/>
          <w:lang w:eastAsia="zh-CN"/>
        </w:rPr>
        <w:t xml:space="preserve"> </w:t>
      </w:r>
      <w:r w:rsidR="00753C1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Using hard drug use at baseline decreases change in </w:t>
      </w:r>
      <w:r w:rsidR="00753C1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physical scores </w:t>
      </w:r>
      <w:r w:rsidR="002860DE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 2 years</w:t>
      </w:r>
      <w:r w:rsidR="00753C14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comparing to those who did not use hard drug at baseline.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T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here were many improvements that could be made in future. First, we did not know the missing reason for those participants who did not show up at 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two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-year visit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r w:rsidR="00163F9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so as to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those with missing BMI and outcomes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If 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those data missed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because </w:t>
      </w:r>
      <w:r w:rsidR="00040C7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of hard drug use</w:t>
      </w:r>
      <w:r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the analysis will not be validated because missing not at random happened. </w:t>
      </w:r>
      <w:r w:rsidR="0058279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Second, 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in Bayesian method, </w:t>
      </w:r>
      <w:r w:rsidR="008A01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although the 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trace plots indicated </w:t>
      </w:r>
      <w:r w:rsidR="00163F92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convergence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,</w:t>
      </w:r>
      <w:r w:rsidR="008A013A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58279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the autocorrelations through 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time</w:t>
      </w:r>
      <w:r w:rsidR="0058279B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(result was not shown) were relatively high (around 20-50)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We tried thinning a Markov chain (k=2</w:t>
      </w:r>
      <w:proofErr w:type="gramStart"/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,3</w:t>
      </w:r>
      <w:proofErr w:type="gramEnd"/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) </w:t>
      </w:r>
      <w:r w:rsidR="004D131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and tried to center age and BMI</w:t>
      </w:r>
      <w:r w:rsidR="004D131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(result was not shown)</w:t>
      </w:r>
      <w:r w:rsidR="004D1316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r w:rsidR="00AC322D" w:rsidRPr="002860D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but there result was not improved. However, autocorrelation does not lead to biased estimates, our results were still valid.</w:t>
      </w:r>
    </w:p>
    <w:p w:rsidR="002860DE" w:rsidRPr="002860DE" w:rsidRDefault="002860DE" w:rsidP="002860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2860DE" w:rsidRPr="002860DE" w:rsidRDefault="002860DE" w:rsidP="002860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A11E77" w:rsidRPr="00FE7AEA" w:rsidRDefault="00A11E77" w:rsidP="002860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</w:pPr>
      <w:r w:rsidRPr="00FE7AE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  <w:t>Reproducible research information</w:t>
      </w:r>
    </w:p>
    <w:p w:rsidR="002860DE" w:rsidRPr="002860DE" w:rsidRDefault="002860DE" w:rsidP="002860DE">
      <w:pPr>
        <w:rPr>
          <w:rFonts w:ascii="Times New Roman" w:hAnsi="Times New Roman" w:cs="Times New Roman"/>
          <w:color w:val="2D3B45"/>
        </w:rPr>
      </w:pPr>
      <w:r w:rsidRPr="002860DE">
        <w:rPr>
          <w:rFonts w:ascii="Times New Roman" w:hAnsi="Times New Roman" w:cs="Times New Roman"/>
          <w:color w:val="2D3B45"/>
        </w:rPr>
        <w:t>Link to Code</w:t>
      </w:r>
    </w:p>
    <w:p w:rsidR="002860DE" w:rsidRPr="002860DE" w:rsidRDefault="002860DE" w:rsidP="002860DE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color w:val="2D3B45"/>
          <w:u w:val="single"/>
        </w:rPr>
      </w:pPr>
      <w:r w:rsidRPr="008B1335">
        <w:rPr>
          <w:rStyle w:val="Hyperlink"/>
          <w:rFonts w:ascii="Times New Roman" w:hAnsi="Times New Roman" w:cs="Times New Roman"/>
          <w:b/>
        </w:rPr>
        <w:t>https://github.com/BIOS6624-UCD/bios6624-zhwr7125/tree/master/Project0</w:t>
      </w:r>
      <w:r w:rsidR="008B1335" w:rsidRPr="008B1335">
        <w:rPr>
          <w:rStyle w:val="Hyperlink"/>
        </w:rPr>
        <w:t>1</w:t>
      </w:r>
    </w:p>
    <w:p w:rsidR="002860DE" w:rsidRPr="002860DE" w:rsidRDefault="002860DE" w:rsidP="002860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bookmarkStart w:id="0" w:name="_GoBack"/>
      <w:bookmarkEnd w:id="0"/>
    </w:p>
    <w:sectPr w:rsidR="002860DE" w:rsidRPr="0028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B3B5F"/>
    <w:multiLevelType w:val="multilevel"/>
    <w:tmpl w:val="CA1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17"/>
    <w:rsid w:val="00022F60"/>
    <w:rsid w:val="00037102"/>
    <w:rsid w:val="00040C72"/>
    <w:rsid w:val="00055DF3"/>
    <w:rsid w:val="00077646"/>
    <w:rsid w:val="000A40C9"/>
    <w:rsid w:val="000B6158"/>
    <w:rsid w:val="000C0908"/>
    <w:rsid w:val="00113C87"/>
    <w:rsid w:val="001158D3"/>
    <w:rsid w:val="001179C6"/>
    <w:rsid w:val="00153F94"/>
    <w:rsid w:val="00163F92"/>
    <w:rsid w:val="001B47AB"/>
    <w:rsid w:val="001E653A"/>
    <w:rsid w:val="001F5882"/>
    <w:rsid w:val="00277E57"/>
    <w:rsid w:val="002860DE"/>
    <w:rsid w:val="00291D39"/>
    <w:rsid w:val="00295131"/>
    <w:rsid w:val="002A30FA"/>
    <w:rsid w:val="0033527C"/>
    <w:rsid w:val="00341F4F"/>
    <w:rsid w:val="003675A3"/>
    <w:rsid w:val="003C7788"/>
    <w:rsid w:val="003F0092"/>
    <w:rsid w:val="0045440A"/>
    <w:rsid w:val="004651E3"/>
    <w:rsid w:val="0048594E"/>
    <w:rsid w:val="004B76B2"/>
    <w:rsid w:val="004D1316"/>
    <w:rsid w:val="004E027A"/>
    <w:rsid w:val="004F06E1"/>
    <w:rsid w:val="00500C71"/>
    <w:rsid w:val="005030FE"/>
    <w:rsid w:val="00570530"/>
    <w:rsid w:val="0058279B"/>
    <w:rsid w:val="005A592C"/>
    <w:rsid w:val="005C7B10"/>
    <w:rsid w:val="005E0224"/>
    <w:rsid w:val="005F2017"/>
    <w:rsid w:val="00616288"/>
    <w:rsid w:val="006216CF"/>
    <w:rsid w:val="0063157C"/>
    <w:rsid w:val="0063733A"/>
    <w:rsid w:val="00651282"/>
    <w:rsid w:val="006D76DD"/>
    <w:rsid w:val="006F6C0F"/>
    <w:rsid w:val="006F7EB5"/>
    <w:rsid w:val="00722994"/>
    <w:rsid w:val="00743A45"/>
    <w:rsid w:val="00753C14"/>
    <w:rsid w:val="00780F5D"/>
    <w:rsid w:val="008134BB"/>
    <w:rsid w:val="008511E7"/>
    <w:rsid w:val="008666B6"/>
    <w:rsid w:val="008A013A"/>
    <w:rsid w:val="008B1335"/>
    <w:rsid w:val="008C210F"/>
    <w:rsid w:val="008F57B8"/>
    <w:rsid w:val="00917936"/>
    <w:rsid w:val="009234A4"/>
    <w:rsid w:val="00944802"/>
    <w:rsid w:val="0094673F"/>
    <w:rsid w:val="009B1B60"/>
    <w:rsid w:val="009C25A8"/>
    <w:rsid w:val="00A11E77"/>
    <w:rsid w:val="00A64907"/>
    <w:rsid w:val="00A84734"/>
    <w:rsid w:val="00A85CD4"/>
    <w:rsid w:val="00A86D9E"/>
    <w:rsid w:val="00AC322D"/>
    <w:rsid w:val="00B138C3"/>
    <w:rsid w:val="00B20AD7"/>
    <w:rsid w:val="00B661B6"/>
    <w:rsid w:val="00BD4E27"/>
    <w:rsid w:val="00C20845"/>
    <w:rsid w:val="00C71FF2"/>
    <w:rsid w:val="00C879CC"/>
    <w:rsid w:val="00CC0014"/>
    <w:rsid w:val="00D010DD"/>
    <w:rsid w:val="00D103AB"/>
    <w:rsid w:val="00D23360"/>
    <w:rsid w:val="00D327F1"/>
    <w:rsid w:val="00D64982"/>
    <w:rsid w:val="00D65458"/>
    <w:rsid w:val="00D758D6"/>
    <w:rsid w:val="00D93A62"/>
    <w:rsid w:val="00DA7151"/>
    <w:rsid w:val="00E16F91"/>
    <w:rsid w:val="00E5136F"/>
    <w:rsid w:val="00E93B8C"/>
    <w:rsid w:val="00EC7FA4"/>
    <w:rsid w:val="00EF4867"/>
    <w:rsid w:val="00F302CB"/>
    <w:rsid w:val="00F426C8"/>
    <w:rsid w:val="00F74FAD"/>
    <w:rsid w:val="00F77615"/>
    <w:rsid w:val="00FD7CDA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8B1B4-7FBE-4170-B5E7-FFA0CA0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E77"/>
    <w:rPr>
      <w:b/>
      <w:bCs/>
    </w:rPr>
  </w:style>
  <w:style w:type="paragraph" w:styleId="NoSpacing">
    <w:name w:val="No Spacing"/>
    <w:uiPriority w:val="1"/>
    <w:qFormat/>
    <w:rsid w:val="00722994"/>
    <w:pPr>
      <w:spacing w:after="0" w:line="240" w:lineRule="auto"/>
    </w:pPr>
  </w:style>
  <w:style w:type="paragraph" w:styleId="BodyText">
    <w:name w:val="Body Text"/>
    <w:basedOn w:val="Normal"/>
    <w:link w:val="BodyTextChar"/>
    <w:qFormat/>
    <w:rsid w:val="008511E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511E7"/>
    <w:rPr>
      <w:sz w:val="24"/>
      <w:szCs w:val="24"/>
    </w:rPr>
  </w:style>
  <w:style w:type="paragraph" w:customStyle="1" w:styleId="Compact">
    <w:name w:val="Compact"/>
    <w:basedOn w:val="BodyText"/>
    <w:qFormat/>
    <w:rsid w:val="008511E7"/>
    <w:pPr>
      <w:spacing w:before="36" w:after="36"/>
    </w:pPr>
  </w:style>
  <w:style w:type="character" w:styleId="Hyperlink">
    <w:name w:val="Hyperlink"/>
    <w:basedOn w:val="DefaultParagraphFont"/>
    <w:uiPriority w:val="99"/>
    <w:unhideWhenUsed/>
    <w:rsid w:val="00286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6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56</cp:revision>
  <cp:lastPrinted>2018-10-08T15:41:00Z</cp:lastPrinted>
  <dcterms:created xsi:type="dcterms:W3CDTF">2018-10-04T21:00:00Z</dcterms:created>
  <dcterms:modified xsi:type="dcterms:W3CDTF">2018-10-08T18:44:00Z</dcterms:modified>
</cp:coreProperties>
</file>