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A5" w:rsidRDefault="005950A5" w:rsidP="005950A5">
      <w:pPr>
        <w:spacing w:before="180" w:after="180" w:line="480" w:lineRule="auto"/>
        <w:jc w:val="center"/>
        <w:rPr>
          <w:rFonts w:ascii="Arial" w:eastAsia="Times New Roman" w:hAnsi="Arial" w:cs="Arial"/>
          <w:b/>
          <w:sz w:val="24"/>
          <w:szCs w:val="24"/>
          <w:u w:val="single"/>
          <w:lang w:eastAsia="zh-CN"/>
        </w:rPr>
      </w:pPr>
      <w:r w:rsidRPr="00825B7B">
        <w:rPr>
          <w:rFonts w:ascii="Arial" w:eastAsia="Times New Roman" w:hAnsi="Arial" w:cs="Arial"/>
          <w:b/>
          <w:sz w:val="24"/>
          <w:szCs w:val="24"/>
          <w:u w:val="single"/>
          <w:lang w:eastAsia="zh-CN"/>
        </w:rPr>
        <w:t>Investigation on the heart surgeries Mortality Rate on last six months of 1982</w:t>
      </w:r>
    </w:p>
    <w:p w:rsidR="00B741A5" w:rsidRDefault="00B741A5" w:rsidP="005950A5">
      <w:pPr>
        <w:spacing w:before="180" w:after="180" w:line="480" w:lineRule="auto"/>
        <w:jc w:val="center"/>
        <w:rPr>
          <w:rFonts w:ascii="Arial" w:eastAsia="Times New Roman" w:hAnsi="Arial" w:cs="Arial"/>
          <w:b/>
          <w:sz w:val="24"/>
          <w:szCs w:val="24"/>
          <w:lang w:eastAsia="zh-CN"/>
        </w:rPr>
      </w:pPr>
      <w:r w:rsidRPr="00B741A5">
        <w:rPr>
          <w:rFonts w:ascii="Arial" w:eastAsia="Times New Roman" w:hAnsi="Arial" w:cs="Arial"/>
          <w:b/>
          <w:sz w:val="24"/>
          <w:szCs w:val="24"/>
          <w:lang w:eastAsia="zh-CN"/>
        </w:rPr>
        <w:t>Wenru Zhou</w:t>
      </w:r>
    </w:p>
    <w:p w:rsidR="00BB448B" w:rsidRPr="00B741A5" w:rsidRDefault="00BB448B" w:rsidP="005950A5">
      <w:pPr>
        <w:spacing w:before="180" w:after="180" w:line="480" w:lineRule="auto"/>
        <w:jc w:val="center"/>
        <w:rPr>
          <w:rFonts w:ascii="Arial" w:eastAsia="Times New Roman" w:hAnsi="Arial" w:cs="Arial"/>
          <w:b/>
          <w:sz w:val="24"/>
          <w:szCs w:val="24"/>
          <w:lang w:eastAsia="zh-CN"/>
        </w:rPr>
      </w:pPr>
      <w:r>
        <w:rPr>
          <w:rFonts w:ascii="Arial" w:eastAsia="Times New Roman" w:hAnsi="Arial" w:cs="Arial"/>
          <w:b/>
          <w:sz w:val="24"/>
          <w:szCs w:val="24"/>
          <w:lang w:eastAsia="zh-CN"/>
        </w:rPr>
        <w:t>11/26/2018</w:t>
      </w:r>
    </w:p>
    <w:p w:rsidR="005950A5" w:rsidRPr="00825B7B" w:rsidRDefault="005950A5" w:rsidP="005950A5">
      <w:pPr>
        <w:shd w:val="clear" w:color="auto" w:fill="FFFFFF"/>
        <w:spacing w:before="100" w:beforeAutospacing="1" w:after="100" w:afterAutospacing="1" w:line="480" w:lineRule="auto"/>
        <w:rPr>
          <w:rFonts w:ascii="Arial" w:hAnsi="Arial" w:cs="Arial"/>
          <w:b/>
          <w:sz w:val="24"/>
          <w:szCs w:val="24"/>
          <w:u w:val="single"/>
        </w:rPr>
      </w:pPr>
      <w:r w:rsidRPr="005950A5">
        <w:rPr>
          <w:rFonts w:ascii="Arial" w:hAnsi="Arial" w:cs="Arial"/>
          <w:b/>
          <w:sz w:val="24"/>
          <w:szCs w:val="24"/>
          <w:u w:val="single"/>
        </w:rPr>
        <w:t xml:space="preserve">Introduction: </w:t>
      </w:r>
    </w:p>
    <w:p w:rsidR="00465020" w:rsidRDefault="00465020" w:rsidP="005950A5">
      <w:pPr>
        <w:shd w:val="clear" w:color="auto" w:fill="FFFFFF"/>
        <w:spacing w:before="100" w:beforeAutospacing="1" w:after="100" w:afterAutospacing="1" w:line="480" w:lineRule="auto"/>
        <w:rPr>
          <w:rFonts w:ascii="Arial" w:hAnsi="Arial" w:cs="Arial"/>
          <w:sz w:val="24"/>
          <w:szCs w:val="24"/>
        </w:rPr>
      </w:pPr>
      <w:r w:rsidRPr="00465020">
        <w:rPr>
          <w:rFonts w:ascii="Arial" w:hAnsi="Arial" w:cs="Arial"/>
          <w:sz w:val="24"/>
          <w:szCs w:val="24"/>
        </w:rPr>
        <w:t>Scientists wan</w:t>
      </w:r>
      <w:r w:rsidR="00091E08">
        <w:rPr>
          <w:rFonts w:ascii="Arial" w:hAnsi="Arial" w:cs="Arial"/>
          <w:sz w:val="24"/>
          <w:szCs w:val="24"/>
        </w:rPr>
        <w:t>t to know whether the death rate</w:t>
      </w:r>
      <w:r w:rsidRPr="00465020">
        <w:rPr>
          <w:rFonts w:ascii="Arial" w:hAnsi="Arial" w:cs="Arial"/>
          <w:sz w:val="24"/>
          <w:szCs w:val="24"/>
        </w:rPr>
        <w:t xml:space="preserve"> in VA hospitals in the last six months in 1982 is too high or too low compared to a hospital-level risk-adjusted estimate of death r</w:t>
      </w:r>
      <w:r w:rsidR="007F7216">
        <w:rPr>
          <w:rFonts w:ascii="Arial" w:hAnsi="Arial" w:cs="Arial"/>
          <w:sz w:val="24"/>
          <w:szCs w:val="24"/>
        </w:rPr>
        <w:t>ate</w:t>
      </w:r>
      <w:r w:rsidRPr="00465020">
        <w:rPr>
          <w:rFonts w:ascii="Arial" w:hAnsi="Arial" w:cs="Arial"/>
          <w:sz w:val="24"/>
          <w:szCs w:val="24"/>
        </w:rPr>
        <w:t>. 44 VA hospitals are in this study. To calculate the estimated death rate based on historical data, data is available from 1980 to 1982 on the six-month unit, which is numbered 34-39. Our aim is to use period 34-38 to estimate death rate in period 39 and then compared with observed death rate in period 39. There are 26,491 records from 44 hospitals and 2 years in this dataset. The data included hospital number(1-44), six month period (34-39), 30 day mortality (dummy variable, 0 is alive and 1 is dead), height (inches), weight (lbs), BMI (kg/cm^2), procedure (dummy variable, 0 = valve surgery, 1 = CABG surgery). Patient’s condition at start of surgery (1 = good health, 5 = near death), and albumin (The normal range is 3.4 - 5.4 grams per deciliter (g/</w:t>
      </w:r>
      <w:proofErr w:type="spellStart"/>
      <w:r w:rsidRPr="00465020">
        <w:rPr>
          <w:rFonts w:ascii="Arial" w:hAnsi="Arial" w:cs="Arial"/>
          <w:sz w:val="24"/>
          <w:szCs w:val="24"/>
        </w:rPr>
        <w:t>dL</w:t>
      </w:r>
      <w:proofErr w:type="spellEnd"/>
      <w:r w:rsidRPr="00465020">
        <w:rPr>
          <w:rFonts w:ascii="Arial" w:hAnsi="Arial" w:cs="Arial"/>
          <w:sz w:val="24"/>
          <w:szCs w:val="24"/>
        </w:rPr>
        <w:t>))</w:t>
      </w:r>
    </w:p>
    <w:p w:rsidR="00E1415D" w:rsidRPr="00825B7B" w:rsidRDefault="005950A5" w:rsidP="005950A5">
      <w:pPr>
        <w:shd w:val="clear" w:color="auto" w:fill="FFFFFF"/>
        <w:spacing w:before="100" w:beforeAutospacing="1" w:after="100" w:afterAutospacing="1" w:line="480" w:lineRule="auto"/>
        <w:rPr>
          <w:rFonts w:ascii="Arial" w:eastAsia="Times New Roman" w:hAnsi="Arial" w:cs="Arial"/>
          <w:b/>
          <w:sz w:val="24"/>
          <w:szCs w:val="24"/>
        </w:rPr>
      </w:pPr>
      <w:r w:rsidRPr="005950A5">
        <w:rPr>
          <w:rFonts w:ascii="Arial" w:hAnsi="Arial" w:cs="Arial"/>
          <w:b/>
          <w:sz w:val="24"/>
          <w:szCs w:val="24"/>
          <w:u w:val="single"/>
        </w:rPr>
        <w:t>Methods:</w:t>
      </w:r>
      <w:r w:rsidRPr="005950A5">
        <w:rPr>
          <w:rFonts w:ascii="Arial" w:eastAsia="Times New Roman" w:hAnsi="Arial" w:cs="Arial"/>
          <w:b/>
          <w:sz w:val="24"/>
          <w:szCs w:val="24"/>
        </w:rPr>
        <w:t xml:space="preserve"> </w:t>
      </w:r>
    </w:p>
    <w:p w:rsidR="00465020" w:rsidRDefault="00465020" w:rsidP="006B77AA">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Data clean: Among 9 variables, procedure, patient’s condition, height, weight, BMI and albumin had missing values. We defined the missing status of each variable as dummy variables, then checked their association with other missing status and other variables using chi-</w:t>
      </w:r>
      <w:proofErr w:type="spellStart"/>
      <w:r w:rsidRPr="00465020">
        <w:rPr>
          <w:rFonts w:ascii="Arial" w:hAnsi="Arial" w:cs="Arial"/>
          <w:bCs/>
          <w:sz w:val="24"/>
          <w:szCs w:val="24"/>
        </w:rPr>
        <w:t>sq</w:t>
      </w:r>
      <w:proofErr w:type="spellEnd"/>
      <w:r w:rsidRPr="00465020">
        <w:rPr>
          <w:rFonts w:ascii="Arial" w:hAnsi="Arial" w:cs="Arial"/>
          <w:bCs/>
          <w:sz w:val="24"/>
          <w:szCs w:val="24"/>
        </w:rPr>
        <w:t xml:space="preserve"> test, logistic regression, t-test or Welch-</w:t>
      </w:r>
      <w:proofErr w:type="spellStart"/>
      <w:r w:rsidRPr="00465020">
        <w:rPr>
          <w:rFonts w:ascii="Arial" w:hAnsi="Arial" w:cs="Arial"/>
          <w:bCs/>
          <w:sz w:val="24"/>
          <w:szCs w:val="24"/>
        </w:rPr>
        <w:t>Satterthwaite</w:t>
      </w:r>
      <w:proofErr w:type="spellEnd"/>
      <w:r w:rsidRPr="00465020">
        <w:rPr>
          <w:rFonts w:ascii="Arial" w:hAnsi="Arial" w:cs="Arial"/>
          <w:bCs/>
          <w:sz w:val="24"/>
          <w:szCs w:val="24"/>
        </w:rPr>
        <w:t xml:space="preserve"> T-Test. Because this </w:t>
      </w:r>
      <w:r w:rsidRPr="00465020">
        <w:rPr>
          <w:rFonts w:ascii="Arial" w:hAnsi="Arial" w:cs="Arial"/>
          <w:bCs/>
          <w:sz w:val="24"/>
          <w:szCs w:val="24"/>
        </w:rPr>
        <w:lastRenderedPageBreak/>
        <w:t>is not a longitudinal data (subjects were not followed up), we did not check the lag of variables and the missing status of variables. Significant level was 0.05. Because height, weight, and BMI are highly correlated, we only included BMI in our model.</w:t>
      </w:r>
    </w:p>
    <w:p w:rsidR="00465020" w:rsidRDefault="00465020" w:rsidP="00972330">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Procedure: We excluded two observations with procedure=2, because we were only interested in valve surgery (</w:t>
      </w:r>
      <w:proofErr w:type="spellStart"/>
      <w:r w:rsidRPr="00465020">
        <w:rPr>
          <w:rFonts w:ascii="Arial" w:hAnsi="Arial" w:cs="Arial"/>
          <w:bCs/>
          <w:sz w:val="24"/>
          <w:szCs w:val="24"/>
        </w:rPr>
        <w:t>proced</w:t>
      </w:r>
      <w:proofErr w:type="spellEnd"/>
      <w:r w:rsidRPr="00465020">
        <w:rPr>
          <w:rFonts w:ascii="Arial" w:hAnsi="Arial" w:cs="Arial"/>
          <w:bCs/>
          <w:sz w:val="24"/>
          <w:szCs w:val="24"/>
        </w:rPr>
        <w:t>=0) and CABG surgery</w:t>
      </w:r>
      <w:r w:rsidR="00DA5D6B">
        <w:rPr>
          <w:rFonts w:ascii="Arial" w:hAnsi="Arial" w:cs="Arial"/>
          <w:bCs/>
          <w:sz w:val="24"/>
          <w:szCs w:val="24"/>
        </w:rPr>
        <w:t xml:space="preserve"> </w:t>
      </w:r>
      <w:r w:rsidRPr="00465020">
        <w:rPr>
          <w:rFonts w:ascii="Arial" w:hAnsi="Arial" w:cs="Arial"/>
          <w:bCs/>
          <w:sz w:val="24"/>
          <w:szCs w:val="24"/>
        </w:rPr>
        <w:t>(</w:t>
      </w:r>
      <w:proofErr w:type="spellStart"/>
      <w:r w:rsidRPr="00465020">
        <w:rPr>
          <w:rFonts w:ascii="Arial" w:hAnsi="Arial" w:cs="Arial"/>
          <w:bCs/>
          <w:sz w:val="24"/>
          <w:szCs w:val="24"/>
        </w:rPr>
        <w:t>proced</w:t>
      </w:r>
      <w:proofErr w:type="spellEnd"/>
      <w:r w:rsidRPr="00465020">
        <w:rPr>
          <w:rFonts w:ascii="Arial" w:hAnsi="Arial" w:cs="Arial"/>
          <w:bCs/>
          <w:sz w:val="24"/>
          <w:szCs w:val="24"/>
        </w:rPr>
        <w:t>=1). In addition, a patient who died in 30 days was likely with the missing procedure (OR=1.705, 95%CI: 1.125 2.586). A patient with missing BMI was less likely with the missing procedure (OR= 0.361, 95% CI: 0.149, 0.873)</w:t>
      </w:r>
      <w:bookmarkStart w:id="0" w:name="_GoBack"/>
      <w:bookmarkEnd w:id="0"/>
    </w:p>
    <w:p w:rsidR="00465020" w:rsidRDefault="00465020" w:rsidP="00972330">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BMI: After checking with the investigator, we found that the unit of weight for hospital 1-16 at period 39 should be kg, not pounds. Three outliers were corrected with new BMI calculated by weight and height. In addition, hospital 30 at period 39 had all weight, height, and BMI missing. A person who died in 30 days showed more missing BMI (OR= 2.377, 95%CI: 1.711 3.302)</w:t>
      </w:r>
    </w:p>
    <w:p w:rsidR="00465020" w:rsidRDefault="00465020" w:rsidP="00FB2128">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Patient’s condition: hospital17, 34 and 39 has higher missing in patient’s condition compared to other hospitals (hospital 17 OR=2.415, 95%CI: 1.211, 4.816; hospital 34 OR=2.203, 95%CI: 1.110, 4.374; hospital 39 OR=2.138, 95%: CI1.073, 4.261). A patient with the non-missing procedure is more likely to have missing patient’s condition (OR=0.214, 95%CI: 0.069, 0.667). A patient who died in 30 days was more likely to have missing patient’s condition (OR=1.537, 95%CI: 1.038 2.275). A patient with BMI missing was less likely to have missing patient’s condition (OR=0.288, 95%CI: 0.119 0.696). A patient with missing Patient’s condition tended to have larger BMI (difference of means= 0.5379, p&lt;0.01) and less albumin (difference of means= 0.1847, p=0.014).</w:t>
      </w:r>
    </w:p>
    <w:p w:rsidR="00C1089A" w:rsidRDefault="00C1089A" w:rsidP="00972330">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lastRenderedPageBreak/>
        <w:t>Therefore, the missing status of the patient’s condition, procedure and BMI were related to outcome 30-day mortality. The patterns were MAR. When we used complete case of data, though observations with missing covariates will be deleted, the bias would not be a problem because the number of missing was low (2~2.5%, see table 0 in the appendix). The association between the missing statuses of covariates would also not cause bias because we were not modeling covariates.</w:t>
      </w:r>
    </w:p>
    <w:p w:rsidR="00C1089A" w:rsidRPr="00C1089A" w:rsidRDefault="00C1089A" w:rsidP="00C1089A">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t>Albumin had around 50% missing values. The sample size would be reduced by 50% if we use it as a covariate. The missing pattern of albumin was MCAR because the missing of albumin did not relate to any other variables.</w:t>
      </w:r>
    </w:p>
    <w:p w:rsidR="00C1089A" w:rsidRDefault="00C1089A" w:rsidP="00C1089A">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t>Observed rate: observed death rate is calculated by dividing aggregated total death by aggregated total observations and for each hospital in period 39. The standard error of death rate was calculated by binomial variance formula. We kept all the observations with missing patient’s condition, procedures, and BMI.</w:t>
      </w:r>
    </w:p>
    <w:p w:rsidR="005910C9" w:rsidRDefault="005910C9" w:rsidP="005950A5">
      <w:pPr>
        <w:shd w:val="clear" w:color="auto" w:fill="FFFFFF"/>
        <w:spacing w:before="100" w:beforeAutospacing="1" w:after="100" w:afterAutospacing="1" w:line="480" w:lineRule="auto"/>
        <w:rPr>
          <w:rFonts w:ascii="Arial" w:hAnsi="Arial" w:cs="Arial"/>
          <w:bCs/>
          <w:sz w:val="24"/>
          <w:szCs w:val="24"/>
        </w:rPr>
      </w:pPr>
      <w:r w:rsidRPr="005910C9">
        <w:rPr>
          <w:rFonts w:ascii="Arial" w:hAnsi="Arial" w:cs="Arial"/>
          <w:bCs/>
          <w:sz w:val="24"/>
          <w:szCs w:val="24"/>
        </w:rPr>
        <w:t>Expected rate: We fitted logistic regression to calculate the expected death rate. The outcome was 30-day mortality, and predictors were procedure, patients’ condition, and BMI. Observations with missing covariates were excluded. We did not use albumin because of 50% missing values. We combined level 1 and 2 in patient’s condition because of small sample size. The association between each variable and outcome were checked with chi-</w:t>
      </w:r>
      <w:proofErr w:type="spellStart"/>
      <w:r w:rsidRPr="005910C9">
        <w:rPr>
          <w:rFonts w:ascii="Arial" w:hAnsi="Arial" w:cs="Arial"/>
          <w:bCs/>
          <w:sz w:val="24"/>
          <w:szCs w:val="24"/>
        </w:rPr>
        <w:t>sq</w:t>
      </w:r>
      <w:proofErr w:type="spellEnd"/>
      <w:r w:rsidRPr="005910C9">
        <w:rPr>
          <w:rFonts w:ascii="Arial" w:hAnsi="Arial" w:cs="Arial"/>
          <w:bCs/>
          <w:sz w:val="24"/>
          <w:szCs w:val="24"/>
        </w:rPr>
        <w:t xml:space="preserve"> test, Fisher test, t-test, or Welch-</w:t>
      </w:r>
      <w:proofErr w:type="spellStart"/>
      <w:r w:rsidRPr="005910C9">
        <w:rPr>
          <w:rFonts w:ascii="Arial" w:hAnsi="Arial" w:cs="Arial"/>
          <w:bCs/>
          <w:sz w:val="24"/>
          <w:szCs w:val="24"/>
        </w:rPr>
        <w:t>Satterthwaite</w:t>
      </w:r>
      <w:proofErr w:type="spellEnd"/>
      <w:r w:rsidRPr="005910C9">
        <w:rPr>
          <w:rFonts w:ascii="Arial" w:hAnsi="Arial" w:cs="Arial"/>
          <w:bCs/>
          <w:sz w:val="24"/>
          <w:szCs w:val="24"/>
        </w:rPr>
        <w:t xml:space="preserve"> T-Test. The bootstrap method was used to create 1000 data stratified by hospital. Significant level was 0.05. </w:t>
      </w:r>
    </w:p>
    <w:p w:rsidR="00455C1B" w:rsidRDefault="00653278" w:rsidP="005950A5">
      <w:pPr>
        <w:shd w:val="clear" w:color="auto" w:fill="FFFFFF"/>
        <w:spacing w:before="100" w:beforeAutospacing="1" w:after="100" w:afterAutospacing="1" w:line="480" w:lineRule="auto"/>
        <w:rPr>
          <w:rFonts w:ascii="Arial" w:hAnsi="Arial" w:cs="Arial"/>
          <w:b/>
          <w:sz w:val="24"/>
          <w:szCs w:val="24"/>
          <w:u w:val="single"/>
        </w:rPr>
      </w:pPr>
      <w:r w:rsidRPr="00455C1B">
        <w:rPr>
          <w:rFonts w:ascii="Arial" w:hAnsi="Arial" w:cs="Arial"/>
          <w:b/>
          <w:sz w:val="24"/>
          <w:szCs w:val="24"/>
          <w:u w:val="single"/>
        </w:rPr>
        <w:lastRenderedPageBreak/>
        <w:t>Result</w:t>
      </w:r>
      <w:r w:rsidR="007432A3">
        <w:rPr>
          <w:rFonts w:ascii="Arial" w:hAnsi="Arial" w:cs="Arial"/>
          <w:b/>
          <w:sz w:val="24"/>
          <w:szCs w:val="24"/>
          <w:u w:val="single"/>
        </w:rPr>
        <w:t>:</w:t>
      </w:r>
    </w:p>
    <w:p w:rsidR="005910C9" w:rsidRDefault="005910C9" w:rsidP="00455C1B">
      <w:pPr>
        <w:shd w:val="clear" w:color="auto" w:fill="FFFFFF"/>
        <w:spacing w:before="100" w:beforeAutospacing="1" w:after="100" w:afterAutospacing="1" w:line="240" w:lineRule="auto"/>
        <w:jc w:val="center"/>
        <w:rPr>
          <w:rFonts w:ascii="Arial" w:hAnsi="Arial" w:cs="Arial"/>
          <w:sz w:val="24"/>
          <w:szCs w:val="24"/>
        </w:rPr>
      </w:pPr>
      <w:r w:rsidRPr="005910C9">
        <w:rPr>
          <w:rFonts w:ascii="Arial" w:hAnsi="Arial" w:cs="Arial"/>
          <w:sz w:val="24"/>
          <w:szCs w:val="24"/>
        </w:rPr>
        <w:t>Characteristics of each variable are shown in Table 1 separately for period 34-38 and 39. From table 1, we can see that the distribution of each variable did not change much. Although we have more significant associations for covariates with outcome in period 34-38, this might due to small sample size in period 39.</w:t>
      </w:r>
    </w:p>
    <w:p w:rsidR="00455C1B" w:rsidRDefault="00455C1B" w:rsidP="00455C1B">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Pr>
          <w:rFonts w:ascii="Arial" w:hAnsi="Arial" w:cs="Arial"/>
          <w:sz w:val="24"/>
          <w:szCs w:val="24"/>
        </w:rPr>
        <w:t xml:space="preserve"> 1. Characteristics</w:t>
      </w:r>
      <w:r w:rsidR="0015468A" w:rsidRPr="0015468A">
        <w:rPr>
          <w:rFonts w:ascii="Arial" w:hAnsi="Arial" w:cs="Arial"/>
          <w:sz w:val="20"/>
          <w:szCs w:val="20"/>
          <w:vertAlign w:val="superscript"/>
        </w:rPr>
        <w:t>$</w:t>
      </w:r>
    </w:p>
    <w:tbl>
      <w:tblPr>
        <w:tblW w:w="11070" w:type="dxa"/>
        <w:jc w:val="center"/>
        <w:tblLayout w:type="fixed"/>
        <w:tblCellMar>
          <w:left w:w="0" w:type="dxa"/>
          <w:right w:w="0" w:type="dxa"/>
        </w:tblCellMar>
        <w:tblLook w:val="0000" w:firstRow="0" w:lastRow="0" w:firstColumn="0" w:lastColumn="0" w:noHBand="0" w:noVBand="0"/>
      </w:tblPr>
      <w:tblGrid>
        <w:gridCol w:w="1980"/>
        <w:gridCol w:w="1260"/>
        <w:gridCol w:w="1440"/>
        <w:gridCol w:w="1282"/>
        <w:gridCol w:w="720"/>
        <w:gridCol w:w="1148"/>
        <w:gridCol w:w="1350"/>
        <w:gridCol w:w="1170"/>
        <w:gridCol w:w="720"/>
      </w:tblGrid>
      <w:tr w:rsidR="00A31908"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6209BF" w:rsidP="004B1945">
            <w:pPr>
              <w:pStyle w:val="NoSpacing"/>
              <w:rPr>
                <w:sz w:val="20"/>
                <w:szCs w:val="20"/>
              </w:rPr>
            </w:pPr>
            <w:r>
              <w:rPr>
                <w:sz w:val="20"/>
                <w:szCs w:val="20"/>
              </w:rPr>
              <w:t>Years</w:t>
            </w:r>
          </w:p>
        </w:tc>
        <w:tc>
          <w:tcPr>
            <w:tcW w:w="4702" w:type="dxa"/>
            <w:gridSpan w:val="4"/>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A31908" w:rsidP="004B1945">
            <w:pPr>
              <w:pStyle w:val="NoSpacing"/>
              <w:jc w:val="center"/>
              <w:rPr>
                <w:sz w:val="20"/>
                <w:szCs w:val="20"/>
              </w:rPr>
            </w:pPr>
            <w:r>
              <w:rPr>
                <w:sz w:val="20"/>
                <w:szCs w:val="20"/>
              </w:rPr>
              <w:t>Period 34-38</w:t>
            </w:r>
          </w:p>
        </w:tc>
        <w:tc>
          <w:tcPr>
            <w:tcW w:w="4388" w:type="dxa"/>
            <w:gridSpan w:val="4"/>
            <w:tcBorders>
              <w:top w:val="single" w:sz="4" w:space="0" w:color="000000"/>
              <w:left w:val="nil"/>
              <w:bottom w:val="single" w:sz="4" w:space="0" w:color="000000"/>
              <w:right w:val="nil"/>
            </w:tcBorders>
            <w:shd w:val="clear" w:color="auto" w:fill="FFFFFF"/>
            <w:vAlign w:val="bottom"/>
          </w:tcPr>
          <w:p w:rsidR="00A31908" w:rsidRPr="00B50594" w:rsidRDefault="00A31908" w:rsidP="008F45D4">
            <w:pPr>
              <w:pStyle w:val="NoSpacing"/>
              <w:jc w:val="center"/>
              <w:rPr>
                <w:sz w:val="20"/>
                <w:szCs w:val="20"/>
              </w:rPr>
            </w:pPr>
            <w:r w:rsidRPr="00B50594">
              <w:rPr>
                <w:sz w:val="20"/>
                <w:szCs w:val="20"/>
              </w:rPr>
              <w:t>Period 39</w:t>
            </w:r>
          </w:p>
        </w:tc>
      </w:tr>
      <w:tr w:rsidR="002F5B67"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rPr>
                <w:sz w:val="20"/>
                <w:szCs w:val="20"/>
              </w:rPr>
            </w:pPr>
            <w:r w:rsidRPr="002924B4">
              <w:rPr>
                <w:sz w:val="20"/>
                <w:szCs w:val="20"/>
              </w:rPr>
              <w:t>Characteristics</w:t>
            </w:r>
          </w:p>
        </w:tc>
        <w:tc>
          <w:tcPr>
            <w:tcW w:w="126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All</w:t>
            </w:r>
            <w:r w:rsidR="00FB2128">
              <w:rPr>
                <w:sz w:val="20"/>
                <w:szCs w:val="20"/>
              </w:rPr>
              <w:t xml:space="preserve"> (</w:t>
            </w:r>
            <w:r w:rsidR="00FB2128" w:rsidRPr="002924B4">
              <w:rPr>
                <w:sz w:val="20"/>
                <w:szCs w:val="20"/>
              </w:rPr>
              <w:t>N=20622</w:t>
            </w:r>
            <w:r w:rsidR="00FB2128">
              <w:rPr>
                <w:sz w:val="20"/>
                <w:szCs w:val="20"/>
              </w:rPr>
              <w:t>)</w:t>
            </w:r>
          </w:p>
        </w:tc>
        <w:tc>
          <w:tcPr>
            <w:tcW w:w="144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Alive</w:t>
            </w:r>
            <w:r w:rsidR="00FB2128">
              <w:rPr>
                <w:sz w:val="20"/>
                <w:szCs w:val="20"/>
              </w:rPr>
              <w:t xml:space="preserve"> (</w:t>
            </w:r>
            <w:r w:rsidR="00FB2128" w:rsidRPr="002924B4">
              <w:rPr>
                <w:sz w:val="20"/>
                <w:szCs w:val="20"/>
              </w:rPr>
              <w:t>N=20096</w:t>
            </w:r>
            <w:r w:rsidR="00FB2128">
              <w:rPr>
                <w:sz w:val="20"/>
                <w:szCs w:val="20"/>
              </w:rPr>
              <w:t>)</w:t>
            </w:r>
          </w:p>
        </w:tc>
        <w:tc>
          <w:tcPr>
            <w:tcW w:w="1282"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Dead</w:t>
            </w:r>
            <w:r w:rsidR="00FB2128">
              <w:rPr>
                <w:sz w:val="20"/>
                <w:szCs w:val="20"/>
              </w:rPr>
              <w:t xml:space="preserve"> (</w:t>
            </w:r>
            <w:r w:rsidR="00FB2128" w:rsidRPr="002924B4">
              <w:rPr>
                <w:sz w:val="20"/>
                <w:szCs w:val="20"/>
              </w:rPr>
              <w:t>N=526</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CF5DE6" w:rsidP="002F5B67">
            <w:pPr>
              <w:pStyle w:val="NoSpacing"/>
              <w:jc w:val="center"/>
              <w:rPr>
                <w:sz w:val="20"/>
                <w:szCs w:val="20"/>
              </w:rPr>
            </w:pPr>
            <w:r w:rsidRPr="002924B4">
              <w:rPr>
                <w:sz w:val="20"/>
                <w:szCs w:val="20"/>
              </w:rPr>
              <w:t>P</w:t>
            </w:r>
            <w:r>
              <w:rPr>
                <w:sz w:val="20"/>
                <w:szCs w:val="20"/>
              </w:rPr>
              <w:t xml:space="preserve"> value</w:t>
            </w:r>
          </w:p>
        </w:tc>
        <w:tc>
          <w:tcPr>
            <w:tcW w:w="1148"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All</w:t>
            </w:r>
            <w:r w:rsidR="00FB2128">
              <w:rPr>
                <w:sz w:val="20"/>
                <w:szCs w:val="20"/>
              </w:rPr>
              <w:t xml:space="preserve"> (</w:t>
            </w:r>
            <w:r w:rsidR="00FB2128" w:rsidRPr="002F5B67">
              <w:rPr>
                <w:sz w:val="20"/>
                <w:szCs w:val="20"/>
              </w:rPr>
              <w:t>N=4011</w:t>
            </w:r>
            <w:r w:rsidR="00FB2128">
              <w:rPr>
                <w:sz w:val="20"/>
                <w:szCs w:val="20"/>
              </w:rPr>
              <w:t>)</w:t>
            </w:r>
          </w:p>
        </w:tc>
        <w:tc>
          <w:tcPr>
            <w:tcW w:w="135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Alive</w:t>
            </w:r>
            <w:r w:rsidR="00FB2128">
              <w:rPr>
                <w:sz w:val="20"/>
                <w:szCs w:val="20"/>
              </w:rPr>
              <w:t xml:space="preserve"> (</w:t>
            </w:r>
            <w:r w:rsidR="00FB2128" w:rsidRPr="002F5B67">
              <w:rPr>
                <w:sz w:val="20"/>
                <w:szCs w:val="20"/>
              </w:rPr>
              <w:t>N=3911</w:t>
            </w:r>
            <w:r w:rsidR="00FB2128">
              <w:rPr>
                <w:sz w:val="20"/>
                <w:szCs w:val="20"/>
              </w:rPr>
              <w:t>)</w:t>
            </w:r>
          </w:p>
        </w:tc>
        <w:tc>
          <w:tcPr>
            <w:tcW w:w="117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Dead</w:t>
            </w:r>
            <w:r w:rsidR="00FB2128">
              <w:rPr>
                <w:sz w:val="20"/>
                <w:szCs w:val="20"/>
              </w:rPr>
              <w:t xml:space="preserve"> (</w:t>
            </w:r>
            <w:r w:rsidR="00FB2128" w:rsidRPr="002F5B67">
              <w:rPr>
                <w:sz w:val="20"/>
                <w:szCs w:val="20"/>
              </w:rPr>
              <w:t>N=100</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vAlign w:val="bottom"/>
          </w:tcPr>
          <w:p w:rsidR="002F5B67" w:rsidRPr="002F5B67" w:rsidRDefault="00CF5DE6" w:rsidP="008F45D4">
            <w:pPr>
              <w:pStyle w:val="NoSpacing"/>
              <w:jc w:val="center"/>
              <w:rPr>
                <w:sz w:val="20"/>
                <w:szCs w:val="20"/>
              </w:rPr>
            </w:pPr>
            <w:r w:rsidRPr="002F5B67">
              <w:rPr>
                <w:sz w:val="20"/>
                <w:szCs w:val="20"/>
              </w:rPr>
              <w:t>P</w:t>
            </w:r>
            <w:r>
              <w:rPr>
                <w:sz w:val="20"/>
                <w:szCs w:val="20"/>
              </w:rPr>
              <w:t xml:space="preserve"> value</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Patient's condition</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&lt;.0001</w:t>
            </w:r>
            <w:r w:rsidRPr="0015468A">
              <w:rPr>
                <w:sz w:val="20"/>
                <w:szCs w:val="20"/>
                <w:vertAlign w:val="superscript"/>
              </w:rPr>
              <w:t>&amp;</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1,2</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942(4.6%)</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933(4.6%)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9(1.7%)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171(4.3%)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169(4.3%)</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3</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6364(30.9%)</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6285(31.3%)</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79(15.0%)</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1254(31.3%)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1239(31.7%)</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15(15.0%)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4</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12216(59.2%)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11829(58.9%)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387(73.6%)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2363(58.9%)</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2290(58.6%)</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73(73.0%)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5</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1100(5.3%)</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1049(5.2%)</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51(9.7%)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223(5.6%)</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213(5.4%)</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10(10.0%)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583D8F" w:rsidP="002F5B67">
            <w:pPr>
              <w:pStyle w:val="NoSpacing"/>
              <w:rPr>
                <w:sz w:val="20"/>
                <w:szCs w:val="20"/>
              </w:rPr>
            </w:pPr>
            <w:r>
              <w:rPr>
                <w:sz w:val="20"/>
                <w:szCs w:val="20"/>
              </w:rPr>
              <w:t>P</w:t>
            </w:r>
            <w:r w:rsidR="002F5B67" w:rsidRPr="002924B4">
              <w:rPr>
                <w:sz w:val="20"/>
                <w:szCs w:val="20"/>
              </w:rPr>
              <w:t>rocedure</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0.51</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Valve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4074(19.8%)</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4004(19.9%)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70(13.3%)</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703(17.5%)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683(17.5%)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20(20.0%)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CABG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16548(80.2%)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16092(80.1%)</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456(86.7%)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3308(82.5%)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3228(82.5%)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80(80.0%)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Weight,lb</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0.211</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(171.8,171.5)</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(171.6,171.3)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(181.0,180.6)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(171.5,170.5)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(171.4,170.4)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(175.2,174.3)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(151.7,191.4)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(151.5,191.2)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(160.5,200.1)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(151.0,191.8)</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(150.9,191.7)</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(156.7,198.0)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(108.9,270.0)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(113.6,252.9)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Height,inch</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0.172</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0.708</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(65.5,65.4)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(65.4,65.3)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(63.7,67.1)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(63.8,67.0)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(58.2,72.4)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(59.1,72.6)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BMI,kg</w:t>
            </w:r>
            <w:proofErr w:type="spellEnd"/>
            <w:r>
              <w:rPr>
                <w:sz w:val="20"/>
                <w:szCs w:val="20"/>
              </w:rPr>
              <w:t>/cm</w:t>
            </w:r>
            <w:r w:rsidRPr="0015468A">
              <w:rPr>
                <w:sz w:val="20"/>
                <w:szCs w:val="20"/>
                <w:vertAlign w:val="superscript"/>
              </w:rPr>
              <w:t>2</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0.196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(29.6,29.6)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(28.7,28.7)</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(26.9,32.4)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(26.0,31.9)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(15.8,45.0)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(15.8,42.9)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(17.3,45.0)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(19.1,38.5)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Albumin,g</w:t>
            </w:r>
            <w:proofErr w:type="spellEnd"/>
            <w:r>
              <w:rPr>
                <w:sz w:val="20"/>
                <w:szCs w:val="20"/>
              </w:rPr>
              <w:t>/</w:t>
            </w:r>
            <w:proofErr w:type="spellStart"/>
            <w:r>
              <w:rPr>
                <w:sz w:val="20"/>
                <w:szCs w:val="20"/>
              </w:rPr>
              <w:t>dL</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N=10338</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N=10068</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N=270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0.354</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N=2015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N=1969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0.496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(3.7,4.5)</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(3.6,4.4)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(3.7,4.2)</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(2.5,5.7)</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(3.0,5.5)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2F5B67" w:rsidRPr="002924B4" w:rsidTr="00FB2128">
        <w:trPr>
          <w:cantSplit/>
          <w:jc w:val="center"/>
        </w:trPr>
        <w:tc>
          <w:tcPr>
            <w:tcW w:w="198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35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17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72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r>
    </w:tbl>
    <w:p w:rsidR="00C12CB2" w:rsidRPr="00FB2128" w:rsidRDefault="00D76A45"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&amp; fisher exact test is used</w:t>
      </w:r>
    </w:p>
    <w:p w:rsidR="0015468A" w:rsidRDefault="005D79BC"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 xml:space="preserve">$ Those two </w:t>
      </w:r>
      <w:r w:rsidR="00D76A45" w:rsidRPr="00FB2128">
        <w:rPr>
          <w:rFonts w:ascii="Arial" w:hAnsi="Arial" w:cs="Arial"/>
          <w:sz w:val="20"/>
          <w:szCs w:val="20"/>
        </w:rPr>
        <w:t xml:space="preserve">sample has excluded </w:t>
      </w:r>
      <w:r w:rsidRPr="00FB2128">
        <w:rPr>
          <w:rFonts w:ascii="Arial" w:hAnsi="Arial" w:cs="Arial"/>
          <w:sz w:val="20"/>
          <w:szCs w:val="20"/>
        </w:rPr>
        <w:t>missing in patient’s condition, procedure and BMI.</w:t>
      </w:r>
    </w:p>
    <w:p w:rsidR="00816350" w:rsidRDefault="003B710A" w:rsidP="00A469DD">
      <w:pPr>
        <w:shd w:val="clear" w:color="auto" w:fill="FFFFFF"/>
        <w:spacing w:before="100" w:beforeAutospacing="1" w:after="100" w:afterAutospacing="1" w:line="480" w:lineRule="auto"/>
        <w:rPr>
          <w:rFonts w:ascii="Arial" w:hAnsi="Arial" w:cs="Arial"/>
          <w:bCs/>
          <w:sz w:val="24"/>
          <w:szCs w:val="24"/>
        </w:rPr>
      </w:pPr>
      <w:r>
        <w:rPr>
          <w:rFonts w:ascii="Arial" w:hAnsi="Arial" w:cs="Arial"/>
          <w:noProof/>
          <w:color w:val="000000"/>
          <w:sz w:val="20"/>
          <w:szCs w:val="20"/>
        </w:rPr>
        <w:lastRenderedPageBreak/>
        <w:drawing>
          <wp:anchor distT="0" distB="0" distL="114300" distR="114300" simplePos="0" relativeHeight="251660288" behindDoc="1" locked="0" layoutInCell="1" allowOverlap="1" wp14:anchorId="387C3C63" wp14:editId="11256D45">
            <wp:simplePos x="0" y="0"/>
            <wp:positionH relativeFrom="column">
              <wp:posOffset>-2591435</wp:posOffset>
            </wp:positionH>
            <wp:positionV relativeFrom="page">
              <wp:posOffset>3508375</wp:posOffset>
            </wp:positionV>
            <wp:extent cx="8636000" cy="3454400"/>
            <wp:effectExtent l="0" t="0" r="0" b="0"/>
            <wp:wrapTight wrapText="bothSides">
              <wp:wrapPolygon edited="0">
                <wp:start x="21600" y="0"/>
                <wp:lineTo x="64" y="0"/>
                <wp:lineTo x="64" y="21441"/>
                <wp:lineTo x="21600" y="21441"/>
                <wp:lineTo x="216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rot="16200000">
                      <a:off x="0" y="0"/>
                      <a:ext cx="8636000" cy="3454400"/>
                    </a:xfrm>
                    <a:prstGeom prst="rect">
                      <a:avLst/>
                    </a:prstGeom>
                    <a:noFill/>
                    <a:ln>
                      <a:noFill/>
                    </a:ln>
                  </pic:spPr>
                </pic:pic>
              </a:graphicData>
            </a:graphic>
            <wp14:sizeRelH relativeFrom="margin">
              <wp14:pctWidth>0</wp14:pctWidth>
            </wp14:sizeRelH>
          </wp:anchor>
        </w:drawing>
      </w:r>
      <w:r w:rsidR="00816350" w:rsidRPr="00816350">
        <w:rPr>
          <w:rFonts w:ascii="Arial" w:hAnsi="Arial" w:cs="Arial"/>
          <w:bCs/>
          <w:sz w:val="24"/>
          <w:szCs w:val="24"/>
        </w:rPr>
        <w:t xml:space="preserve">The result from observed data in period 39 is shown in Figure 1. Hospital 9, 18, 19, 25, 27, 31, 32, 36 and 43 does not have any death. Hospital 34 has the highest death rate (14.4 per 100 patients in period 39, 95% CI: 7.7, 21.2) Observed and expected rates are shown in Figure 2 and Table 2 (in the appendix). </w:t>
      </w:r>
    </w:p>
    <w:p w:rsidR="00816350" w:rsidRDefault="00816350" w:rsidP="00A469DD">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Figure1. Counted d</w:t>
      </w:r>
      <w:r>
        <w:rPr>
          <w:rFonts w:ascii="Arial" w:hAnsi="Arial" w:cs="Arial"/>
          <w:bCs/>
          <w:sz w:val="24"/>
          <w:szCs w:val="24"/>
        </w:rPr>
        <w:t>eath rates per 100 patients</w:t>
      </w:r>
      <w:r>
        <w:rPr>
          <w:rFonts w:ascii="Arial" w:hAnsi="Arial" w:cs="Arial"/>
          <w:bCs/>
          <w:sz w:val="24"/>
          <w:szCs w:val="24"/>
        </w:rPr>
        <w:t xml:space="preserve"> in period 39</w:t>
      </w:r>
    </w:p>
    <w:p w:rsidR="00816350" w:rsidRDefault="00816350" w:rsidP="00A469DD">
      <w:pPr>
        <w:shd w:val="clear" w:color="auto" w:fill="FFFFFF"/>
        <w:spacing w:before="100" w:beforeAutospacing="1" w:after="100" w:afterAutospacing="1" w:line="480" w:lineRule="auto"/>
        <w:rPr>
          <w:rFonts w:ascii="Arial" w:hAnsi="Arial" w:cs="Arial"/>
          <w:bCs/>
          <w:sz w:val="24"/>
          <w:szCs w:val="24"/>
        </w:rPr>
      </w:pPr>
      <w:r w:rsidRPr="00816350">
        <w:rPr>
          <w:rFonts w:ascii="Arial" w:hAnsi="Arial" w:cs="Arial"/>
          <w:bCs/>
          <w:sz w:val="24"/>
          <w:szCs w:val="24"/>
        </w:rPr>
        <w:t xml:space="preserve">For observed death rates, some lower ends of confidence interval are below zero. This happens because the death rate is low, but the sample size is not large enough. When the death rate is very low or high, we need more observations to let standard error to be small enough to keep upper </w:t>
      </w:r>
      <w:r w:rsidRPr="00816350">
        <w:rPr>
          <w:rFonts w:ascii="Arial" w:hAnsi="Arial" w:cs="Arial"/>
          <w:bCs/>
          <w:sz w:val="24"/>
          <w:szCs w:val="24"/>
        </w:rPr>
        <w:lastRenderedPageBreak/>
        <w:t>and lower confidence interval stay between zero and one.</w:t>
      </w:r>
    </w:p>
    <w:p w:rsidR="008C525B" w:rsidRPr="00FC3B9B" w:rsidRDefault="00FC3B9B" w:rsidP="00DC58E1">
      <w:pPr>
        <w:shd w:val="clear" w:color="auto" w:fill="FFFFFF"/>
        <w:spacing w:before="100" w:beforeAutospacing="1" w:after="100" w:afterAutospacing="1" w:line="240" w:lineRule="exact"/>
        <w:jc w:val="center"/>
        <w:rPr>
          <w:rFonts w:ascii="Arial" w:hAnsi="Arial" w:cs="Arial"/>
          <w:bCs/>
          <w:sz w:val="24"/>
          <w:szCs w:val="24"/>
        </w:rPr>
      </w:pPr>
      <w:r>
        <w:rPr>
          <w:rFonts w:ascii="Arial" w:hAnsi="Arial" w:cs="Arial"/>
          <w:noProof/>
          <w:color w:val="000000"/>
          <w:sz w:val="20"/>
          <w:szCs w:val="20"/>
        </w:rPr>
        <w:drawing>
          <wp:anchor distT="0" distB="0" distL="114300" distR="114300" simplePos="0" relativeHeight="251659264" behindDoc="0" locked="0" layoutInCell="1" allowOverlap="1" wp14:anchorId="6F6C3986" wp14:editId="25E7C9A9">
            <wp:simplePos x="0" y="0"/>
            <wp:positionH relativeFrom="margin">
              <wp:posOffset>-850900</wp:posOffset>
            </wp:positionH>
            <wp:positionV relativeFrom="paragraph">
              <wp:posOffset>0</wp:posOffset>
            </wp:positionV>
            <wp:extent cx="7669530" cy="383476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669530" cy="383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Figure2</w:t>
      </w:r>
      <w:r w:rsidR="00816350">
        <w:rPr>
          <w:rFonts w:ascii="Arial" w:hAnsi="Arial" w:cs="Arial"/>
          <w:bCs/>
          <w:sz w:val="24"/>
          <w:szCs w:val="24"/>
        </w:rPr>
        <w:t xml:space="preserve">. Death rates per 100 patients </w:t>
      </w:r>
      <w:r w:rsidR="00E15DC9">
        <w:rPr>
          <w:rFonts w:ascii="Arial" w:hAnsi="Arial" w:cs="Arial"/>
          <w:bCs/>
          <w:sz w:val="24"/>
          <w:szCs w:val="24"/>
        </w:rPr>
        <w:t>in period 39</w:t>
      </w:r>
      <w:r w:rsidR="005944C5">
        <w:rPr>
          <w:rFonts w:ascii="Arial" w:hAnsi="Arial" w:cs="Arial"/>
          <w:bCs/>
          <w:sz w:val="24"/>
          <w:szCs w:val="24"/>
        </w:rPr>
        <w:t>, comparison</w:t>
      </w:r>
    </w:p>
    <w:p w:rsidR="00F010A6" w:rsidRPr="008C525B" w:rsidRDefault="000978E8" w:rsidP="00DC58E1">
      <w:pPr>
        <w:shd w:val="clear" w:color="auto" w:fill="FFFFFF"/>
        <w:spacing w:before="100" w:beforeAutospacing="1" w:after="100" w:afterAutospacing="1" w:line="240" w:lineRule="exact"/>
        <w:rPr>
          <w:rFonts w:ascii="Arial" w:hAnsi="Arial" w:cs="Arial"/>
          <w:sz w:val="24"/>
          <w:szCs w:val="24"/>
        </w:rPr>
      </w:pPr>
      <w:r w:rsidRPr="0052661C">
        <w:rPr>
          <w:rFonts w:ascii="Arial" w:hAnsi="Arial" w:cs="Arial"/>
          <w:bCs/>
          <w:sz w:val="20"/>
          <w:szCs w:val="20"/>
        </w:rPr>
        <w:t>*The lower end of confidence interval of observed rates are set to be zero if it is negative.</w:t>
      </w:r>
    </w:p>
    <w:p w:rsidR="00D42E23" w:rsidRDefault="00D42E23" w:rsidP="00DC58E1">
      <w:pPr>
        <w:shd w:val="clear" w:color="auto" w:fill="FFFFFF"/>
        <w:spacing w:before="100" w:beforeAutospacing="1" w:after="100" w:afterAutospacing="1" w:line="240" w:lineRule="exact"/>
        <w:rPr>
          <w:rFonts w:ascii="Arial" w:hAnsi="Arial" w:cs="Arial"/>
          <w:bCs/>
          <w:sz w:val="20"/>
          <w:szCs w:val="20"/>
        </w:rPr>
      </w:pPr>
      <w:r>
        <w:rPr>
          <w:rFonts w:ascii="Arial" w:hAnsi="Arial" w:cs="Arial"/>
          <w:bCs/>
          <w:sz w:val="20"/>
          <w:szCs w:val="20"/>
        </w:rPr>
        <w:t>**Hospital 30 does not have expected death rate because all BMI are missing in period 39 for hospital 30.</w:t>
      </w:r>
    </w:p>
    <w:p w:rsidR="000465DC" w:rsidRPr="00F010A6" w:rsidRDefault="000465DC" w:rsidP="00DC58E1">
      <w:pPr>
        <w:shd w:val="clear" w:color="auto" w:fill="FFFFFF"/>
        <w:spacing w:before="100" w:beforeAutospacing="1" w:after="100" w:afterAutospacing="1" w:line="240" w:lineRule="exact"/>
        <w:rPr>
          <w:rFonts w:ascii="Arial" w:hAnsi="Arial" w:cs="Arial"/>
          <w:bCs/>
          <w:sz w:val="20"/>
          <w:szCs w:val="20"/>
        </w:rPr>
      </w:pPr>
    </w:p>
    <w:p w:rsidR="00472D9C" w:rsidRDefault="00472D9C" w:rsidP="00652CA3">
      <w:pPr>
        <w:shd w:val="clear" w:color="auto" w:fill="FFFFFF"/>
        <w:spacing w:before="100" w:beforeAutospacing="1" w:after="100" w:afterAutospacing="1" w:line="480" w:lineRule="auto"/>
        <w:rPr>
          <w:rFonts w:ascii="Arial" w:hAnsi="Arial" w:cs="Arial"/>
          <w:sz w:val="24"/>
          <w:szCs w:val="24"/>
        </w:rPr>
      </w:pPr>
      <w:r w:rsidRPr="00472D9C">
        <w:rPr>
          <w:rFonts w:ascii="Arial" w:hAnsi="Arial" w:cs="Arial"/>
          <w:sz w:val="24"/>
          <w:szCs w:val="24"/>
        </w:rPr>
        <w:t>The binomial theoretical confidence intervals are much wider than the bootstrap interval. This happens because the death rate is not extremely low or high, and the sample size is not large enough. When sample size remains the same, the more the percentage approximates 0.5, the larger the standard deviation will be. So we need a larger sample size to keep confidence interval narrow.</w:t>
      </w:r>
    </w:p>
    <w:p w:rsidR="00472D9C" w:rsidRDefault="00472D9C" w:rsidP="00652CA3">
      <w:pPr>
        <w:shd w:val="clear" w:color="auto" w:fill="FFFFFF"/>
        <w:spacing w:before="100" w:beforeAutospacing="1" w:after="100" w:afterAutospacing="1" w:line="480" w:lineRule="auto"/>
        <w:rPr>
          <w:rFonts w:ascii="Arial" w:hAnsi="Arial" w:cs="Arial"/>
          <w:sz w:val="24"/>
          <w:szCs w:val="24"/>
        </w:rPr>
      </w:pPr>
      <w:r w:rsidRPr="00472D9C">
        <w:rPr>
          <w:rFonts w:ascii="Arial" w:hAnsi="Arial" w:cs="Arial"/>
          <w:sz w:val="24"/>
          <w:szCs w:val="24"/>
        </w:rPr>
        <w:t xml:space="preserve">As for interpretation, we took hospital 21 for example. The expected death rate per 100 patients in period 39 is 3.03 (95% CI: 2.74, 3.35). The observed death rate per 100 </w:t>
      </w:r>
      <w:r w:rsidRPr="00472D9C">
        <w:rPr>
          <w:rFonts w:ascii="Arial" w:hAnsi="Arial" w:cs="Arial"/>
          <w:sz w:val="24"/>
          <w:szCs w:val="24"/>
        </w:rPr>
        <w:lastRenderedPageBreak/>
        <w:t>patients in period 39 is 9.62 (95% CI: 3.95</w:t>
      </w:r>
      <w:proofErr w:type="gramStart"/>
      <w:r w:rsidRPr="00472D9C">
        <w:rPr>
          <w:rFonts w:ascii="Arial" w:hAnsi="Arial" w:cs="Arial"/>
          <w:sz w:val="24"/>
          <w:szCs w:val="24"/>
        </w:rPr>
        <w:t>,15.28</w:t>
      </w:r>
      <w:proofErr w:type="gramEnd"/>
      <w:r w:rsidRPr="00472D9C">
        <w:rPr>
          <w:rFonts w:ascii="Arial" w:hAnsi="Arial" w:cs="Arial"/>
          <w:sz w:val="24"/>
          <w:szCs w:val="24"/>
        </w:rPr>
        <w:t>). Because the confidence interval of observed death rate is higher than the expected death rate, we conclude that the death rate of hospital 21 does increase in period 39 comparing to period 34-38.</w:t>
      </w:r>
    </w:p>
    <w:p w:rsidR="00894E24" w:rsidRPr="006B6ABB" w:rsidRDefault="00E87875" w:rsidP="00652CA3">
      <w:pPr>
        <w:shd w:val="clear" w:color="auto" w:fill="FFFFFF"/>
        <w:spacing w:before="100" w:beforeAutospacing="1" w:after="100" w:afterAutospacing="1" w:line="480" w:lineRule="auto"/>
        <w:rPr>
          <w:rFonts w:ascii="Arial" w:hAnsi="Arial" w:cs="Arial"/>
          <w:b/>
          <w:color w:val="FF0000"/>
          <w:sz w:val="24"/>
          <w:szCs w:val="24"/>
        </w:rPr>
      </w:pPr>
      <w:r>
        <w:rPr>
          <w:rFonts w:ascii="Arial" w:hAnsi="Arial" w:cs="Arial"/>
          <w:b/>
          <w:sz w:val="24"/>
          <w:szCs w:val="24"/>
        </w:rPr>
        <w:t>Conclusion</w:t>
      </w:r>
      <w:r w:rsidR="00894E24" w:rsidRPr="00894E24">
        <w:rPr>
          <w:rFonts w:ascii="Arial" w:hAnsi="Arial" w:cs="Arial"/>
          <w:b/>
          <w:sz w:val="24"/>
          <w:szCs w:val="24"/>
        </w:rPr>
        <w:t>:</w:t>
      </w:r>
    </w:p>
    <w:p w:rsidR="00B10626" w:rsidRDefault="00B10626" w:rsidP="009474B6">
      <w:pPr>
        <w:shd w:val="clear" w:color="auto" w:fill="FFFFFF"/>
        <w:spacing w:before="100" w:beforeAutospacing="1" w:after="100" w:afterAutospacing="1" w:line="480" w:lineRule="auto"/>
        <w:rPr>
          <w:rFonts w:ascii="Arial" w:eastAsia="Times New Roman" w:hAnsi="Arial" w:cs="Arial"/>
          <w:sz w:val="24"/>
          <w:szCs w:val="24"/>
        </w:rPr>
      </w:pPr>
      <w:r w:rsidRPr="00B10626">
        <w:rPr>
          <w:rFonts w:ascii="Arial" w:eastAsia="Times New Roman" w:hAnsi="Arial" w:cs="Arial"/>
          <w:sz w:val="24"/>
          <w:szCs w:val="24"/>
        </w:rPr>
        <w:t xml:space="preserve">3 hospitals (6.98%), which are hospital 17, 21 and 34, had more severe death rates in period 39 than expectation. 9 hospitals (20.93%), which are hospital 9, 18, 19, 25, 27, 31, 32, 36 and 43, had zero death rates in period 39, which are better than the expectation of period 39 using the data in period 34-38. Hospital 30 was excluded from comparison because of missing BMI. Death rates from other hospitals (72.09%) did not change much. </w:t>
      </w:r>
    </w:p>
    <w:p w:rsidR="00B10626" w:rsidRDefault="00B10626" w:rsidP="005950A5">
      <w:pPr>
        <w:shd w:val="clear" w:color="auto" w:fill="FFFFFF"/>
        <w:spacing w:before="100" w:beforeAutospacing="1" w:after="100" w:afterAutospacing="1" w:line="480" w:lineRule="auto"/>
        <w:rPr>
          <w:rFonts w:ascii="Arial" w:eastAsia="Times New Roman" w:hAnsi="Arial" w:cs="Arial"/>
          <w:sz w:val="24"/>
          <w:szCs w:val="24"/>
        </w:rPr>
      </w:pPr>
      <w:r w:rsidRPr="00B10626">
        <w:rPr>
          <w:rFonts w:ascii="Arial" w:eastAsia="Times New Roman" w:hAnsi="Arial" w:cs="Arial"/>
          <w:sz w:val="24"/>
          <w:szCs w:val="24"/>
        </w:rPr>
        <w:t xml:space="preserve">One limitation is the way we calculated the confidence interval for the observed death rate. It is not very accurate because of the limiting sample size compared to the proportion of death. One approach that might be helpful is the bootstrap method. We can use the bootstrap method to create a large number of samples (for example, 1x105) from each hospital during period 39, and then calculate the mean death rate and confidence interval. Another limitation is that we have so many missing in albumin, which might be a useful predictor to explain the variation in outcome. Although it did not show significance in </w:t>
      </w:r>
      <w:proofErr w:type="spellStart"/>
      <w:r w:rsidRPr="00B10626">
        <w:rPr>
          <w:rFonts w:ascii="Arial" w:eastAsia="Times New Roman" w:hAnsi="Arial" w:cs="Arial"/>
          <w:sz w:val="24"/>
          <w:szCs w:val="24"/>
        </w:rPr>
        <w:t>univariate</w:t>
      </w:r>
      <w:proofErr w:type="spellEnd"/>
      <w:r w:rsidRPr="00B10626">
        <w:rPr>
          <w:rFonts w:ascii="Arial" w:eastAsia="Times New Roman" w:hAnsi="Arial" w:cs="Arial"/>
          <w:sz w:val="24"/>
          <w:szCs w:val="24"/>
        </w:rPr>
        <w:t xml:space="preserve"> test (p=0.496), we still tried ROC analysis, and albumin definitely increased the AUC (from 0.6316 to 0.6377, N= 10338). </w:t>
      </w:r>
    </w:p>
    <w:p w:rsidR="005950A5" w:rsidRPr="000F6E82" w:rsidRDefault="005950A5" w:rsidP="005950A5">
      <w:pPr>
        <w:shd w:val="clear" w:color="auto" w:fill="FFFFFF"/>
        <w:spacing w:before="100" w:beforeAutospacing="1" w:after="100" w:afterAutospacing="1" w:line="480" w:lineRule="auto"/>
        <w:rPr>
          <w:rFonts w:ascii="Arial" w:eastAsia="Times New Roman" w:hAnsi="Arial" w:cs="Arial"/>
          <w:b/>
          <w:color w:val="2D3B45"/>
          <w:sz w:val="24"/>
          <w:szCs w:val="24"/>
        </w:rPr>
      </w:pPr>
      <w:r w:rsidRPr="000F6E82">
        <w:rPr>
          <w:rFonts w:ascii="Arial" w:eastAsia="Times New Roman" w:hAnsi="Arial" w:cs="Arial"/>
          <w:b/>
          <w:color w:val="2D3B45"/>
          <w:sz w:val="24"/>
          <w:szCs w:val="24"/>
          <w:u w:val="single"/>
        </w:rPr>
        <w:t>Reproducible research information</w:t>
      </w:r>
      <w:r w:rsidRPr="000F6E82">
        <w:rPr>
          <w:rFonts w:ascii="Arial" w:eastAsia="Times New Roman" w:hAnsi="Arial" w:cs="Arial"/>
          <w:b/>
          <w:color w:val="2D3B45"/>
          <w:sz w:val="24"/>
          <w:szCs w:val="24"/>
        </w:rPr>
        <w:t xml:space="preserve">: </w:t>
      </w:r>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hyperlink r:id="rId7" w:history="1">
        <w:r w:rsidRPr="00DC4BFF">
          <w:rPr>
            <w:rStyle w:val="Hyperlink"/>
            <w:rFonts w:ascii="Arial" w:eastAsia="Times New Roman" w:hAnsi="Arial" w:cs="Arial"/>
            <w:sz w:val="24"/>
            <w:szCs w:val="24"/>
          </w:rPr>
          <w:t>https://github.com/BIOS6624-UCD/bios6624-zhwr7125</w:t>
        </w:r>
      </w:hyperlink>
    </w:p>
    <w:p w:rsidR="000F6E82" w:rsidRPr="000F6E82" w:rsidRDefault="000F6E82" w:rsidP="005950A5">
      <w:pPr>
        <w:shd w:val="clear" w:color="auto" w:fill="FFFFFF"/>
        <w:spacing w:before="100" w:beforeAutospacing="1" w:after="100" w:afterAutospacing="1" w:line="480" w:lineRule="auto"/>
        <w:rPr>
          <w:rFonts w:ascii="Arial" w:eastAsia="Times New Roman" w:hAnsi="Arial" w:cs="Arial"/>
          <w:b/>
          <w:color w:val="2D3B45"/>
          <w:sz w:val="24"/>
          <w:szCs w:val="24"/>
          <w:u w:val="single"/>
        </w:rPr>
      </w:pPr>
      <w:r w:rsidRPr="000F6E82">
        <w:rPr>
          <w:rFonts w:ascii="Arial" w:eastAsia="Times New Roman" w:hAnsi="Arial" w:cs="Arial"/>
          <w:b/>
          <w:color w:val="2D3B45"/>
          <w:sz w:val="24"/>
          <w:szCs w:val="24"/>
          <w:u w:val="single"/>
        </w:rPr>
        <w:lastRenderedPageBreak/>
        <w:t xml:space="preserve">Reference: </w:t>
      </w:r>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0F6E82">
        <w:rPr>
          <w:rFonts w:ascii="Arial" w:eastAsia="Times New Roman" w:hAnsi="Arial" w:cs="Arial"/>
          <w:color w:val="2D3B45"/>
          <w:sz w:val="24"/>
          <w:szCs w:val="24"/>
        </w:rPr>
        <w:t>Rachel Weber</w:t>
      </w:r>
      <w:r>
        <w:rPr>
          <w:rFonts w:ascii="Arial" w:eastAsia="Times New Roman" w:hAnsi="Arial" w:cs="Arial"/>
          <w:color w:val="2D3B45"/>
          <w:sz w:val="24"/>
          <w:szCs w:val="24"/>
        </w:rPr>
        <w:t xml:space="preserve">: </w:t>
      </w:r>
      <w:hyperlink r:id="rId8" w:history="1">
        <w:r w:rsidRPr="00DC4BFF">
          <w:rPr>
            <w:rStyle w:val="Hyperlink"/>
            <w:rFonts w:ascii="Arial" w:eastAsia="Times New Roman" w:hAnsi="Arial" w:cs="Arial"/>
            <w:sz w:val="24"/>
            <w:szCs w:val="24"/>
          </w:rPr>
          <w:t>https://github.com/BIOS6624-UCD/bios6624-r-weber</w:t>
        </w:r>
      </w:hyperlink>
    </w:p>
    <w:p w:rsidR="00D62B67"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0F6E82">
        <w:rPr>
          <w:rFonts w:ascii="Arial" w:eastAsia="Times New Roman" w:hAnsi="Arial" w:cs="Arial"/>
          <w:color w:val="2D3B45"/>
          <w:sz w:val="24"/>
          <w:szCs w:val="24"/>
        </w:rPr>
        <w:t>Luke Patten</w:t>
      </w:r>
      <w:r>
        <w:rPr>
          <w:rFonts w:ascii="Arial" w:eastAsia="Times New Roman" w:hAnsi="Arial" w:cs="Arial"/>
          <w:color w:val="2D3B45"/>
          <w:sz w:val="24"/>
          <w:szCs w:val="24"/>
        </w:rPr>
        <w:t xml:space="preserve">: </w:t>
      </w:r>
      <w:hyperlink r:id="rId9" w:history="1">
        <w:r w:rsidR="00D62B67" w:rsidRPr="00DC4BFF">
          <w:rPr>
            <w:rStyle w:val="Hyperlink"/>
            <w:rFonts w:ascii="Arial" w:eastAsia="Times New Roman" w:hAnsi="Arial" w:cs="Arial"/>
            <w:sz w:val="24"/>
            <w:szCs w:val="24"/>
          </w:rPr>
          <w:t>https://github.com/BIOS6624-UCD/bios6624-lukepatten15</w:t>
        </w:r>
      </w:hyperlink>
    </w:p>
    <w:p w:rsidR="00FD10F2" w:rsidRPr="00D62B67" w:rsidRDefault="00FD10F2" w:rsidP="005950A5">
      <w:pPr>
        <w:shd w:val="clear" w:color="auto" w:fill="FFFFFF"/>
        <w:spacing w:before="100" w:beforeAutospacing="1" w:after="100" w:afterAutospacing="1" w:line="480" w:lineRule="auto"/>
        <w:rPr>
          <w:rFonts w:ascii="Arial" w:eastAsia="Times New Roman" w:hAnsi="Arial" w:cs="Arial"/>
          <w:b/>
          <w:sz w:val="24"/>
          <w:szCs w:val="24"/>
          <w:u w:val="single"/>
        </w:rPr>
      </w:pPr>
      <w:r w:rsidRPr="00D62B67">
        <w:rPr>
          <w:rFonts w:ascii="Arial" w:eastAsia="Times New Roman" w:hAnsi="Arial" w:cs="Arial"/>
          <w:b/>
          <w:sz w:val="24"/>
          <w:szCs w:val="24"/>
          <w:u w:val="single"/>
        </w:rPr>
        <w:t>Appendix</w:t>
      </w:r>
    </w:p>
    <w:p w:rsidR="002C0B52" w:rsidRPr="002C0B52" w:rsidRDefault="002C0B52" w:rsidP="002C0B52">
      <w:pPr>
        <w:shd w:val="clear" w:color="auto" w:fill="FFFFFF"/>
        <w:spacing w:before="100" w:beforeAutospacing="1" w:after="100" w:afterAutospacing="1" w:line="240" w:lineRule="auto"/>
        <w:jc w:val="center"/>
        <w:rPr>
          <w:rFonts w:ascii="Arial" w:eastAsia="Times New Roman" w:hAnsi="Arial" w:cs="Arial"/>
          <w:sz w:val="24"/>
          <w:szCs w:val="24"/>
        </w:rPr>
      </w:pPr>
      <w:r w:rsidRPr="002C0B52">
        <w:rPr>
          <w:rFonts w:ascii="Arial" w:eastAsia="Times New Roman" w:hAnsi="Arial" w:cs="Arial"/>
          <w:sz w:val="24"/>
          <w:szCs w:val="24"/>
        </w:rPr>
        <w:t>Table</w:t>
      </w:r>
      <w:r w:rsidR="00FD10F2">
        <w:rPr>
          <w:rFonts w:ascii="Arial" w:eastAsia="Times New Roman" w:hAnsi="Arial" w:cs="Arial"/>
          <w:sz w:val="24"/>
          <w:szCs w:val="24"/>
        </w:rPr>
        <w:t xml:space="preserve"> 0.</w:t>
      </w:r>
      <w:r w:rsidRPr="002C0B52">
        <w:rPr>
          <w:rFonts w:ascii="Arial" w:eastAsia="Times New Roman" w:hAnsi="Arial" w:cs="Arial"/>
          <w:sz w:val="24"/>
          <w:szCs w:val="24"/>
        </w:rPr>
        <w:t xml:space="preserve"> Missing summary</w:t>
      </w:r>
    </w:p>
    <w:tbl>
      <w:tblPr>
        <w:tblW w:w="3860" w:type="dxa"/>
        <w:jc w:val="center"/>
        <w:tblCellMar>
          <w:left w:w="0" w:type="dxa"/>
          <w:right w:w="0" w:type="dxa"/>
        </w:tblCellMar>
        <w:tblLook w:val="0600" w:firstRow="0" w:lastRow="0" w:firstColumn="0" w:lastColumn="0" w:noHBand="1" w:noVBand="1"/>
      </w:tblPr>
      <w:tblGrid>
        <w:gridCol w:w="1960"/>
        <w:gridCol w:w="1900"/>
      </w:tblGrid>
      <w:tr w:rsidR="00027BE7" w:rsidRPr="00027BE7" w:rsidTr="00027BE7">
        <w:trPr>
          <w:trHeight w:val="473"/>
          <w:jc w:val="center"/>
        </w:trPr>
        <w:tc>
          <w:tcPr>
            <w:tcW w:w="196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Variable</w:t>
            </w:r>
          </w:p>
        </w:tc>
        <w:tc>
          <w:tcPr>
            <w:tcW w:w="190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Missing</w:t>
            </w:r>
          </w:p>
          <w:p w:rsidR="00027BE7" w:rsidRPr="00027BE7" w:rsidRDefault="00027BE7" w:rsidP="00187B69">
            <w:pPr>
              <w:pStyle w:val="NoSpacing"/>
              <w:jc w:val="center"/>
            </w:pPr>
            <w:r>
              <w:t>(T</w:t>
            </w:r>
            <w:r w:rsidRPr="00027BE7">
              <w:t>otal</w:t>
            </w:r>
            <w:r>
              <w:t xml:space="preserve"> N</w:t>
            </w:r>
            <w:r w:rsidRPr="00027BE7">
              <w:t>=26491)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Procedure</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2.03%</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Patient’s condition</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2.52%</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proofErr w:type="spellStart"/>
            <w:r w:rsidRPr="00027BE7">
              <w:t>Weight,lb</w:t>
            </w:r>
            <w:proofErr w:type="spellEnd"/>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Height, inches</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176C4E" w:rsidP="00027BE7">
            <w:pPr>
              <w:pStyle w:val="NoSpacing"/>
            </w:pPr>
            <w:r>
              <w:t>BMI, kg/cm</w:t>
            </w:r>
            <w:r w:rsidR="00027BE7" w:rsidRPr="00176C4E">
              <w:rPr>
                <w:vertAlign w:val="superscript"/>
              </w:rPr>
              <w:t>2</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Albumin</w:t>
            </w:r>
          </w:p>
        </w:tc>
        <w:tc>
          <w:tcPr>
            <w:tcW w:w="190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49.92%</w:t>
            </w:r>
          </w:p>
        </w:tc>
      </w:tr>
    </w:tbl>
    <w:p w:rsidR="00FD10F2" w:rsidRPr="00336973" w:rsidRDefault="00FD10F2" w:rsidP="00FD10F2">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sidR="00E15DC9">
        <w:rPr>
          <w:rFonts w:ascii="Arial" w:hAnsi="Arial" w:cs="Arial"/>
          <w:sz w:val="24"/>
          <w:szCs w:val="24"/>
        </w:rPr>
        <w:t xml:space="preserve"> </w:t>
      </w:r>
      <w:r>
        <w:rPr>
          <w:rFonts w:ascii="Arial" w:hAnsi="Arial" w:cs="Arial"/>
          <w:sz w:val="24"/>
          <w:szCs w:val="24"/>
        </w:rPr>
        <w:t>2. Death rates in 44 hospitals during period 39</w:t>
      </w:r>
    </w:p>
    <w:tbl>
      <w:tblPr>
        <w:tblW w:w="0" w:type="auto"/>
        <w:jc w:val="center"/>
        <w:tblLayout w:type="fixed"/>
        <w:tblCellMar>
          <w:left w:w="0" w:type="dxa"/>
          <w:right w:w="0" w:type="dxa"/>
        </w:tblCellMar>
        <w:tblLook w:val="0000" w:firstRow="0" w:lastRow="0" w:firstColumn="0" w:lastColumn="0" w:noHBand="0" w:noVBand="0"/>
      </w:tblPr>
      <w:tblGrid>
        <w:gridCol w:w="1193"/>
        <w:gridCol w:w="1462"/>
        <w:gridCol w:w="1678"/>
        <w:gridCol w:w="1669"/>
      </w:tblGrid>
      <w:tr w:rsidR="007311DC" w:rsidTr="005459EC">
        <w:tblPrEx>
          <w:tblCellMar>
            <w:top w:w="0" w:type="dxa"/>
            <w:left w:w="0" w:type="dxa"/>
            <w:bottom w:w="0" w:type="dxa"/>
            <w:right w:w="0" w:type="dxa"/>
          </w:tblCellMar>
        </w:tblPrEx>
        <w:trPr>
          <w:cantSplit/>
          <w:tblHeader/>
          <w:jc w:val="center"/>
        </w:trPr>
        <w:tc>
          <w:tcPr>
            <w:tcW w:w="1193"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bookmarkStart w:id="1" w:name="IDX"/>
            <w:bookmarkEnd w:id="1"/>
            <w:r>
              <w:rPr>
                <w:rFonts w:ascii="Arial" w:hAnsi="Arial" w:cs="Arial"/>
                <w:i/>
                <w:iCs/>
                <w:color w:val="000000"/>
                <w:sz w:val="19"/>
                <w:szCs w:val="19"/>
              </w:rPr>
              <w:t>Hospital</w:t>
            </w:r>
          </w:p>
        </w:tc>
        <w:tc>
          <w:tcPr>
            <w:tcW w:w="1462"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Expected death rate(95%CI)</w:t>
            </w:r>
          </w:p>
        </w:tc>
        <w:tc>
          <w:tcPr>
            <w:tcW w:w="1678"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Actual death rate(95%CI)</w:t>
            </w:r>
          </w:p>
        </w:tc>
        <w:tc>
          <w:tcPr>
            <w:tcW w:w="1669"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Reality compared to expectation, period 39</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3(2.74,3.29)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1.85(0,4.39)</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2.28(2.06,2.51)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3.7(0.14,7.27)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2.26(2.07,2.46)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2.13(0,5.04)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2.78(2.52,3.06)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2.3(0,5.45)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2.73(2.48,3.01)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3.06(0,6.47)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3(2.73,3.29)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2.5(0,5.92)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2.64(2.41,2.9)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5.88(1.32,10.45)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2.43(2.2,2.67)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2.59(0,5.47)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2.29(2.1,2.5)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2.41(2.2,2.62)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2.61(0,5.52)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2.39(2.18,2.61)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0.88(0,2.61)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2.49(2.26,2.74)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1.96(0,4.65)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2.85(2.59,3.14)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0.94(0,2.78)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lastRenderedPageBreak/>
              <w:t>hospcode14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2.98(2.69,3.33)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7.32(1.68,12.95)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2.2(2,2.41)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1.15(0,3.39)</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2.87(2.62,3.14)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3.48(0.13,6.83)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2.2(1.98,2.43)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11.49(4.79,18.2)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1.94(1.76,2.13)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2.75(2.5,3.02)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2.56(2.31,2.81)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1.06(0,3.14)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3.03(2.74,3.35)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9.62(3.95,15.28)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2.06(1.87,2.26)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2.88(0,6.1)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2.59(2.34,2.85)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5.13(1.13,9.13)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2.8(2.54,3.08)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1(0,2.95)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2.02(1.84,2.2)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2.96(2.65,3.31)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1.69(0,4.02)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2.83(2.58,3.09)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2.43(2.23,2.67)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3.7(0.14,7.27)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2.37(2.16,2.59)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3.53(0,7.45)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1.11(0,3.28)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2.57(2.34,2.82)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2.83(2.56,3.1)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2.41(2.21,2.63)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1.01(0,2.98)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2.48(2.27,2.7)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14.42(7.67,21.18)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2.41(2.18,2.66)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3.33(0,7.04)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1.97(1.79,2.16)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2.07(1.86,2.3)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1.94(0,4.61)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2.06(1.86,2.27)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1.02(0,3.01)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2.58(2.34,2.84)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3.96(0.16,7.76)</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2.08(1.9,2.28)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0.92(0,2.71)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2.41(2.19,2.64)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2.25(0,5.33)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2.55(2.32,2.81)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1.79(0,4.24)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2.73(2.5,2.98)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hospcode44</w:t>
            </w:r>
          </w:p>
        </w:tc>
        <w:tc>
          <w:tcPr>
            <w:tcW w:w="1462"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2.13(1.92,2.33)</w:t>
            </w:r>
          </w:p>
        </w:tc>
        <w:tc>
          <w:tcPr>
            <w:tcW w:w="1678"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0.85(0,2.5)</w:t>
            </w:r>
          </w:p>
        </w:tc>
        <w:tc>
          <w:tcPr>
            <w:tcW w:w="1669"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bl>
    <w:p w:rsidR="000A3755" w:rsidRPr="00653278" w:rsidRDefault="000A3755" w:rsidP="005950A5">
      <w:pPr>
        <w:spacing w:line="480" w:lineRule="auto"/>
        <w:rPr>
          <w:rFonts w:ascii="Arial" w:hAnsi="Arial" w:cs="Arial"/>
        </w:rPr>
      </w:pPr>
    </w:p>
    <w:sectPr w:rsidR="000A3755" w:rsidRPr="0065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FF6"/>
    <w:multiLevelType w:val="hybridMultilevel"/>
    <w:tmpl w:val="E4CE52A6"/>
    <w:lvl w:ilvl="0" w:tplc="5994F8F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34676"/>
    <w:multiLevelType w:val="multilevel"/>
    <w:tmpl w:val="B3A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8F"/>
    <w:rsid w:val="00000D3F"/>
    <w:rsid w:val="00005A42"/>
    <w:rsid w:val="00005C2B"/>
    <w:rsid w:val="00023F39"/>
    <w:rsid w:val="00027BE7"/>
    <w:rsid w:val="000465DC"/>
    <w:rsid w:val="00060FD8"/>
    <w:rsid w:val="00091E08"/>
    <w:rsid w:val="000978E8"/>
    <w:rsid w:val="000A3755"/>
    <w:rsid w:val="000F6E82"/>
    <w:rsid w:val="001111B5"/>
    <w:rsid w:val="00111AC7"/>
    <w:rsid w:val="00134879"/>
    <w:rsid w:val="0014101D"/>
    <w:rsid w:val="0015394B"/>
    <w:rsid w:val="0015468A"/>
    <w:rsid w:val="00176C4E"/>
    <w:rsid w:val="00187B69"/>
    <w:rsid w:val="001C6012"/>
    <w:rsid w:val="001D6099"/>
    <w:rsid w:val="0024113D"/>
    <w:rsid w:val="00246B28"/>
    <w:rsid w:val="00270131"/>
    <w:rsid w:val="00274D90"/>
    <w:rsid w:val="002924B4"/>
    <w:rsid w:val="002A338F"/>
    <w:rsid w:val="002C0B52"/>
    <w:rsid w:val="002E4020"/>
    <w:rsid w:val="002E6A4D"/>
    <w:rsid w:val="002F5B67"/>
    <w:rsid w:val="00336973"/>
    <w:rsid w:val="00356ABB"/>
    <w:rsid w:val="003714C8"/>
    <w:rsid w:val="003751B7"/>
    <w:rsid w:val="00380B79"/>
    <w:rsid w:val="0039588D"/>
    <w:rsid w:val="003B710A"/>
    <w:rsid w:val="0040739F"/>
    <w:rsid w:val="004211B4"/>
    <w:rsid w:val="00423268"/>
    <w:rsid w:val="00424409"/>
    <w:rsid w:val="00424E8F"/>
    <w:rsid w:val="00455C1B"/>
    <w:rsid w:val="0046293E"/>
    <w:rsid w:val="00465020"/>
    <w:rsid w:val="00472D9C"/>
    <w:rsid w:val="00483F7B"/>
    <w:rsid w:val="004A4F91"/>
    <w:rsid w:val="004A59C5"/>
    <w:rsid w:val="004B1945"/>
    <w:rsid w:val="0052661C"/>
    <w:rsid w:val="0053271B"/>
    <w:rsid w:val="00564967"/>
    <w:rsid w:val="00565D4A"/>
    <w:rsid w:val="005752EC"/>
    <w:rsid w:val="00583D8F"/>
    <w:rsid w:val="00590DDE"/>
    <w:rsid w:val="005910C9"/>
    <w:rsid w:val="005944C5"/>
    <w:rsid w:val="005950A5"/>
    <w:rsid w:val="0059670D"/>
    <w:rsid w:val="005978B3"/>
    <w:rsid w:val="005B0EF6"/>
    <w:rsid w:val="005D79BC"/>
    <w:rsid w:val="006120DE"/>
    <w:rsid w:val="006209BF"/>
    <w:rsid w:val="00646848"/>
    <w:rsid w:val="00652CA3"/>
    <w:rsid w:val="00653278"/>
    <w:rsid w:val="0068406F"/>
    <w:rsid w:val="00685BB7"/>
    <w:rsid w:val="0069329D"/>
    <w:rsid w:val="006B6ABB"/>
    <w:rsid w:val="006B77AA"/>
    <w:rsid w:val="006D3ED7"/>
    <w:rsid w:val="007311DC"/>
    <w:rsid w:val="00737442"/>
    <w:rsid w:val="007432A3"/>
    <w:rsid w:val="00777D8A"/>
    <w:rsid w:val="007C160E"/>
    <w:rsid w:val="007F015F"/>
    <w:rsid w:val="007F7216"/>
    <w:rsid w:val="00812CD9"/>
    <w:rsid w:val="00816350"/>
    <w:rsid w:val="0082177C"/>
    <w:rsid w:val="00825B7B"/>
    <w:rsid w:val="00835ADF"/>
    <w:rsid w:val="00856BD9"/>
    <w:rsid w:val="008801EB"/>
    <w:rsid w:val="00894E24"/>
    <w:rsid w:val="008C525B"/>
    <w:rsid w:val="008F45D4"/>
    <w:rsid w:val="00905F21"/>
    <w:rsid w:val="009064A1"/>
    <w:rsid w:val="00927561"/>
    <w:rsid w:val="00933F58"/>
    <w:rsid w:val="009474B6"/>
    <w:rsid w:val="00972330"/>
    <w:rsid w:val="0097243D"/>
    <w:rsid w:val="00996CF7"/>
    <w:rsid w:val="00997F33"/>
    <w:rsid w:val="009C2260"/>
    <w:rsid w:val="009C22AB"/>
    <w:rsid w:val="009F6063"/>
    <w:rsid w:val="00A31908"/>
    <w:rsid w:val="00A469DD"/>
    <w:rsid w:val="00A5628D"/>
    <w:rsid w:val="00A620E3"/>
    <w:rsid w:val="00A71CCD"/>
    <w:rsid w:val="00A76DDD"/>
    <w:rsid w:val="00AA5A61"/>
    <w:rsid w:val="00AC280D"/>
    <w:rsid w:val="00AC364C"/>
    <w:rsid w:val="00AD2D05"/>
    <w:rsid w:val="00B10626"/>
    <w:rsid w:val="00B126E0"/>
    <w:rsid w:val="00B21DA9"/>
    <w:rsid w:val="00B50594"/>
    <w:rsid w:val="00B60AA5"/>
    <w:rsid w:val="00B741A5"/>
    <w:rsid w:val="00BA7941"/>
    <w:rsid w:val="00BB448B"/>
    <w:rsid w:val="00C1089A"/>
    <w:rsid w:val="00C12CB2"/>
    <w:rsid w:val="00C207E4"/>
    <w:rsid w:val="00C3045C"/>
    <w:rsid w:val="00C364C4"/>
    <w:rsid w:val="00C75F12"/>
    <w:rsid w:val="00CA092C"/>
    <w:rsid w:val="00CD51AB"/>
    <w:rsid w:val="00CF537E"/>
    <w:rsid w:val="00CF5DE6"/>
    <w:rsid w:val="00D1493E"/>
    <w:rsid w:val="00D1725B"/>
    <w:rsid w:val="00D42E23"/>
    <w:rsid w:val="00D62B67"/>
    <w:rsid w:val="00D76A45"/>
    <w:rsid w:val="00D921BF"/>
    <w:rsid w:val="00D944DA"/>
    <w:rsid w:val="00DA5D6B"/>
    <w:rsid w:val="00DB3F68"/>
    <w:rsid w:val="00DC58E1"/>
    <w:rsid w:val="00DD441F"/>
    <w:rsid w:val="00DF1CE8"/>
    <w:rsid w:val="00E1415D"/>
    <w:rsid w:val="00E15DC9"/>
    <w:rsid w:val="00E26107"/>
    <w:rsid w:val="00E26760"/>
    <w:rsid w:val="00E41822"/>
    <w:rsid w:val="00E76A47"/>
    <w:rsid w:val="00E87875"/>
    <w:rsid w:val="00E921B6"/>
    <w:rsid w:val="00EA1B56"/>
    <w:rsid w:val="00ED3335"/>
    <w:rsid w:val="00F010A6"/>
    <w:rsid w:val="00F20FC7"/>
    <w:rsid w:val="00F249BD"/>
    <w:rsid w:val="00F7088D"/>
    <w:rsid w:val="00F815DC"/>
    <w:rsid w:val="00FB2128"/>
    <w:rsid w:val="00FC3B9B"/>
    <w:rsid w:val="00FD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E7FE-3B05-47C2-92F3-6A48D45E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A5"/>
    <w:rPr>
      <w:b/>
      <w:bCs/>
    </w:rPr>
  </w:style>
  <w:style w:type="paragraph" w:styleId="ListParagraph">
    <w:name w:val="List Paragraph"/>
    <w:basedOn w:val="Normal"/>
    <w:uiPriority w:val="34"/>
    <w:qFormat/>
    <w:rsid w:val="005950A5"/>
    <w:pPr>
      <w:ind w:left="720"/>
      <w:contextualSpacing/>
    </w:pPr>
  </w:style>
  <w:style w:type="paragraph" w:styleId="NoSpacing">
    <w:name w:val="No Spacing"/>
    <w:uiPriority w:val="1"/>
    <w:qFormat/>
    <w:rsid w:val="00027BE7"/>
    <w:pPr>
      <w:spacing w:after="0" w:line="240" w:lineRule="auto"/>
    </w:pPr>
  </w:style>
  <w:style w:type="character" w:styleId="Hyperlink">
    <w:name w:val="Hyperlink"/>
    <w:basedOn w:val="DefaultParagraphFont"/>
    <w:uiPriority w:val="99"/>
    <w:unhideWhenUsed/>
    <w:rsid w:val="000F6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8740">
      <w:bodyDiv w:val="1"/>
      <w:marLeft w:val="0"/>
      <w:marRight w:val="0"/>
      <w:marTop w:val="0"/>
      <w:marBottom w:val="0"/>
      <w:divBdr>
        <w:top w:val="none" w:sz="0" w:space="0" w:color="auto"/>
        <w:left w:val="none" w:sz="0" w:space="0" w:color="auto"/>
        <w:bottom w:val="none" w:sz="0" w:space="0" w:color="auto"/>
        <w:right w:val="none" w:sz="0" w:space="0" w:color="auto"/>
      </w:divBdr>
    </w:div>
    <w:div w:id="133052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20224382">
          <w:marLeft w:val="0"/>
          <w:marRight w:val="0"/>
          <w:marTop w:val="0"/>
          <w:marBottom w:val="0"/>
          <w:divBdr>
            <w:top w:val="none" w:sz="0" w:space="0" w:color="auto"/>
            <w:left w:val="none" w:sz="0" w:space="0" w:color="auto"/>
            <w:bottom w:val="none" w:sz="0" w:space="0" w:color="auto"/>
            <w:right w:val="none" w:sz="0" w:space="0" w:color="auto"/>
          </w:divBdr>
          <w:divsChild>
            <w:div w:id="135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8026">
      <w:bodyDiv w:val="1"/>
      <w:marLeft w:val="120"/>
      <w:marRight w:val="120"/>
      <w:marTop w:val="0"/>
      <w:marBottom w:val="0"/>
      <w:divBdr>
        <w:top w:val="none" w:sz="0" w:space="0" w:color="auto"/>
        <w:left w:val="none" w:sz="0" w:space="0" w:color="auto"/>
        <w:bottom w:val="none" w:sz="0" w:space="0" w:color="auto"/>
        <w:right w:val="none" w:sz="0" w:space="0" w:color="auto"/>
      </w:divBdr>
      <w:divsChild>
        <w:div w:id="1220705037">
          <w:marLeft w:val="0"/>
          <w:marRight w:val="0"/>
          <w:marTop w:val="0"/>
          <w:marBottom w:val="0"/>
          <w:divBdr>
            <w:top w:val="none" w:sz="0" w:space="0" w:color="auto"/>
            <w:left w:val="none" w:sz="0" w:space="0" w:color="auto"/>
            <w:bottom w:val="none" w:sz="0" w:space="0" w:color="auto"/>
            <w:right w:val="none" w:sz="0" w:space="0" w:color="auto"/>
          </w:divBdr>
          <w:divsChild>
            <w:div w:id="150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779">
      <w:bodyDiv w:val="1"/>
      <w:marLeft w:val="0"/>
      <w:marRight w:val="0"/>
      <w:marTop w:val="0"/>
      <w:marBottom w:val="0"/>
      <w:divBdr>
        <w:top w:val="none" w:sz="0" w:space="0" w:color="auto"/>
        <w:left w:val="none" w:sz="0" w:space="0" w:color="auto"/>
        <w:bottom w:val="none" w:sz="0" w:space="0" w:color="auto"/>
        <w:right w:val="none" w:sz="0" w:space="0" w:color="auto"/>
      </w:divBdr>
    </w:div>
    <w:div w:id="1914586456">
      <w:bodyDiv w:val="1"/>
      <w:marLeft w:val="0"/>
      <w:marRight w:val="0"/>
      <w:marTop w:val="0"/>
      <w:marBottom w:val="0"/>
      <w:divBdr>
        <w:top w:val="none" w:sz="0" w:space="0" w:color="auto"/>
        <w:left w:val="none" w:sz="0" w:space="0" w:color="auto"/>
        <w:bottom w:val="none" w:sz="0" w:space="0" w:color="auto"/>
        <w:right w:val="none" w:sz="0" w:space="0" w:color="auto"/>
      </w:divBdr>
    </w:div>
    <w:div w:id="1928660022">
      <w:bodyDiv w:val="1"/>
      <w:marLeft w:val="120"/>
      <w:marRight w:val="120"/>
      <w:marTop w:val="0"/>
      <w:marBottom w:val="0"/>
      <w:divBdr>
        <w:top w:val="none" w:sz="0" w:space="0" w:color="auto"/>
        <w:left w:val="none" w:sz="0" w:space="0" w:color="auto"/>
        <w:bottom w:val="none" w:sz="0" w:space="0" w:color="auto"/>
        <w:right w:val="none" w:sz="0" w:space="0" w:color="auto"/>
      </w:divBdr>
      <w:divsChild>
        <w:div w:id="1700274678">
          <w:marLeft w:val="0"/>
          <w:marRight w:val="0"/>
          <w:marTop w:val="0"/>
          <w:marBottom w:val="0"/>
          <w:divBdr>
            <w:top w:val="none" w:sz="0" w:space="0" w:color="auto"/>
            <w:left w:val="none" w:sz="0" w:space="0" w:color="auto"/>
            <w:bottom w:val="none" w:sz="0" w:space="0" w:color="auto"/>
            <w:right w:val="none" w:sz="0" w:space="0" w:color="auto"/>
          </w:divBdr>
          <w:divsChild>
            <w:div w:id="1634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6624-UCD/bios6624-r-weber" TargetMode="External"/><Relationship Id="rId3" Type="http://schemas.openxmlformats.org/officeDocument/2006/relationships/settings" Target="settings.xml"/><Relationship Id="rId7" Type="http://schemas.openxmlformats.org/officeDocument/2006/relationships/hyperlink" Target="https://github.com/BIOS6624-UCD/bios6624-zhwr7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IOS6624-UCD/bios6624-lukepatte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52</cp:revision>
  <dcterms:created xsi:type="dcterms:W3CDTF">2018-11-25T22:19:00Z</dcterms:created>
  <dcterms:modified xsi:type="dcterms:W3CDTF">2018-11-26T19:26:00Z</dcterms:modified>
</cp:coreProperties>
</file>