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9CEB4">
      <w:pPr>
        <w:spacing w:line="440" w:lineRule="exact"/>
        <w:rPr>
          <w:rFonts w:hint="eastAsia" w:ascii="宋体" w:hAnsi="宋体" w:eastAsia="宋体"/>
          <w:b/>
          <w:sz w:val="28"/>
          <w:szCs w:val="30"/>
          <w:highlight w:val="none"/>
          <w:lang w:eastAsia="zh-CN"/>
        </w:rPr>
      </w:pPr>
      <w:r>
        <w:rPr>
          <w:rFonts w:hint="eastAsia" w:ascii="宋体" w:hAnsi="宋体"/>
          <w:b/>
          <w:sz w:val="28"/>
          <w:szCs w:val="30"/>
          <w:highlight w:val="none"/>
        </w:rPr>
        <w:t>招标编号</w:t>
      </w:r>
      <w:r>
        <w:rPr>
          <w:rFonts w:hint="eastAsia" w:ascii="宋体" w:hAnsi="宋体" w:eastAsia="宋体" w:cs="Times New Roman"/>
          <w:b/>
          <w:sz w:val="28"/>
          <w:szCs w:val="30"/>
          <w:highlight w:val="none"/>
        </w:rPr>
        <w:t>：</w:t>
      </w:r>
      <w:r>
        <w:rPr>
          <w:rFonts w:hint="eastAsia" w:ascii="宋体" w:hAnsi="宋体" w:cs="Times New Roman"/>
          <w:b/>
          <w:sz w:val="28"/>
          <w:szCs w:val="30"/>
          <w:highlight w:val="none"/>
          <w:lang w:eastAsia="zh-CN"/>
        </w:rPr>
        <w:t>HBXT-2024-12433</w:t>
      </w:r>
    </w:p>
    <w:p w14:paraId="46C02475">
      <w:pPr>
        <w:spacing w:line="360" w:lineRule="auto"/>
        <w:ind w:firstLine="560"/>
        <w:rPr>
          <w:rFonts w:ascii="宋体" w:hAnsi="宋体" w:cs="宋体"/>
          <w:sz w:val="28"/>
          <w:szCs w:val="28"/>
          <w:highlight w:val="none"/>
        </w:rPr>
      </w:pPr>
    </w:p>
    <w:p w14:paraId="414EA032">
      <w:pPr>
        <w:spacing w:line="360" w:lineRule="auto"/>
        <w:ind w:firstLine="560"/>
        <w:rPr>
          <w:rFonts w:ascii="宋体" w:hAnsi="宋体" w:cs="宋体"/>
          <w:sz w:val="28"/>
          <w:szCs w:val="28"/>
          <w:highlight w:val="none"/>
        </w:rPr>
      </w:pPr>
    </w:p>
    <w:p w14:paraId="0B29D01A">
      <w:pPr>
        <w:spacing w:line="360" w:lineRule="auto"/>
        <w:ind w:firstLine="560"/>
        <w:rPr>
          <w:rFonts w:ascii="宋体" w:hAnsi="宋体" w:cs="宋体"/>
          <w:sz w:val="28"/>
          <w:szCs w:val="28"/>
          <w:highlight w:val="none"/>
        </w:rPr>
      </w:pPr>
    </w:p>
    <w:p w14:paraId="733C69FC">
      <w:pPr>
        <w:spacing w:line="360" w:lineRule="auto"/>
        <w:ind w:firstLine="560"/>
        <w:rPr>
          <w:rFonts w:ascii="宋体" w:hAnsi="宋体" w:cs="宋体"/>
          <w:sz w:val="28"/>
          <w:szCs w:val="28"/>
          <w:highlight w:val="none"/>
        </w:rPr>
      </w:pPr>
    </w:p>
    <w:p w14:paraId="471BB91A">
      <w:pPr>
        <w:spacing w:line="360" w:lineRule="auto"/>
        <w:ind w:firstLine="560"/>
        <w:rPr>
          <w:rFonts w:ascii="宋体" w:hAnsi="宋体" w:cs="宋体"/>
          <w:sz w:val="28"/>
          <w:szCs w:val="28"/>
          <w:highlight w:val="none"/>
        </w:rPr>
      </w:pPr>
    </w:p>
    <w:p w14:paraId="26E6175D">
      <w:pPr>
        <w:spacing w:line="360" w:lineRule="auto"/>
        <w:ind w:firstLine="560"/>
        <w:rPr>
          <w:rFonts w:ascii="宋体" w:hAnsi="宋体" w:cs="宋体"/>
          <w:b/>
          <w:szCs w:val="21"/>
          <w:highlight w:val="none"/>
          <w:u w:val="single"/>
        </w:rPr>
      </w:pPr>
    </w:p>
    <w:p w14:paraId="5E5D1024">
      <w:pPr>
        <w:spacing w:after="120" w:line="360" w:lineRule="atLeast"/>
        <w:jc w:val="center"/>
        <w:rPr>
          <w:rFonts w:hint="eastAsia" w:ascii="宋体" w:hAnsi="宋体" w:eastAsia="宋体" w:cs="宋体"/>
          <w:b/>
          <w:sz w:val="32"/>
          <w:szCs w:val="32"/>
          <w:highlight w:val="none"/>
          <w:lang w:eastAsia="zh-CN"/>
        </w:rPr>
      </w:pPr>
      <w:r>
        <w:rPr>
          <w:rFonts w:hint="eastAsia" w:ascii="宋体" w:hAnsi="宋体"/>
          <w:b/>
          <w:sz w:val="32"/>
          <w:szCs w:val="32"/>
          <w:highlight w:val="none"/>
          <w:lang w:eastAsia="zh-CN"/>
        </w:rPr>
        <w:t>2024年中国电信湖北公司采控中心技术研发项目（第二次）</w:t>
      </w:r>
    </w:p>
    <w:p w14:paraId="175B103F">
      <w:pPr>
        <w:jc w:val="center"/>
        <w:rPr>
          <w:rFonts w:ascii="宋体" w:hAnsi="宋体" w:cs="宋体"/>
          <w:b/>
          <w:szCs w:val="21"/>
          <w:highlight w:val="none"/>
          <w:u w:val="single"/>
        </w:rPr>
      </w:pPr>
    </w:p>
    <w:p w14:paraId="680C5A4F">
      <w:pPr>
        <w:spacing w:after="120" w:line="360" w:lineRule="atLeast"/>
        <w:jc w:val="center"/>
        <w:rPr>
          <w:rFonts w:ascii="宋体" w:hAnsi="宋体" w:cs="宋体"/>
          <w:b/>
          <w:sz w:val="36"/>
          <w:szCs w:val="36"/>
          <w:highlight w:val="none"/>
        </w:rPr>
      </w:pPr>
      <w:r>
        <w:rPr>
          <w:rFonts w:hint="eastAsia" w:ascii="宋体" w:hAnsi="宋体" w:cs="宋体"/>
          <w:b/>
          <w:sz w:val="36"/>
          <w:szCs w:val="36"/>
          <w:highlight w:val="none"/>
        </w:rPr>
        <w:t>招标文件</w:t>
      </w:r>
    </w:p>
    <w:p w14:paraId="6CFFEAE0">
      <w:pPr>
        <w:spacing w:after="120" w:line="360" w:lineRule="atLeast"/>
        <w:jc w:val="center"/>
        <w:rPr>
          <w:rFonts w:ascii="宋体" w:hAnsi="宋体" w:cs="宋体"/>
          <w:b/>
          <w:sz w:val="32"/>
          <w:szCs w:val="32"/>
          <w:highlight w:val="none"/>
        </w:rPr>
      </w:pPr>
    </w:p>
    <w:p w14:paraId="47EA11DA">
      <w:pPr>
        <w:spacing w:after="120" w:line="360" w:lineRule="atLeast"/>
        <w:rPr>
          <w:rFonts w:ascii="宋体" w:hAnsi="宋体" w:cs="宋体"/>
          <w:b/>
          <w:sz w:val="32"/>
          <w:szCs w:val="32"/>
          <w:highlight w:val="none"/>
        </w:rPr>
      </w:pPr>
    </w:p>
    <w:p w14:paraId="5E969F21">
      <w:pPr>
        <w:spacing w:after="120" w:line="360" w:lineRule="atLeast"/>
        <w:jc w:val="center"/>
        <w:rPr>
          <w:rFonts w:ascii="宋体" w:hAnsi="宋体" w:cs="宋体"/>
          <w:b/>
          <w:sz w:val="32"/>
          <w:szCs w:val="32"/>
          <w:highlight w:val="none"/>
        </w:rPr>
      </w:pPr>
    </w:p>
    <w:p w14:paraId="7BBA5B07">
      <w:pPr>
        <w:spacing w:after="120" w:line="360" w:lineRule="atLeast"/>
        <w:jc w:val="center"/>
        <w:rPr>
          <w:rFonts w:ascii="宋体" w:hAnsi="宋体" w:cs="宋体"/>
          <w:b/>
          <w:sz w:val="32"/>
          <w:szCs w:val="32"/>
          <w:highlight w:val="none"/>
        </w:rPr>
      </w:pPr>
    </w:p>
    <w:p w14:paraId="245752BE">
      <w:pPr>
        <w:spacing w:after="120" w:line="360" w:lineRule="atLeast"/>
        <w:jc w:val="center"/>
        <w:rPr>
          <w:rFonts w:ascii="宋体" w:hAnsi="宋体" w:cs="宋体"/>
          <w:b/>
          <w:sz w:val="32"/>
          <w:szCs w:val="32"/>
          <w:highlight w:val="none"/>
        </w:rPr>
      </w:pPr>
    </w:p>
    <w:p w14:paraId="0F42B108">
      <w:pPr>
        <w:spacing w:line="600" w:lineRule="exact"/>
        <w:jc w:val="center"/>
        <w:rPr>
          <w:rFonts w:hint="eastAsia" w:ascii="宋体" w:hAnsi="宋体" w:eastAsia="宋体"/>
          <w:b/>
          <w:sz w:val="24"/>
          <w:highlight w:val="none"/>
          <w:lang w:eastAsia="zh-CN"/>
        </w:rPr>
      </w:pPr>
      <w:r>
        <w:rPr>
          <w:rFonts w:ascii="宋体" w:hAnsi="宋体"/>
          <w:b/>
          <w:sz w:val="24"/>
          <w:highlight w:val="none"/>
        </w:rPr>
        <w:t>招标人：</w:t>
      </w:r>
      <w:r>
        <w:rPr>
          <w:rFonts w:hint="eastAsia" w:ascii="宋体" w:hAnsi="宋体"/>
          <w:b/>
          <w:sz w:val="24"/>
          <w:highlight w:val="none"/>
          <w:u w:val="single"/>
          <w:lang w:eastAsia="zh-CN"/>
        </w:rPr>
        <w:t>中国电信股份有限公司湖北分公司</w:t>
      </w:r>
    </w:p>
    <w:p w14:paraId="216A8A2B">
      <w:pPr>
        <w:spacing w:line="600" w:lineRule="exact"/>
        <w:jc w:val="center"/>
        <w:rPr>
          <w:rFonts w:ascii="宋体" w:hAnsi="宋体"/>
          <w:b/>
          <w:sz w:val="24"/>
          <w:highlight w:val="none"/>
        </w:rPr>
      </w:pPr>
      <w:r>
        <w:rPr>
          <w:rFonts w:ascii="宋体" w:hAnsi="宋体"/>
          <w:b/>
          <w:sz w:val="24"/>
          <w:highlight w:val="none"/>
        </w:rPr>
        <w:t>招标</w:t>
      </w:r>
      <w:r>
        <w:rPr>
          <w:rFonts w:hint="eastAsia" w:ascii="宋体" w:hAnsi="宋体"/>
          <w:b/>
          <w:sz w:val="24"/>
          <w:highlight w:val="none"/>
        </w:rPr>
        <w:t>代理机构</w:t>
      </w:r>
      <w:r>
        <w:rPr>
          <w:rFonts w:ascii="宋体" w:hAnsi="宋体"/>
          <w:b/>
          <w:sz w:val="24"/>
          <w:highlight w:val="none"/>
        </w:rPr>
        <w:t>：</w:t>
      </w:r>
      <w:r>
        <w:rPr>
          <w:rFonts w:hint="eastAsia" w:ascii="宋体" w:hAnsi="宋体"/>
          <w:b/>
          <w:sz w:val="24"/>
          <w:highlight w:val="none"/>
          <w:u w:val="single"/>
        </w:rPr>
        <w:t>湖北信通通信有限公司</w:t>
      </w:r>
      <w:r>
        <w:rPr>
          <w:rFonts w:ascii="宋体" w:hAnsi="宋体"/>
          <w:b/>
          <w:sz w:val="24"/>
          <w:highlight w:val="none"/>
        </w:rPr>
        <w:t>（盖章）</w:t>
      </w:r>
    </w:p>
    <w:p w14:paraId="2D094150">
      <w:pPr>
        <w:spacing w:line="600" w:lineRule="exact"/>
        <w:ind w:firstLine="2640" w:firstLineChars="1100"/>
        <w:rPr>
          <w:rFonts w:ascii="宋体" w:hAnsi="宋体"/>
          <w:b/>
          <w:sz w:val="24"/>
          <w:highlight w:val="none"/>
        </w:rPr>
      </w:pPr>
      <w:r>
        <w:rPr>
          <w:rFonts w:hint="eastAsia" w:ascii="宋体" w:hAnsi="宋体"/>
          <w:b/>
          <w:sz w:val="24"/>
          <w:highlight w:val="none"/>
          <w:u w:val="single"/>
          <w:lang w:val="en-US" w:eastAsia="zh-CN"/>
        </w:rPr>
        <w:t>2024</w:t>
      </w:r>
      <w:r>
        <w:rPr>
          <w:rFonts w:ascii="宋体" w:hAnsi="宋体"/>
          <w:b/>
          <w:sz w:val="24"/>
          <w:highlight w:val="none"/>
        </w:rPr>
        <w:t>年</w:t>
      </w:r>
      <w:r>
        <w:rPr>
          <w:rFonts w:hint="eastAsia" w:ascii="宋体" w:hAnsi="宋体"/>
          <w:b/>
          <w:sz w:val="24"/>
          <w:highlight w:val="none"/>
          <w:lang w:val="en-US" w:eastAsia="zh-CN"/>
        </w:rPr>
        <w:t>08</w:t>
      </w:r>
      <w:r>
        <w:rPr>
          <w:rFonts w:ascii="宋体" w:hAnsi="宋体"/>
          <w:b/>
          <w:sz w:val="24"/>
          <w:highlight w:val="none"/>
        </w:rPr>
        <w:t>月</w:t>
      </w:r>
      <w:r>
        <w:rPr>
          <w:rFonts w:hint="eastAsia" w:ascii="宋体" w:hAnsi="宋体"/>
          <w:b/>
          <w:sz w:val="24"/>
          <w:highlight w:val="none"/>
          <w:u w:val="single"/>
          <w:lang w:val="en-US" w:eastAsia="zh-CN"/>
        </w:rPr>
        <w:t>05</w:t>
      </w:r>
      <w:r>
        <w:rPr>
          <w:rFonts w:ascii="宋体" w:hAnsi="宋体"/>
          <w:b/>
          <w:sz w:val="24"/>
          <w:highlight w:val="none"/>
        </w:rPr>
        <w:t>日</w:t>
      </w:r>
    </w:p>
    <w:p w14:paraId="11642080">
      <w:pPr>
        <w:spacing w:after="120" w:line="360" w:lineRule="atLeast"/>
        <w:jc w:val="center"/>
        <w:rPr>
          <w:rFonts w:ascii="宋体" w:hAnsi="宋体" w:cs="宋体"/>
          <w:sz w:val="24"/>
          <w:highlight w:val="none"/>
        </w:rPr>
        <w:sectPr>
          <w:headerReference r:id="rId5" w:type="first"/>
          <w:headerReference r:id="rId3" w:type="default"/>
          <w:footerReference r:id="rId6" w:type="default"/>
          <w:headerReference r:id="rId4" w:type="even"/>
          <w:pgSz w:w="11906" w:h="16838"/>
          <w:pgMar w:top="1440" w:right="1701" w:bottom="1440" w:left="1701" w:header="851" w:footer="992" w:gutter="0"/>
          <w:pgNumType w:fmt="decimal"/>
          <w:cols w:space="720" w:num="1"/>
          <w:docGrid w:type="linesAndChars" w:linePitch="380" w:charSpace="0"/>
        </w:sectPr>
      </w:pPr>
    </w:p>
    <w:p w14:paraId="1D8BEB59">
      <w:pPr>
        <w:spacing w:after="120" w:line="360" w:lineRule="atLeast"/>
        <w:jc w:val="center"/>
        <w:rPr>
          <w:rFonts w:ascii="宋体" w:hAnsi="宋体" w:cs="宋体"/>
          <w:b/>
          <w:sz w:val="24"/>
          <w:highlight w:val="none"/>
        </w:rPr>
      </w:pPr>
      <w:r>
        <w:rPr>
          <w:rFonts w:hint="eastAsia" w:ascii="宋体" w:hAnsi="宋体" w:cs="宋体"/>
          <w:b/>
          <w:sz w:val="24"/>
          <w:highlight w:val="none"/>
        </w:rPr>
        <w:t>目  录</w:t>
      </w:r>
    </w:p>
    <w:p w14:paraId="4777F8F6">
      <w:pPr>
        <w:pStyle w:val="32"/>
        <w:tabs>
          <w:tab w:val="right" w:leader="dot" w:pos="8504"/>
          <w:tab w:val="clear" w:pos="567"/>
          <w:tab w:val="clear" w:pos="709"/>
          <w:tab w:val="clear" w:pos="8505"/>
        </w:tabs>
      </w:pPr>
      <w:r>
        <w:rPr>
          <w:rFonts w:asciiTheme="minorEastAsia" w:hAnsiTheme="minorEastAsia" w:eastAsiaTheme="minorEastAsia"/>
          <w:bCs/>
          <w:szCs w:val="21"/>
          <w:highlight w:val="none"/>
        </w:rPr>
        <w:fldChar w:fldCharType="begin"/>
      </w:r>
      <w:r>
        <w:rPr>
          <w:rFonts w:asciiTheme="minorEastAsia" w:hAnsiTheme="minorEastAsia" w:eastAsiaTheme="minorEastAsia"/>
          <w:bCs/>
          <w:szCs w:val="21"/>
          <w:highlight w:val="none"/>
        </w:rPr>
        <w:instrText xml:space="preserve"> TOC \o "1-3" \h \z \u </w:instrText>
      </w:r>
      <w:r>
        <w:rPr>
          <w:rFonts w:asciiTheme="minorEastAsia" w:hAnsiTheme="minorEastAsia" w:eastAsiaTheme="minorEastAsia"/>
          <w:bCs/>
          <w:szCs w:val="21"/>
          <w:highlight w:val="none"/>
        </w:rPr>
        <w:fldChar w:fldCharType="separate"/>
      </w:r>
      <w:r>
        <w:rPr>
          <w:rFonts w:asciiTheme="minorEastAsia" w:hAnsiTheme="minorEastAsia" w:eastAsiaTheme="minorEastAsia"/>
          <w:bCs/>
          <w:szCs w:val="21"/>
          <w:highlight w:val="none"/>
        </w:rPr>
        <w:fldChar w:fldCharType="begin"/>
      </w:r>
      <w:r>
        <w:rPr>
          <w:rFonts w:asciiTheme="minorEastAsia" w:hAnsiTheme="minorEastAsia" w:eastAsiaTheme="minorEastAsia"/>
          <w:bCs/>
          <w:szCs w:val="21"/>
          <w:highlight w:val="none"/>
        </w:rPr>
        <w:instrText xml:space="preserve"> HYPERLINK \l _Toc24598 </w:instrText>
      </w:r>
      <w:r>
        <w:rPr>
          <w:rFonts w:asciiTheme="minorEastAsia" w:hAnsiTheme="minorEastAsia" w:eastAsiaTheme="minorEastAsia"/>
          <w:bCs/>
          <w:szCs w:val="21"/>
          <w:highlight w:val="none"/>
        </w:rPr>
        <w:fldChar w:fldCharType="separate"/>
      </w:r>
      <w:r>
        <w:rPr>
          <w:rFonts w:hint="eastAsia" w:ascii="宋体" w:hAnsi="宋体" w:eastAsia="宋体" w:cs="宋体"/>
          <w:bCs w:val="0"/>
          <w:kern w:val="0"/>
          <w:szCs w:val="28"/>
          <w:highlight w:val="none"/>
        </w:rPr>
        <w:t>第一章  招标公告</w:t>
      </w:r>
      <w:r>
        <w:tab/>
      </w:r>
      <w:r>
        <w:fldChar w:fldCharType="begin"/>
      </w:r>
      <w:r>
        <w:instrText xml:space="preserve"> PAGEREF _Toc24598 \h </w:instrText>
      </w:r>
      <w:r>
        <w:fldChar w:fldCharType="separate"/>
      </w:r>
      <w:r>
        <w:t>1</w:t>
      </w:r>
      <w:r>
        <w:fldChar w:fldCharType="end"/>
      </w:r>
      <w:r>
        <w:rPr>
          <w:rFonts w:asciiTheme="minorEastAsia" w:hAnsiTheme="minorEastAsia" w:eastAsiaTheme="minorEastAsia"/>
          <w:bCs/>
          <w:szCs w:val="21"/>
          <w:highlight w:val="none"/>
        </w:rPr>
        <w:fldChar w:fldCharType="end"/>
      </w:r>
    </w:p>
    <w:p w14:paraId="55BD2E2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_Toc25571 </w:instrText>
      </w:r>
      <w:r>
        <w:rPr>
          <w:rFonts w:asciiTheme="minorEastAsia" w:hAnsiTheme="minorEastAsia" w:eastAsiaTheme="minorEastAsia"/>
          <w:szCs w:val="21"/>
          <w:highlight w:val="none"/>
        </w:rPr>
        <w:fldChar w:fldCharType="separate"/>
      </w:r>
      <w:r>
        <w:rPr>
          <w:rFonts w:hint="eastAsia" w:ascii="宋体" w:hAnsi="宋体" w:eastAsia="宋体" w:cs="宋体"/>
          <w:bCs w:val="0"/>
          <w:kern w:val="0"/>
          <w:szCs w:val="28"/>
          <w:highlight w:val="none"/>
        </w:rPr>
        <w:t>第二章投标人须知</w:t>
      </w:r>
      <w:r>
        <w:tab/>
      </w:r>
      <w:r>
        <w:fldChar w:fldCharType="begin"/>
      </w:r>
      <w:r>
        <w:instrText xml:space="preserve"> PAGEREF _Toc25571 \h </w:instrText>
      </w:r>
      <w:r>
        <w:fldChar w:fldCharType="separate"/>
      </w:r>
      <w:r>
        <w:t>6</w:t>
      </w:r>
      <w:r>
        <w:fldChar w:fldCharType="end"/>
      </w:r>
      <w:r>
        <w:rPr>
          <w:rFonts w:asciiTheme="minorEastAsia" w:hAnsiTheme="minorEastAsia" w:eastAsiaTheme="minorEastAsia"/>
          <w:szCs w:val="21"/>
          <w:highlight w:val="none"/>
        </w:rPr>
        <w:fldChar w:fldCharType="end"/>
      </w:r>
    </w:p>
    <w:p w14:paraId="00AB28AF">
      <w:pPr>
        <w:pStyle w:val="37"/>
        <w:tabs>
          <w:tab w:val="right" w:leader="dot" w:pos="8504"/>
          <w:tab w:val="clear" w:pos="567"/>
          <w:tab w:val="clear" w:pos="8505"/>
          <w:tab w:val="clear" w:pos="9628"/>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_Toc14320 </w:instrText>
      </w:r>
      <w:r>
        <w:rPr>
          <w:rFonts w:asciiTheme="minorEastAsia" w:hAnsiTheme="minorEastAsia" w:eastAsiaTheme="minorEastAsia"/>
          <w:szCs w:val="21"/>
          <w:highlight w:val="none"/>
        </w:rPr>
        <w:fldChar w:fldCharType="separate"/>
      </w:r>
      <w:r>
        <w:rPr>
          <w:rFonts w:hint="eastAsia" w:ascii="宋体" w:hAnsi="宋体" w:eastAsia="宋体" w:cs="宋体"/>
          <w:bCs w:val="0"/>
          <w:szCs w:val="24"/>
          <w:highlight w:val="none"/>
        </w:rPr>
        <w:t>投标人须知前附表</w:t>
      </w:r>
      <w:r>
        <w:tab/>
      </w:r>
      <w:r>
        <w:fldChar w:fldCharType="begin"/>
      </w:r>
      <w:r>
        <w:instrText xml:space="preserve"> PAGEREF _Toc14320 \h </w:instrText>
      </w:r>
      <w:r>
        <w:fldChar w:fldCharType="separate"/>
      </w:r>
      <w:r>
        <w:t>6</w:t>
      </w:r>
      <w:r>
        <w:fldChar w:fldCharType="end"/>
      </w:r>
      <w:r>
        <w:rPr>
          <w:rFonts w:asciiTheme="minorEastAsia" w:hAnsiTheme="minorEastAsia" w:eastAsiaTheme="minorEastAsia"/>
          <w:szCs w:val="21"/>
          <w:highlight w:val="none"/>
        </w:rPr>
        <w:fldChar w:fldCharType="end"/>
      </w:r>
    </w:p>
    <w:p w14:paraId="0279F15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_Toc17309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1. </w:t>
      </w:r>
      <w:r>
        <w:rPr>
          <w:rFonts w:hint="eastAsia" w:asciiTheme="minorEastAsia" w:hAnsiTheme="minorEastAsia" w:eastAsiaTheme="minorEastAsia"/>
          <w:szCs w:val="28"/>
          <w:highlight w:val="none"/>
        </w:rPr>
        <w:t>总则</w:t>
      </w:r>
      <w:r>
        <w:tab/>
      </w:r>
      <w:r>
        <w:fldChar w:fldCharType="begin"/>
      </w:r>
      <w:r>
        <w:instrText xml:space="preserve"> PAGEREF _Toc17309 \h </w:instrText>
      </w:r>
      <w:r>
        <w:fldChar w:fldCharType="separate"/>
      </w:r>
      <w:r>
        <w:t>14</w:t>
      </w:r>
      <w:r>
        <w:fldChar w:fldCharType="end"/>
      </w:r>
      <w:r>
        <w:rPr>
          <w:rFonts w:asciiTheme="minorEastAsia" w:hAnsiTheme="minorEastAsia" w:eastAsiaTheme="minorEastAsia"/>
          <w:szCs w:val="21"/>
          <w:highlight w:val="none"/>
        </w:rPr>
        <w:fldChar w:fldCharType="end"/>
      </w:r>
    </w:p>
    <w:p w14:paraId="2CA8544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_Toc21406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1.1项目概况</w:t>
      </w:r>
      <w:r>
        <w:tab/>
      </w:r>
      <w:r>
        <w:fldChar w:fldCharType="begin"/>
      </w:r>
      <w:r>
        <w:instrText xml:space="preserve"> PAGEREF _Toc21406 \h </w:instrText>
      </w:r>
      <w:r>
        <w:fldChar w:fldCharType="separate"/>
      </w:r>
      <w:r>
        <w:t>14</w:t>
      </w:r>
      <w:r>
        <w:fldChar w:fldCharType="end"/>
      </w:r>
      <w:r>
        <w:rPr>
          <w:rFonts w:asciiTheme="minorEastAsia" w:hAnsiTheme="minorEastAsia" w:eastAsiaTheme="minorEastAsia"/>
          <w:szCs w:val="21"/>
          <w:highlight w:val="none"/>
        </w:rPr>
        <w:fldChar w:fldCharType="end"/>
      </w:r>
    </w:p>
    <w:p w14:paraId="460DCD7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_Toc29636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1.2</w:t>
      </w:r>
      <w:r>
        <w:rPr>
          <w:rFonts w:hint="eastAsia" w:asciiTheme="minorEastAsia" w:hAnsiTheme="minorEastAsia" w:eastAsiaTheme="minorEastAsia"/>
          <w:szCs w:val="24"/>
          <w:highlight w:val="none"/>
        </w:rPr>
        <w:t>资金来源和落实情况</w:t>
      </w:r>
      <w:r>
        <w:tab/>
      </w:r>
      <w:r>
        <w:fldChar w:fldCharType="begin"/>
      </w:r>
      <w:r>
        <w:instrText xml:space="preserve"> PAGEREF _Toc29636 \h </w:instrText>
      </w:r>
      <w:r>
        <w:fldChar w:fldCharType="separate"/>
      </w:r>
      <w:r>
        <w:t>14</w:t>
      </w:r>
      <w:r>
        <w:fldChar w:fldCharType="end"/>
      </w:r>
      <w:r>
        <w:rPr>
          <w:rFonts w:asciiTheme="minorEastAsia" w:hAnsiTheme="minorEastAsia" w:eastAsiaTheme="minorEastAsia"/>
          <w:szCs w:val="21"/>
          <w:highlight w:val="none"/>
        </w:rPr>
        <w:fldChar w:fldCharType="end"/>
      </w:r>
    </w:p>
    <w:p w14:paraId="032CF57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_Toc25175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1.3招标范围</w:t>
      </w:r>
      <w:r>
        <w:tab/>
      </w:r>
      <w:r>
        <w:fldChar w:fldCharType="begin"/>
      </w:r>
      <w:r>
        <w:instrText xml:space="preserve"> PAGEREF _Toc25175 \h </w:instrText>
      </w:r>
      <w:r>
        <w:fldChar w:fldCharType="separate"/>
      </w:r>
      <w:r>
        <w:t>14</w:t>
      </w:r>
      <w:r>
        <w:fldChar w:fldCharType="end"/>
      </w:r>
      <w:r>
        <w:rPr>
          <w:rFonts w:asciiTheme="minorEastAsia" w:hAnsiTheme="minorEastAsia" w:eastAsiaTheme="minorEastAsia"/>
          <w:szCs w:val="21"/>
          <w:highlight w:val="none"/>
        </w:rPr>
        <w:fldChar w:fldCharType="end"/>
      </w:r>
    </w:p>
    <w:p w14:paraId="30F4F17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_Toc22429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1.4标包划分</w:t>
      </w:r>
      <w:r>
        <w:tab/>
      </w:r>
      <w:r>
        <w:fldChar w:fldCharType="begin"/>
      </w:r>
      <w:r>
        <w:instrText xml:space="preserve"> PAGEREF _Toc22429 \h </w:instrText>
      </w:r>
      <w:r>
        <w:fldChar w:fldCharType="separate"/>
      </w:r>
      <w:r>
        <w:t>14</w:t>
      </w:r>
      <w:r>
        <w:fldChar w:fldCharType="end"/>
      </w:r>
      <w:r>
        <w:rPr>
          <w:rFonts w:asciiTheme="minorEastAsia" w:hAnsiTheme="minorEastAsia" w:eastAsiaTheme="minorEastAsia"/>
          <w:szCs w:val="21"/>
          <w:highlight w:val="none"/>
        </w:rPr>
        <w:fldChar w:fldCharType="end"/>
      </w:r>
    </w:p>
    <w:p w14:paraId="0A3641B6">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_Toc17657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1.5招标方式</w:t>
      </w:r>
      <w:r>
        <w:tab/>
      </w:r>
      <w:r>
        <w:fldChar w:fldCharType="begin"/>
      </w:r>
      <w:r>
        <w:instrText xml:space="preserve"> PAGEREF _Toc17657 \h </w:instrText>
      </w:r>
      <w:r>
        <w:fldChar w:fldCharType="separate"/>
      </w:r>
      <w:r>
        <w:t>14</w:t>
      </w:r>
      <w:r>
        <w:fldChar w:fldCharType="end"/>
      </w:r>
      <w:r>
        <w:rPr>
          <w:rFonts w:asciiTheme="minorEastAsia" w:hAnsiTheme="minorEastAsia" w:eastAsiaTheme="minorEastAsia"/>
          <w:szCs w:val="21"/>
          <w:highlight w:val="none"/>
        </w:rPr>
        <w:fldChar w:fldCharType="end"/>
      </w:r>
    </w:p>
    <w:p w14:paraId="13C5289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_Toc20055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1.6招标组织形式</w:t>
      </w:r>
      <w:r>
        <w:tab/>
      </w:r>
      <w:r>
        <w:fldChar w:fldCharType="begin"/>
      </w:r>
      <w:r>
        <w:instrText xml:space="preserve"> PAGEREF _Toc20055 \h </w:instrText>
      </w:r>
      <w:r>
        <w:fldChar w:fldCharType="separate"/>
      </w:r>
      <w:r>
        <w:t>14</w:t>
      </w:r>
      <w:r>
        <w:fldChar w:fldCharType="end"/>
      </w:r>
      <w:r>
        <w:rPr>
          <w:rFonts w:asciiTheme="minorEastAsia" w:hAnsiTheme="minorEastAsia" w:eastAsiaTheme="minorEastAsia"/>
          <w:szCs w:val="21"/>
          <w:highlight w:val="none"/>
        </w:rPr>
        <w:fldChar w:fldCharType="end"/>
      </w:r>
    </w:p>
    <w:p w14:paraId="07944B8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_Toc24920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1.7资格审查</w:t>
      </w:r>
      <w:r>
        <w:tab/>
      </w:r>
      <w:r>
        <w:fldChar w:fldCharType="begin"/>
      </w:r>
      <w:r>
        <w:instrText xml:space="preserve"> PAGEREF _Toc24920 \h </w:instrText>
      </w:r>
      <w:r>
        <w:fldChar w:fldCharType="separate"/>
      </w:r>
      <w:r>
        <w:t>14</w:t>
      </w:r>
      <w:r>
        <w:fldChar w:fldCharType="end"/>
      </w:r>
      <w:r>
        <w:rPr>
          <w:rFonts w:asciiTheme="minorEastAsia" w:hAnsiTheme="minorEastAsia" w:eastAsiaTheme="minorEastAsia"/>
          <w:szCs w:val="21"/>
          <w:highlight w:val="none"/>
        </w:rPr>
        <w:fldChar w:fldCharType="end"/>
      </w:r>
    </w:p>
    <w:p w14:paraId="55B230B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_Toc28857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1.8投标人不得存在的情形</w:t>
      </w:r>
      <w:r>
        <w:tab/>
      </w:r>
      <w:r>
        <w:fldChar w:fldCharType="begin"/>
      </w:r>
      <w:r>
        <w:instrText xml:space="preserve"> PAGEREF _Toc28857 \h </w:instrText>
      </w:r>
      <w:r>
        <w:fldChar w:fldCharType="separate"/>
      </w:r>
      <w:r>
        <w:t>15</w:t>
      </w:r>
      <w:r>
        <w:fldChar w:fldCharType="end"/>
      </w:r>
      <w:r>
        <w:rPr>
          <w:rFonts w:asciiTheme="minorEastAsia" w:hAnsiTheme="minorEastAsia" w:eastAsiaTheme="minorEastAsia"/>
          <w:szCs w:val="21"/>
          <w:highlight w:val="none"/>
        </w:rPr>
        <w:fldChar w:fldCharType="end"/>
      </w:r>
    </w:p>
    <w:p w14:paraId="65BE612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_Toc10331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1.9合格的货物和服务</w:t>
      </w:r>
      <w:r>
        <w:tab/>
      </w:r>
      <w:r>
        <w:fldChar w:fldCharType="begin"/>
      </w:r>
      <w:r>
        <w:instrText xml:space="preserve"> PAGEREF _Toc10331 \h </w:instrText>
      </w:r>
      <w:r>
        <w:fldChar w:fldCharType="separate"/>
      </w:r>
      <w:r>
        <w:t>15</w:t>
      </w:r>
      <w:r>
        <w:fldChar w:fldCharType="end"/>
      </w:r>
      <w:r>
        <w:rPr>
          <w:rFonts w:asciiTheme="minorEastAsia" w:hAnsiTheme="minorEastAsia" w:eastAsiaTheme="minorEastAsia"/>
          <w:szCs w:val="21"/>
          <w:highlight w:val="none"/>
        </w:rPr>
        <w:fldChar w:fldCharType="end"/>
      </w:r>
    </w:p>
    <w:p w14:paraId="48962C8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_Toc21329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1.10投标费用</w:t>
      </w:r>
      <w:r>
        <w:tab/>
      </w:r>
      <w:r>
        <w:fldChar w:fldCharType="begin"/>
      </w:r>
      <w:r>
        <w:instrText xml:space="preserve"> PAGEREF _Toc21329 \h </w:instrText>
      </w:r>
      <w:r>
        <w:fldChar w:fldCharType="separate"/>
      </w:r>
      <w:r>
        <w:t>15</w:t>
      </w:r>
      <w:r>
        <w:fldChar w:fldCharType="end"/>
      </w:r>
      <w:r>
        <w:rPr>
          <w:rFonts w:asciiTheme="minorEastAsia" w:hAnsiTheme="minorEastAsia" w:eastAsiaTheme="minorEastAsia"/>
          <w:szCs w:val="21"/>
          <w:highlight w:val="none"/>
        </w:rPr>
        <w:fldChar w:fldCharType="end"/>
      </w:r>
    </w:p>
    <w:p w14:paraId="7E475A16">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_Toc4942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1.11保密</w:t>
      </w:r>
      <w:r>
        <w:tab/>
      </w:r>
      <w:r>
        <w:fldChar w:fldCharType="begin"/>
      </w:r>
      <w:r>
        <w:instrText xml:space="preserve"> PAGEREF _Toc4942 \h </w:instrText>
      </w:r>
      <w:r>
        <w:fldChar w:fldCharType="separate"/>
      </w:r>
      <w:r>
        <w:t>15</w:t>
      </w:r>
      <w:r>
        <w:fldChar w:fldCharType="end"/>
      </w:r>
      <w:r>
        <w:rPr>
          <w:rFonts w:asciiTheme="minorEastAsia" w:hAnsiTheme="minorEastAsia" w:eastAsiaTheme="minorEastAsia"/>
          <w:szCs w:val="21"/>
          <w:highlight w:val="none"/>
        </w:rPr>
        <w:fldChar w:fldCharType="end"/>
      </w:r>
    </w:p>
    <w:p w14:paraId="18705D5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_Toc11624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2. </w:t>
      </w:r>
      <w:r>
        <w:rPr>
          <w:rFonts w:hint="eastAsia" w:asciiTheme="minorEastAsia" w:hAnsiTheme="minorEastAsia" w:eastAsiaTheme="minorEastAsia"/>
          <w:szCs w:val="28"/>
          <w:highlight w:val="none"/>
        </w:rPr>
        <w:t>招标文件</w:t>
      </w:r>
      <w:r>
        <w:tab/>
      </w:r>
      <w:r>
        <w:fldChar w:fldCharType="begin"/>
      </w:r>
      <w:r>
        <w:instrText xml:space="preserve"> PAGEREF _Toc11624 \h </w:instrText>
      </w:r>
      <w:r>
        <w:fldChar w:fldCharType="separate"/>
      </w:r>
      <w:r>
        <w:t>16</w:t>
      </w:r>
      <w:r>
        <w:fldChar w:fldCharType="end"/>
      </w:r>
      <w:r>
        <w:rPr>
          <w:rFonts w:asciiTheme="minorEastAsia" w:hAnsiTheme="minorEastAsia" w:eastAsiaTheme="minorEastAsia"/>
          <w:szCs w:val="21"/>
          <w:highlight w:val="none"/>
        </w:rPr>
        <w:fldChar w:fldCharType="end"/>
      </w:r>
    </w:p>
    <w:p w14:paraId="28819B1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_Toc15063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2.1招标文件的组成</w:t>
      </w:r>
      <w:r>
        <w:tab/>
      </w:r>
      <w:r>
        <w:fldChar w:fldCharType="begin"/>
      </w:r>
      <w:r>
        <w:instrText xml:space="preserve"> PAGEREF _Toc15063 \h </w:instrText>
      </w:r>
      <w:r>
        <w:fldChar w:fldCharType="separate"/>
      </w:r>
      <w:r>
        <w:t>16</w:t>
      </w:r>
      <w:r>
        <w:fldChar w:fldCharType="end"/>
      </w:r>
      <w:r>
        <w:rPr>
          <w:rFonts w:asciiTheme="minorEastAsia" w:hAnsiTheme="minorEastAsia" w:eastAsiaTheme="minorEastAsia"/>
          <w:szCs w:val="21"/>
          <w:highlight w:val="none"/>
        </w:rPr>
        <w:fldChar w:fldCharType="end"/>
      </w:r>
    </w:p>
    <w:p w14:paraId="4B87771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_Toc393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2.2</w:t>
      </w:r>
      <w:r>
        <w:rPr>
          <w:rFonts w:hint="eastAsia" w:asciiTheme="minorEastAsia" w:hAnsiTheme="minorEastAsia" w:eastAsiaTheme="minorEastAsia"/>
          <w:szCs w:val="24"/>
          <w:highlight w:val="none"/>
        </w:rPr>
        <w:t>踏勘现场</w:t>
      </w:r>
      <w:r>
        <w:tab/>
      </w:r>
      <w:r>
        <w:fldChar w:fldCharType="begin"/>
      </w:r>
      <w:r>
        <w:instrText xml:space="preserve"> PAGEREF _Toc393 \h </w:instrText>
      </w:r>
      <w:r>
        <w:fldChar w:fldCharType="separate"/>
      </w:r>
      <w:r>
        <w:t>16</w:t>
      </w:r>
      <w:r>
        <w:fldChar w:fldCharType="end"/>
      </w:r>
      <w:r>
        <w:rPr>
          <w:rFonts w:asciiTheme="minorEastAsia" w:hAnsiTheme="minorEastAsia" w:eastAsiaTheme="minorEastAsia"/>
          <w:szCs w:val="21"/>
          <w:highlight w:val="none"/>
        </w:rPr>
        <w:fldChar w:fldCharType="end"/>
      </w:r>
    </w:p>
    <w:p w14:paraId="4A18C21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_Toc6628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2.3</w:t>
      </w:r>
      <w:r>
        <w:rPr>
          <w:rFonts w:hint="eastAsia" w:asciiTheme="minorEastAsia" w:hAnsiTheme="minorEastAsia" w:eastAsiaTheme="minorEastAsia"/>
          <w:szCs w:val="24"/>
          <w:highlight w:val="none"/>
        </w:rPr>
        <w:t>投标预备会</w:t>
      </w:r>
      <w:r>
        <w:tab/>
      </w:r>
      <w:r>
        <w:fldChar w:fldCharType="begin"/>
      </w:r>
      <w:r>
        <w:instrText xml:space="preserve"> PAGEREF _Toc6628 \h </w:instrText>
      </w:r>
      <w:r>
        <w:fldChar w:fldCharType="separate"/>
      </w:r>
      <w:r>
        <w:t>16</w:t>
      </w:r>
      <w:r>
        <w:fldChar w:fldCharType="end"/>
      </w:r>
      <w:r>
        <w:rPr>
          <w:rFonts w:asciiTheme="minorEastAsia" w:hAnsiTheme="minorEastAsia" w:eastAsiaTheme="minorEastAsia"/>
          <w:szCs w:val="21"/>
          <w:highlight w:val="none"/>
        </w:rPr>
        <w:fldChar w:fldCharType="end"/>
      </w:r>
    </w:p>
    <w:p w14:paraId="7C5E19C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_Toc7984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2.4招标文件的澄清和修改</w:t>
      </w:r>
      <w:r>
        <w:tab/>
      </w:r>
      <w:r>
        <w:fldChar w:fldCharType="begin"/>
      </w:r>
      <w:r>
        <w:instrText xml:space="preserve"> PAGEREF _Toc7984 \h </w:instrText>
      </w:r>
      <w:r>
        <w:fldChar w:fldCharType="separate"/>
      </w:r>
      <w:r>
        <w:t>17</w:t>
      </w:r>
      <w:r>
        <w:fldChar w:fldCharType="end"/>
      </w:r>
      <w:r>
        <w:rPr>
          <w:rFonts w:asciiTheme="minorEastAsia" w:hAnsiTheme="minorEastAsia" w:eastAsiaTheme="minorEastAsia"/>
          <w:szCs w:val="21"/>
          <w:highlight w:val="none"/>
        </w:rPr>
        <w:fldChar w:fldCharType="end"/>
      </w:r>
    </w:p>
    <w:p w14:paraId="4F4C0C4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_Toc10533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3. </w:t>
      </w:r>
      <w:r>
        <w:rPr>
          <w:rFonts w:hint="eastAsia" w:asciiTheme="minorEastAsia" w:hAnsiTheme="minorEastAsia" w:eastAsiaTheme="minorEastAsia"/>
          <w:szCs w:val="28"/>
          <w:highlight w:val="none"/>
        </w:rPr>
        <w:t>投标文件</w:t>
      </w:r>
      <w:r>
        <w:tab/>
      </w:r>
      <w:r>
        <w:fldChar w:fldCharType="begin"/>
      </w:r>
      <w:r>
        <w:instrText xml:space="preserve"> PAGEREF _Toc10533 \h </w:instrText>
      </w:r>
      <w:r>
        <w:fldChar w:fldCharType="separate"/>
      </w:r>
      <w:r>
        <w:t>17</w:t>
      </w:r>
      <w:r>
        <w:fldChar w:fldCharType="end"/>
      </w:r>
      <w:r>
        <w:rPr>
          <w:rFonts w:asciiTheme="minorEastAsia" w:hAnsiTheme="minorEastAsia" w:eastAsiaTheme="minorEastAsia"/>
          <w:szCs w:val="21"/>
          <w:highlight w:val="none"/>
        </w:rPr>
        <w:fldChar w:fldCharType="end"/>
      </w:r>
    </w:p>
    <w:p w14:paraId="79CDE67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_Toc28392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3.1投标文件的组成</w:t>
      </w:r>
      <w:r>
        <w:tab/>
      </w:r>
      <w:r>
        <w:fldChar w:fldCharType="begin"/>
      </w:r>
      <w:r>
        <w:instrText xml:space="preserve"> PAGEREF _Toc28392 \h </w:instrText>
      </w:r>
      <w:r>
        <w:fldChar w:fldCharType="separate"/>
      </w:r>
      <w:r>
        <w:t>17</w:t>
      </w:r>
      <w:r>
        <w:fldChar w:fldCharType="end"/>
      </w:r>
      <w:r>
        <w:rPr>
          <w:rFonts w:asciiTheme="minorEastAsia" w:hAnsiTheme="minorEastAsia" w:eastAsiaTheme="minorEastAsia"/>
          <w:szCs w:val="21"/>
          <w:highlight w:val="none"/>
        </w:rPr>
        <w:fldChar w:fldCharType="end"/>
      </w:r>
    </w:p>
    <w:p w14:paraId="331D3FB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_Toc7981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3.2投标文件的编制</w:t>
      </w:r>
      <w:r>
        <w:tab/>
      </w:r>
      <w:r>
        <w:fldChar w:fldCharType="begin"/>
      </w:r>
      <w:r>
        <w:instrText xml:space="preserve"> PAGEREF _Toc7981 \h </w:instrText>
      </w:r>
      <w:r>
        <w:fldChar w:fldCharType="separate"/>
      </w:r>
      <w:r>
        <w:t>17</w:t>
      </w:r>
      <w:r>
        <w:fldChar w:fldCharType="end"/>
      </w:r>
      <w:r>
        <w:rPr>
          <w:rFonts w:asciiTheme="minorEastAsia" w:hAnsiTheme="minorEastAsia" w:eastAsiaTheme="minorEastAsia"/>
          <w:szCs w:val="21"/>
          <w:highlight w:val="none"/>
        </w:rPr>
        <w:fldChar w:fldCharType="end"/>
      </w:r>
    </w:p>
    <w:p w14:paraId="6E2FB51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_Toc17506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3.3投标报价</w:t>
      </w:r>
      <w:r>
        <w:tab/>
      </w:r>
      <w:r>
        <w:fldChar w:fldCharType="begin"/>
      </w:r>
      <w:r>
        <w:instrText xml:space="preserve"> PAGEREF _Toc17506 \h </w:instrText>
      </w:r>
      <w:r>
        <w:fldChar w:fldCharType="separate"/>
      </w:r>
      <w:r>
        <w:t>18</w:t>
      </w:r>
      <w:r>
        <w:fldChar w:fldCharType="end"/>
      </w:r>
      <w:r>
        <w:rPr>
          <w:rFonts w:asciiTheme="minorEastAsia" w:hAnsiTheme="minorEastAsia" w:eastAsiaTheme="minorEastAsia"/>
          <w:szCs w:val="21"/>
          <w:highlight w:val="none"/>
        </w:rPr>
        <w:fldChar w:fldCharType="end"/>
      </w:r>
    </w:p>
    <w:p w14:paraId="2E2565A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_Toc17066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3.4</w:t>
      </w:r>
      <w:r>
        <w:rPr>
          <w:rFonts w:hint="eastAsia" w:asciiTheme="minorEastAsia" w:hAnsiTheme="minorEastAsia" w:eastAsiaTheme="minorEastAsia"/>
          <w:szCs w:val="24"/>
          <w:highlight w:val="none"/>
        </w:rPr>
        <w:t>投标有效期</w:t>
      </w:r>
      <w:r>
        <w:tab/>
      </w:r>
      <w:r>
        <w:fldChar w:fldCharType="begin"/>
      </w:r>
      <w:r>
        <w:instrText xml:space="preserve"> PAGEREF _Toc17066 \h </w:instrText>
      </w:r>
      <w:r>
        <w:fldChar w:fldCharType="separate"/>
      </w:r>
      <w:r>
        <w:t>18</w:t>
      </w:r>
      <w:r>
        <w:fldChar w:fldCharType="end"/>
      </w:r>
      <w:r>
        <w:rPr>
          <w:rFonts w:asciiTheme="minorEastAsia" w:hAnsiTheme="minorEastAsia" w:eastAsiaTheme="minorEastAsia"/>
          <w:szCs w:val="21"/>
          <w:highlight w:val="none"/>
        </w:rPr>
        <w:fldChar w:fldCharType="end"/>
      </w:r>
    </w:p>
    <w:p w14:paraId="59E82E1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_Toc3663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3.5投标保证金</w:t>
      </w:r>
      <w:r>
        <w:tab/>
      </w:r>
      <w:r>
        <w:fldChar w:fldCharType="begin"/>
      </w:r>
      <w:r>
        <w:instrText xml:space="preserve"> PAGEREF _Toc3663 \h </w:instrText>
      </w:r>
      <w:r>
        <w:fldChar w:fldCharType="separate"/>
      </w:r>
      <w:r>
        <w:t>18</w:t>
      </w:r>
      <w:r>
        <w:fldChar w:fldCharType="end"/>
      </w:r>
      <w:r>
        <w:rPr>
          <w:rFonts w:asciiTheme="minorEastAsia" w:hAnsiTheme="minorEastAsia" w:eastAsiaTheme="minorEastAsia"/>
          <w:szCs w:val="21"/>
          <w:highlight w:val="none"/>
        </w:rPr>
        <w:fldChar w:fldCharType="end"/>
      </w:r>
    </w:p>
    <w:p w14:paraId="38DB664E">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_Toc26455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3.6</w:t>
      </w:r>
      <w:r>
        <w:rPr>
          <w:rFonts w:hint="eastAsia" w:asciiTheme="minorEastAsia" w:hAnsiTheme="minorEastAsia" w:eastAsiaTheme="minorEastAsia"/>
          <w:szCs w:val="24"/>
          <w:highlight w:val="none"/>
        </w:rPr>
        <w:t>备选投标方案</w:t>
      </w:r>
      <w:r>
        <w:tab/>
      </w:r>
      <w:r>
        <w:fldChar w:fldCharType="begin"/>
      </w:r>
      <w:r>
        <w:instrText xml:space="preserve"> PAGEREF _Toc26455 \h </w:instrText>
      </w:r>
      <w:r>
        <w:fldChar w:fldCharType="separate"/>
      </w:r>
      <w:r>
        <w:t>19</w:t>
      </w:r>
      <w:r>
        <w:fldChar w:fldCharType="end"/>
      </w:r>
      <w:r>
        <w:rPr>
          <w:rFonts w:asciiTheme="minorEastAsia" w:hAnsiTheme="minorEastAsia" w:eastAsiaTheme="minorEastAsia"/>
          <w:szCs w:val="21"/>
          <w:highlight w:val="none"/>
        </w:rPr>
        <w:fldChar w:fldCharType="end"/>
      </w:r>
    </w:p>
    <w:p w14:paraId="5C77397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_Toc14852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3.7投标文件的式样、密封和标记（递交纸质文件适用）</w:t>
      </w:r>
      <w:r>
        <w:tab/>
      </w:r>
      <w:r>
        <w:fldChar w:fldCharType="begin"/>
      </w:r>
      <w:r>
        <w:instrText xml:space="preserve"> PAGEREF _Toc14852 \h </w:instrText>
      </w:r>
      <w:r>
        <w:fldChar w:fldCharType="separate"/>
      </w:r>
      <w:r>
        <w:t>19</w:t>
      </w:r>
      <w:r>
        <w:fldChar w:fldCharType="end"/>
      </w:r>
      <w:r>
        <w:rPr>
          <w:rFonts w:asciiTheme="minorEastAsia" w:hAnsiTheme="minorEastAsia" w:eastAsiaTheme="minorEastAsia"/>
          <w:szCs w:val="21"/>
          <w:highlight w:val="none"/>
        </w:rPr>
        <w:fldChar w:fldCharType="end"/>
      </w:r>
    </w:p>
    <w:p w14:paraId="7F598CD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_Toc13212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3.8</w:t>
      </w:r>
      <w:r>
        <w:rPr>
          <w:rFonts w:hint="eastAsia" w:asciiTheme="minorEastAsia" w:hAnsiTheme="minorEastAsia" w:eastAsiaTheme="minorEastAsia"/>
          <w:szCs w:val="24"/>
          <w:highlight w:val="none"/>
        </w:rPr>
        <w:t>电子招标的投标文件上传形式</w:t>
      </w:r>
      <w:r>
        <w:tab/>
      </w:r>
      <w:r>
        <w:fldChar w:fldCharType="begin"/>
      </w:r>
      <w:r>
        <w:instrText xml:space="preserve"> PAGEREF _Toc13212 \h </w:instrText>
      </w:r>
      <w:r>
        <w:fldChar w:fldCharType="separate"/>
      </w:r>
      <w:r>
        <w:t>20</w:t>
      </w:r>
      <w:r>
        <w:fldChar w:fldCharType="end"/>
      </w:r>
      <w:r>
        <w:rPr>
          <w:rFonts w:asciiTheme="minorEastAsia" w:hAnsiTheme="minorEastAsia" w:eastAsiaTheme="minorEastAsia"/>
          <w:szCs w:val="21"/>
          <w:highlight w:val="none"/>
        </w:rPr>
        <w:fldChar w:fldCharType="end"/>
      </w:r>
    </w:p>
    <w:p w14:paraId="1D1C6B6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_Toc4395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4. </w:t>
      </w:r>
      <w:r>
        <w:rPr>
          <w:rFonts w:hint="eastAsia" w:asciiTheme="minorEastAsia" w:hAnsiTheme="minorEastAsia" w:eastAsiaTheme="minorEastAsia"/>
          <w:szCs w:val="28"/>
          <w:highlight w:val="none"/>
        </w:rPr>
        <w:t>投标</w:t>
      </w:r>
      <w:r>
        <w:tab/>
      </w:r>
      <w:r>
        <w:fldChar w:fldCharType="begin"/>
      </w:r>
      <w:r>
        <w:instrText xml:space="preserve"> PAGEREF _Toc4395 \h </w:instrText>
      </w:r>
      <w:r>
        <w:fldChar w:fldCharType="separate"/>
      </w:r>
      <w:r>
        <w:t>20</w:t>
      </w:r>
      <w:r>
        <w:fldChar w:fldCharType="end"/>
      </w:r>
      <w:r>
        <w:rPr>
          <w:rFonts w:asciiTheme="minorEastAsia" w:hAnsiTheme="minorEastAsia" w:eastAsiaTheme="minorEastAsia"/>
          <w:szCs w:val="21"/>
          <w:highlight w:val="none"/>
        </w:rPr>
        <w:fldChar w:fldCharType="end"/>
      </w:r>
    </w:p>
    <w:p w14:paraId="4FCF6B7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_Toc31724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4.1投标文件的递交</w:t>
      </w:r>
      <w:r>
        <w:tab/>
      </w:r>
      <w:r>
        <w:fldChar w:fldCharType="begin"/>
      </w:r>
      <w:r>
        <w:instrText xml:space="preserve"> PAGEREF _Toc31724 \h </w:instrText>
      </w:r>
      <w:r>
        <w:fldChar w:fldCharType="separate"/>
      </w:r>
      <w:r>
        <w:t>20</w:t>
      </w:r>
      <w:r>
        <w:fldChar w:fldCharType="end"/>
      </w:r>
      <w:r>
        <w:rPr>
          <w:rFonts w:asciiTheme="minorEastAsia" w:hAnsiTheme="minorEastAsia" w:eastAsiaTheme="minorEastAsia"/>
          <w:szCs w:val="21"/>
          <w:highlight w:val="none"/>
        </w:rPr>
        <w:fldChar w:fldCharType="end"/>
      </w:r>
    </w:p>
    <w:p w14:paraId="43EAD16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_Toc18959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4.2</w:t>
      </w:r>
      <w:r>
        <w:rPr>
          <w:rFonts w:hint="eastAsia" w:asciiTheme="minorEastAsia" w:hAnsiTheme="minorEastAsia" w:eastAsiaTheme="minorEastAsia"/>
          <w:szCs w:val="24"/>
          <w:highlight w:val="none"/>
        </w:rPr>
        <w:t>投标文件的修改、撤回和撤销</w:t>
      </w:r>
      <w:r>
        <w:tab/>
      </w:r>
      <w:r>
        <w:fldChar w:fldCharType="begin"/>
      </w:r>
      <w:r>
        <w:instrText xml:space="preserve"> PAGEREF _Toc18959 \h </w:instrText>
      </w:r>
      <w:r>
        <w:fldChar w:fldCharType="separate"/>
      </w:r>
      <w:r>
        <w:t>20</w:t>
      </w:r>
      <w:r>
        <w:fldChar w:fldCharType="end"/>
      </w:r>
      <w:r>
        <w:rPr>
          <w:rFonts w:asciiTheme="minorEastAsia" w:hAnsiTheme="minorEastAsia" w:eastAsiaTheme="minorEastAsia"/>
          <w:szCs w:val="21"/>
          <w:highlight w:val="none"/>
        </w:rPr>
        <w:fldChar w:fldCharType="end"/>
      </w:r>
    </w:p>
    <w:p w14:paraId="2C062514">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_Toc10855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5. </w:t>
      </w:r>
      <w:r>
        <w:rPr>
          <w:rFonts w:hint="eastAsia" w:asciiTheme="minorEastAsia" w:hAnsiTheme="minorEastAsia" w:eastAsiaTheme="minorEastAsia"/>
          <w:szCs w:val="28"/>
          <w:highlight w:val="none"/>
        </w:rPr>
        <w:t>开标</w:t>
      </w:r>
      <w:r>
        <w:tab/>
      </w:r>
      <w:r>
        <w:fldChar w:fldCharType="begin"/>
      </w:r>
      <w:r>
        <w:instrText xml:space="preserve"> PAGEREF _Toc10855 \h </w:instrText>
      </w:r>
      <w:r>
        <w:fldChar w:fldCharType="separate"/>
      </w:r>
      <w:r>
        <w:t>20</w:t>
      </w:r>
      <w:r>
        <w:fldChar w:fldCharType="end"/>
      </w:r>
      <w:r>
        <w:rPr>
          <w:rFonts w:asciiTheme="minorEastAsia" w:hAnsiTheme="minorEastAsia" w:eastAsiaTheme="minorEastAsia"/>
          <w:szCs w:val="21"/>
          <w:highlight w:val="none"/>
        </w:rPr>
        <w:fldChar w:fldCharType="end"/>
      </w:r>
    </w:p>
    <w:p w14:paraId="161FC4E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_Toc1866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5.1开标时间和地点</w:t>
      </w:r>
      <w:r>
        <w:tab/>
      </w:r>
      <w:r>
        <w:fldChar w:fldCharType="begin"/>
      </w:r>
      <w:r>
        <w:instrText xml:space="preserve"> PAGEREF _Toc1866 \h </w:instrText>
      </w:r>
      <w:r>
        <w:fldChar w:fldCharType="separate"/>
      </w:r>
      <w:r>
        <w:t>20</w:t>
      </w:r>
      <w:r>
        <w:fldChar w:fldCharType="end"/>
      </w:r>
      <w:r>
        <w:rPr>
          <w:rFonts w:asciiTheme="minorEastAsia" w:hAnsiTheme="minorEastAsia" w:eastAsiaTheme="minorEastAsia"/>
          <w:szCs w:val="21"/>
          <w:highlight w:val="none"/>
        </w:rPr>
        <w:fldChar w:fldCharType="end"/>
      </w:r>
    </w:p>
    <w:p w14:paraId="7F69396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_Toc7249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5.2开标程序</w:t>
      </w:r>
      <w:r>
        <w:tab/>
      </w:r>
      <w:r>
        <w:fldChar w:fldCharType="begin"/>
      </w:r>
      <w:r>
        <w:instrText xml:space="preserve"> PAGEREF _Toc7249 \h </w:instrText>
      </w:r>
      <w:r>
        <w:fldChar w:fldCharType="separate"/>
      </w:r>
      <w:r>
        <w:t>20</w:t>
      </w:r>
      <w:r>
        <w:fldChar w:fldCharType="end"/>
      </w:r>
      <w:r>
        <w:rPr>
          <w:rFonts w:asciiTheme="minorEastAsia" w:hAnsiTheme="minorEastAsia" w:eastAsiaTheme="minorEastAsia"/>
          <w:szCs w:val="21"/>
          <w:highlight w:val="none"/>
        </w:rPr>
        <w:fldChar w:fldCharType="end"/>
      </w:r>
    </w:p>
    <w:p w14:paraId="3F4D505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_Toc10715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5.3</w:t>
      </w:r>
      <w:r>
        <w:rPr>
          <w:rFonts w:hint="eastAsia" w:asciiTheme="minorEastAsia" w:hAnsiTheme="minorEastAsia" w:eastAsiaTheme="minorEastAsia"/>
          <w:szCs w:val="24"/>
          <w:highlight w:val="none"/>
        </w:rPr>
        <w:t>异议</w:t>
      </w:r>
      <w:r>
        <w:tab/>
      </w:r>
      <w:r>
        <w:fldChar w:fldCharType="begin"/>
      </w:r>
      <w:r>
        <w:instrText xml:space="preserve"> PAGEREF _Toc10715 \h </w:instrText>
      </w:r>
      <w:r>
        <w:fldChar w:fldCharType="separate"/>
      </w:r>
      <w:r>
        <w:t>21</w:t>
      </w:r>
      <w:r>
        <w:fldChar w:fldCharType="end"/>
      </w:r>
      <w:r>
        <w:rPr>
          <w:rFonts w:asciiTheme="minorEastAsia" w:hAnsiTheme="minorEastAsia" w:eastAsiaTheme="minorEastAsia"/>
          <w:szCs w:val="21"/>
          <w:highlight w:val="none"/>
        </w:rPr>
        <w:fldChar w:fldCharType="end"/>
      </w:r>
    </w:p>
    <w:p w14:paraId="65DB0134">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_Toc27727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5.4电子招标开标的其他要求及异常处理</w:t>
      </w:r>
      <w:r>
        <w:tab/>
      </w:r>
      <w:r>
        <w:fldChar w:fldCharType="begin"/>
      </w:r>
      <w:r>
        <w:instrText xml:space="preserve"> PAGEREF _Toc27727 \h </w:instrText>
      </w:r>
      <w:r>
        <w:fldChar w:fldCharType="separate"/>
      </w:r>
      <w:r>
        <w:t>21</w:t>
      </w:r>
      <w:r>
        <w:fldChar w:fldCharType="end"/>
      </w:r>
      <w:r>
        <w:rPr>
          <w:rFonts w:asciiTheme="minorEastAsia" w:hAnsiTheme="minorEastAsia" w:eastAsiaTheme="minorEastAsia"/>
          <w:szCs w:val="21"/>
          <w:highlight w:val="none"/>
        </w:rPr>
        <w:fldChar w:fldCharType="end"/>
      </w:r>
    </w:p>
    <w:p w14:paraId="3791A65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_Toc12525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6. </w:t>
      </w:r>
      <w:r>
        <w:rPr>
          <w:rFonts w:hint="eastAsia" w:asciiTheme="minorEastAsia" w:hAnsiTheme="minorEastAsia" w:eastAsiaTheme="minorEastAsia"/>
          <w:szCs w:val="28"/>
          <w:highlight w:val="none"/>
        </w:rPr>
        <w:t>评标</w:t>
      </w:r>
      <w:r>
        <w:tab/>
      </w:r>
      <w:r>
        <w:fldChar w:fldCharType="begin"/>
      </w:r>
      <w:r>
        <w:instrText xml:space="preserve"> PAGEREF _Toc12525 \h </w:instrText>
      </w:r>
      <w:r>
        <w:fldChar w:fldCharType="separate"/>
      </w:r>
      <w:r>
        <w:t>21</w:t>
      </w:r>
      <w:r>
        <w:fldChar w:fldCharType="end"/>
      </w:r>
      <w:r>
        <w:rPr>
          <w:rFonts w:asciiTheme="minorEastAsia" w:hAnsiTheme="minorEastAsia" w:eastAsiaTheme="minorEastAsia"/>
          <w:szCs w:val="21"/>
          <w:highlight w:val="none"/>
        </w:rPr>
        <w:fldChar w:fldCharType="end"/>
      </w:r>
    </w:p>
    <w:p w14:paraId="4573A6F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_Toc6035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6.1评标委员会</w:t>
      </w:r>
      <w:r>
        <w:tab/>
      </w:r>
      <w:r>
        <w:fldChar w:fldCharType="begin"/>
      </w:r>
      <w:r>
        <w:instrText xml:space="preserve"> PAGEREF _Toc6035 \h </w:instrText>
      </w:r>
      <w:r>
        <w:fldChar w:fldCharType="separate"/>
      </w:r>
      <w:r>
        <w:t>21</w:t>
      </w:r>
      <w:r>
        <w:fldChar w:fldCharType="end"/>
      </w:r>
      <w:r>
        <w:rPr>
          <w:rFonts w:asciiTheme="minorEastAsia" w:hAnsiTheme="minorEastAsia" w:eastAsiaTheme="minorEastAsia"/>
          <w:szCs w:val="21"/>
          <w:highlight w:val="none"/>
        </w:rPr>
        <w:fldChar w:fldCharType="end"/>
      </w:r>
    </w:p>
    <w:p w14:paraId="64FBBF5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_Toc31959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6.2</w:t>
      </w:r>
      <w:r>
        <w:rPr>
          <w:rFonts w:hint="eastAsia" w:asciiTheme="minorEastAsia" w:hAnsiTheme="minorEastAsia" w:eastAsiaTheme="minorEastAsia"/>
          <w:szCs w:val="24"/>
          <w:highlight w:val="none"/>
        </w:rPr>
        <w:t>评标原则</w:t>
      </w:r>
      <w:r>
        <w:tab/>
      </w:r>
      <w:r>
        <w:fldChar w:fldCharType="begin"/>
      </w:r>
      <w:r>
        <w:instrText xml:space="preserve"> PAGEREF _Toc31959 \h </w:instrText>
      </w:r>
      <w:r>
        <w:fldChar w:fldCharType="separate"/>
      </w:r>
      <w:r>
        <w:t>21</w:t>
      </w:r>
      <w:r>
        <w:fldChar w:fldCharType="end"/>
      </w:r>
      <w:r>
        <w:rPr>
          <w:rFonts w:asciiTheme="minorEastAsia" w:hAnsiTheme="minorEastAsia" w:eastAsiaTheme="minorEastAsia"/>
          <w:szCs w:val="21"/>
          <w:highlight w:val="none"/>
        </w:rPr>
        <w:fldChar w:fldCharType="end"/>
      </w:r>
    </w:p>
    <w:p w14:paraId="28DF944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_Toc7511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6.3评标方法</w:t>
      </w:r>
      <w:r>
        <w:tab/>
      </w:r>
      <w:r>
        <w:fldChar w:fldCharType="begin"/>
      </w:r>
      <w:r>
        <w:instrText xml:space="preserve"> PAGEREF _Toc7511 \h </w:instrText>
      </w:r>
      <w:r>
        <w:fldChar w:fldCharType="separate"/>
      </w:r>
      <w:r>
        <w:t>22</w:t>
      </w:r>
      <w:r>
        <w:fldChar w:fldCharType="end"/>
      </w:r>
      <w:r>
        <w:rPr>
          <w:rFonts w:asciiTheme="minorEastAsia" w:hAnsiTheme="minorEastAsia" w:eastAsiaTheme="minorEastAsia"/>
          <w:szCs w:val="21"/>
          <w:highlight w:val="none"/>
        </w:rPr>
        <w:fldChar w:fldCharType="end"/>
      </w:r>
    </w:p>
    <w:p w14:paraId="3FACAFE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_Toc14110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6.4中标候选人推荐原则</w:t>
      </w:r>
      <w:r>
        <w:tab/>
      </w:r>
      <w:r>
        <w:fldChar w:fldCharType="begin"/>
      </w:r>
      <w:r>
        <w:instrText xml:space="preserve"> PAGEREF _Toc14110 \h </w:instrText>
      </w:r>
      <w:r>
        <w:fldChar w:fldCharType="separate"/>
      </w:r>
      <w:r>
        <w:t>22</w:t>
      </w:r>
      <w:r>
        <w:fldChar w:fldCharType="end"/>
      </w:r>
      <w:r>
        <w:rPr>
          <w:rFonts w:asciiTheme="minorEastAsia" w:hAnsiTheme="minorEastAsia" w:eastAsiaTheme="minorEastAsia"/>
          <w:szCs w:val="21"/>
          <w:highlight w:val="none"/>
        </w:rPr>
        <w:fldChar w:fldCharType="end"/>
      </w:r>
    </w:p>
    <w:p w14:paraId="094172A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_Toc29538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6.5评标报告</w:t>
      </w:r>
      <w:r>
        <w:tab/>
      </w:r>
      <w:r>
        <w:fldChar w:fldCharType="begin"/>
      </w:r>
      <w:r>
        <w:instrText xml:space="preserve"> PAGEREF _Toc29538 \h </w:instrText>
      </w:r>
      <w:r>
        <w:fldChar w:fldCharType="separate"/>
      </w:r>
      <w:r>
        <w:t>22</w:t>
      </w:r>
      <w:r>
        <w:fldChar w:fldCharType="end"/>
      </w:r>
      <w:r>
        <w:rPr>
          <w:rFonts w:asciiTheme="minorEastAsia" w:hAnsiTheme="minorEastAsia" w:eastAsiaTheme="minorEastAsia"/>
          <w:szCs w:val="21"/>
          <w:highlight w:val="none"/>
        </w:rPr>
        <w:fldChar w:fldCharType="end"/>
      </w:r>
    </w:p>
    <w:p w14:paraId="4FBD6DD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_Toc28541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7. </w:t>
      </w:r>
      <w:r>
        <w:rPr>
          <w:rFonts w:hint="eastAsia" w:asciiTheme="minorEastAsia" w:hAnsiTheme="minorEastAsia" w:eastAsiaTheme="minorEastAsia"/>
          <w:szCs w:val="28"/>
          <w:highlight w:val="none"/>
        </w:rPr>
        <w:t>中标</w:t>
      </w:r>
      <w:r>
        <w:tab/>
      </w:r>
      <w:r>
        <w:fldChar w:fldCharType="begin"/>
      </w:r>
      <w:r>
        <w:instrText xml:space="preserve"> PAGEREF _Toc28541 \h </w:instrText>
      </w:r>
      <w:r>
        <w:fldChar w:fldCharType="separate"/>
      </w:r>
      <w:r>
        <w:t>22</w:t>
      </w:r>
      <w:r>
        <w:fldChar w:fldCharType="end"/>
      </w:r>
      <w:r>
        <w:rPr>
          <w:rFonts w:asciiTheme="minorEastAsia" w:hAnsiTheme="minorEastAsia" w:eastAsiaTheme="minorEastAsia"/>
          <w:szCs w:val="21"/>
          <w:highlight w:val="none"/>
        </w:rPr>
        <w:fldChar w:fldCharType="end"/>
      </w:r>
    </w:p>
    <w:p w14:paraId="2A00F9A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_Toc16226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7.1中标候选人公示</w:t>
      </w:r>
      <w:r>
        <w:tab/>
      </w:r>
      <w:r>
        <w:fldChar w:fldCharType="begin"/>
      </w:r>
      <w:r>
        <w:instrText xml:space="preserve"> PAGEREF _Toc16226 \h </w:instrText>
      </w:r>
      <w:r>
        <w:fldChar w:fldCharType="separate"/>
      </w:r>
      <w:r>
        <w:t>22</w:t>
      </w:r>
      <w:r>
        <w:fldChar w:fldCharType="end"/>
      </w:r>
      <w:r>
        <w:rPr>
          <w:rFonts w:asciiTheme="minorEastAsia" w:hAnsiTheme="minorEastAsia" w:eastAsiaTheme="minorEastAsia"/>
          <w:szCs w:val="21"/>
          <w:highlight w:val="none"/>
        </w:rPr>
        <w:fldChar w:fldCharType="end"/>
      </w:r>
    </w:p>
    <w:p w14:paraId="2D2B20F6">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_Toc15939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7.2</w:t>
      </w:r>
      <w:r>
        <w:rPr>
          <w:rFonts w:hint="eastAsia" w:asciiTheme="minorEastAsia" w:hAnsiTheme="minorEastAsia" w:eastAsiaTheme="minorEastAsia"/>
          <w:szCs w:val="24"/>
          <w:highlight w:val="none"/>
        </w:rPr>
        <w:t>确定中标人</w:t>
      </w:r>
      <w:r>
        <w:tab/>
      </w:r>
      <w:r>
        <w:fldChar w:fldCharType="begin"/>
      </w:r>
      <w:r>
        <w:instrText xml:space="preserve"> PAGEREF _Toc15939 \h </w:instrText>
      </w:r>
      <w:r>
        <w:fldChar w:fldCharType="separate"/>
      </w:r>
      <w:r>
        <w:t>22</w:t>
      </w:r>
      <w:r>
        <w:fldChar w:fldCharType="end"/>
      </w:r>
      <w:r>
        <w:rPr>
          <w:rFonts w:asciiTheme="minorEastAsia" w:hAnsiTheme="minorEastAsia" w:eastAsiaTheme="minorEastAsia"/>
          <w:szCs w:val="21"/>
          <w:highlight w:val="none"/>
        </w:rPr>
        <w:fldChar w:fldCharType="end"/>
      </w:r>
    </w:p>
    <w:p w14:paraId="274EF04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_Toc1118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7.3中标通知</w:t>
      </w:r>
      <w:r>
        <w:tab/>
      </w:r>
      <w:r>
        <w:fldChar w:fldCharType="begin"/>
      </w:r>
      <w:r>
        <w:instrText xml:space="preserve"> PAGEREF _Toc1118 \h </w:instrText>
      </w:r>
      <w:r>
        <w:fldChar w:fldCharType="separate"/>
      </w:r>
      <w:r>
        <w:t>23</w:t>
      </w:r>
      <w:r>
        <w:fldChar w:fldCharType="end"/>
      </w:r>
      <w:r>
        <w:rPr>
          <w:rFonts w:asciiTheme="minorEastAsia" w:hAnsiTheme="minorEastAsia" w:eastAsiaTheme="minorEastAsia"/>
          <w:szCs w:val="21"/>
          <w:highlight w:val="none"/>
        </w:rPr>
        <w:fldChar w:fldCharType="end"/>
      </w:r>
    </w:p>
    <w:p w14:paraId="38F28A9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_Toc32389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8. </w:t>
      </w:r>
      <w:r>
        <w:rPr>
          <w:rFonts w:hint="eastAsia" w:asciiTheme="minorEastAsia" w:hAnsiTheme="minorEastAsia" w:eastAsiaTheme="minorEastAsia"/>
          <w:szCs w:val="28"/>
          <w:highlight w:val="none"/>
        </w:rPr>
        <w:t>合同签订</w:t>
      </w:r>
      <w:r>
        <w:tab/>
      </w:r>
      <w:r>
        <w:fldChar w:fldCharType="begin"/>
      </w:r>
      <w:r>
        <w:instrText xml:space="preserve"> PAGEREF _Toc32389 \h </w:instrText>
      </w:r>
      <w:r>
        <w:fldChar w:fldCharType="separate"/>
      </w:r>
      <w:r>
        <w:t>23</w:t>
      </w:r>
      <w:r>
        <w:fldChar w:fldCharType="end"/>
      </w:r>
      <w:r>
        <w:rPr>
          <w:rFonts w:asciiTheme="minorEastAsia" w:hAnsiTheme="minorEastAsia" w:eastAsiaTheme="minorEastAsia"/>
          <w:szCs w:val="21"/>
          <w:highlight w:val="none"/>
        </w:rPr>
        <w:fldChar w:fldCharType="end"/>
      </w:r>
    </w:p>
    <w:p w14:paraId="554C3F98">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_Toc11417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8.1履约保证金</w:t>
      </w:r>
      <w:r>
        <w:tab/>
      </w:r>
      <w:r>
        <w:fldChar w:fldCharType="begin"/>
      </w:r>
      <w:r>
        <w:instrText xml:space="preserve"> PAGEREF _Toc11417 \h </w:instrText>
      </w:r>
      <w:r>
        <w:fldChar w:fldCharType="separate"/>
      </w:r>
      <w:r>
        <w:t>23</w:t>
      </w:r>
      <w:r>
        <w:fldChar w:fldCharType="end"/>
      </w:r>
      <w:r>
        <w:rPr>
          <w:rFonts w:asciiTheme="minorEastAsia" w:hAnsiTheme="minorEastAsia" w:eastAsiaTheme="minorEastAsia"/>
          <w:szCs w:val="21"/>
          <w:highlight w:val="none"/>
        </w:rPr>
        <w:fldChar w:fldCharType="end"/>
      </w:r>
    </w:p>
    <w:p w14:paraId="7C576E7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_Toc1780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8.2合同签订</w:t>
      </w:r>
      <w:r>
        <w:tab/>
      </w:r>
      <w:r>
        <w:fldChar w:fldCharType="begin"/>
      </w:r>
      <w:r>
        <w:instrText xml:space="preserve"> PAGEREF _Toc1780 \h </w:instrText>
      </w:r>
      <w:r>
        <w:fldChar w:fldCharType="separate"/>
      </w:r>
      <w:r>
        <w:t>23</w:t>
      </w:r>
      <w:r>
        <w:fldChar w:fldCharType="end"/>
      </w:r>
      <w:r>
        <w:rPr>
          <w:rFonts w:asciiTheme="minorEastAsia" w:hAnsiTheme="minorEastAsia" w:eastAsiaTheme="minorEastAsia"/>
          <w:szCs w:val="21"/>
          <w:highlight w:val="none"/>
        </w:rPr>
        <w:fldChar w:fldCharType="end"/>
      </w:r>
    </w:p>
    <w:p w14:paraId="7285A65F">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_Toc23442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9. </w:t>
      </w:r>
      <w:r>
        <w:rPr>
          <w:rFonts w:hint="eastAsia" w:asciiTheme="minorEastAsia" w:hAnsiTheme="minorEastAsia" w:eastAsiaTheme="minorEastAsia"/>
          <w:szCs w:val="28"/>
          <w:highlight w:val="none"/>
        </w:rPr>
        <w:t>招标代理服务费</w:t>
      </w:r>
      <w:r>
        <w:tab/>
      </w:r>
      <w:r>
        <w:fldChar w:fldCharType="begin"/>
      </w:r>
      <w:r>
        <w:instrText xml:space="preserve"> PAGEREF _Toc23442 \h </w:instrText>
      </w:r>
      <w:r>
        <w:fldChar w:fldCharType="separate"/>
      </w:r>
      <w:r>
        <w:t>23</w:t>
      </w:r>
      <w:r>
        <w:fldChar w:fldCharType="end"/>
      </w:r>
      <w:r>
        <w:rPr>
          <w:rFonts w:asciiTheme="minorEastAsia" w:hAnsiTheme="minorEastAsia" w:eastAsiaTheme="minorEastAsia"/>
          <w:szCs w:val="21"/>
          <w:highlight w:val="none"/>
        </w:rPr>
        <w:fldChar w:fldCharType="end"/>
      </w:r>
    </w:p>
    <w:p w14:paraId="2479AE1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_Toc15961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10. </w:t>
      </w:r>
      <w:r>
        <w:rPr>
          <w:rFonts w:hint="eastAsia" w:asciiTheme="minorEastAsia" w:hAnsiTheme="minorEastAsia" w:eastAsiaTheme="minorEastAsia"/>
          <w:szCs w:val="28"/>
          <w:highlight w:val="none"/>
        </w:rPr>
        <w:t>纪律和监督</w:t>
      </w:r>
      <w:r>
        <w:tab/>
      </w:r>
      <w:r>
        <w:fldChar w:fldCharType="begin"/>
      </w:r>
      <w:r>
        <w:instrText xml:space="preserve"> PAGEREF _Toc15961 \h </w:instrText>
      </w:r>
      <w:r>
        <w:fldChar w:fldCharType="separate"/>
      </w:r>
      <w:r>
        <w:t>23</w:t>
      </w:r>
      <w:r>
        <w:fldChar w:fldCharType="end"/>
      </w:r>
      <w:r>
        <w:rPr>
          <w:rFonts w:asciiTheme="minorEastAsia" w:hAnsiTheme="minorEastAsia" w:eastAsiaTheme="minorEastAsia"/>
          <w:szCs w:val="21"/>
          <w:highlight w:val="none"/>
        </w:rPr>
        <w:fldChar w:fldCharType="end"/>
      </w:r>
    </w:p>
    <w:p w14:paraId="31DFDAA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_Toc4364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10.1对招标人的纪律要求</w:t>
      </w:r>
      <w:r>
        <w:tab/>
      </w:r>
      <w:r>
        <w:fldChar w:fldCharType="begin"/>
      </w:r>
      <w:r>
        <w:instrText xml:space="preserve"> PAGEREF _Toc4364 \h </w:instrText>
      </w:r>
      <w:r>
        <w:fldChar w:fldCharType="separate"/>
      </w:r>
      <w:r>
        <w:t>23</w:t>
      </w:r>
      <w:r>
        <w:fldChar w:fldCharType="end"/>
      </w:r>
      <w:r>
        <w:rPr>
          <w:rFonts w:asciiTheme="minorEastAsia" w:hAnsiTheme="minorEastAsia" w:eastAsiaTheme="minorEastAsia"/>
          <w:szCs w:val="21"/>
          <w:highlight w:val="none"/>
        </w:rPr>
        <w:fldChar w:fldCharType="end"/>
      </w:r>
    </w:p>
    <w:p w14:paraId="3FB6338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_Toc4362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10.2对投标人的纪律要求</w:t>
      </w:r>
      <w:r>
        <w:tab/>
      </w:r>
      <w:r>
        <w:fldChar w:fldCharType="begin"/>
      </w:r>
      <w:r>
        <w:instrText xml:space="preserve"> PAGEREF _Toc4362 \h </w:instrText>
      </w:r>
      <w:r>
        <w:fldChar w:fldCharType="separate"/>
      </w:r>
      <w:r>
        <w:t>24</w:t>
      </w:r>
      <w:r>
        <w:fldChar w:fldCharType="end"/>
      </w:r>
      <w:r>
        <w:rPr>
          <w:rFonts w:asciiTheme="minorEastAsia" w:hAnsiTheme="minorEastAsia" w:eastAsiaTheme="minorEastAsia"/>
          <w:szCs w:val="21"/>
          <w:highlight w:val="none"/>
        </w:rPr>
        <w:fldChar w:fldCharType="end"/>
      </w:r>
    </w:p>
    <w:p w14:paraId="7B99FC58">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_Toc11582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10.3对评标委员会成员的纪律要求</w:t>
      </w:r>
      <w:r>
        <w:tab/>
      </w:r>
      <w:r>
        <w:fldChar w:fldCharType="begin"/>
      </w:r>
      <w:r>
        <w:instrText xml:space="preserve"> PAGEREF _Toc11582 \h </w:instrText>
      </w:r>
      <w:r>
        <w:fldChar w:fldCharType="separate"/>
      </w:r>
      <w:r>
        <w:t>24</w:t>
      </w:r>
      <w:r>
        <w:fldChar w:fldCharType="end"/>
      </w:r>
      <w:r>
        <w:rPr>
          <w:rFonts w:asciiTheme="minorEastAsia" w:hAnsiTheme="minorEastAsia" w:eastAsiaTheme="minorEastAsia"/>
          <w:szCs w:val="21"/>
          <w:highlight w:val="none"/>
        </w:rPr>
        <w:fldChar w:fldCharType="end"/>
      </w:r>
    </w:p>
    <w:p w14:paraId="48EEE3C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_Toc14026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10.4对与评标活动有关的工作人员的纪律要求</w:t>
      </w:r>
      <w:r>
        <w:tab/>
      </w:r>
      <w:r>
        <w:fldChar w:fldCharType="begin"/>
      </w:r>
      <w:r>
        <w:instrText xml:space="preserve"> PAGEREF _Toc14026 \h </w:instrText>
      </w:r>
      <w:r>
        <w:fldChar w:fldCharType="separate"/>
      </w:r>
      <w:r>
        <w:t>24</w:t>
      </w:r>
      <w:r>
        <w:fldChar w:fldCharType="end"/>
      </w:r>
      <w:r>
        <w:rPr>
          <w:rFonts w:asciiTheme="minorEastAsia" w:hAnsiTheme="minorEastAsia" w:eastAsiaTheme="minorEastAsia"/>
          <w:szCs w:val="21"/>
          <w:highlight w:val="none"/>
        </w:rPr>
        <w:fldChar w:fldCharType="end"/>
      </w:r>
    </w:p>
    <w:p w14:paraId="78BA18A8">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_Toc10140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10.5投诉</w:t>
      </w:r>
      <w:r>
        <w:tab/>
      </w:r>
      <w:r>
        <w:fldChar w:fldCharType="begin"/>
      </w:r>
      <w:r>
        <w:instrText xml:space="preserve"> PAGEREF _Toc10140 \h </w:instrText>
      </w:r>
      <w:r>
        <w:fldChar w:fldCharType="separate"/>
      </w:r>
      <w:r>
        <w:t>24</w:t>
      </w:r>
      <w:r>
        <w:fldChar w:fldCharType="end"/>
      </w:r>
      <w:r>
        <w:rPr>
          <w:rFonts w:asciiTheme="minorEastAsia" w:hAnsiTheme="minorEastAsia" w:eastAsiaTheme="minorEastAsia"/>
          <w:szCs w:val="21"/>
          <w:highlight w:val="none"/>
        </w:rPr>
        <w:fldChar w:fldCharType="end"/>
      </w:r>
    </w:p>
    <w:p w14:paraId="0963FC7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_Toc29944 </w:instrText>
      </w:r>
      <w:r>
        <w:rPr>
          <w:rFonts w:asciiTheme="minorEastAsia" w:hAnsiTheme="minorEastAsia" w:eastAsiaTheme="minorEastAsia"/>
          <w:szCs w:val="21"/>
          <w:highlight w:val="none"/>
        </w:rPr>
        <w:fldChar w:fldCharType="separate"/>
      </w:r>
      <w:r>
        <w:rPr>
          <w:rFonts w:hint="eastAsia" w:ascii="宋体" w:hAnsi="宋体" w:eastAsia="宋体"/>
          <w:szCs w:val="28"/>
        </w:rPr>
        <w:t xml:space="preserve">11. </w:t>
      </w:r>
      <w:r>
        <w:rPr>
          <w:rFonts w:hint="eastAsia" w:asciiTheme="minorEastAsia" w:hAnsiTheme="minorEastAsia" w:eastAsiaTheme="minorEastAsia"/>
          <w:szCs w:val="28"/>
          <w:highlight w:val="none"/>
        </w:rPr>
        <w:t>需要补充的其他内容</w:t>
      </w:r>
      <w:r>
        <w:tab/>
      </w:r>
      <w:r>
        <w:fldChar w:fldCharType="begin"/>
      </w:r>
      <w:r>
        <w:instrText xml:space="preserve"> PAGEREF _Toc29944 \h </w:instrText>
      </w:r>
      <w:r>
        <w:fldChar w:fldCharType="separate"/>
      </w:r>
      <w:r>
        <w:t>24</w:t>
      </w:r>
      <w:r>
        <w:fldChar w:fldCharType="end"/>
      </w:r>
      <w:r>
        <w:rPr>
          <w:rFonts w:asciiTheme="minorEastAsia" w:hAnsiTheme="minorEastAsia" w:eastAsiaTheme="minorEastAsia"/>
          <w:szCs w:val="21"/>
          <w:highlight w:val="none"/>
        </w:rPr>
        <w:fldChar w:fldCharType="end"/>
      </w:r>
    </w:p>
    <w:p w14:paraId="2C44B51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_Toc5338 </w:instrText>
      </w:r>
      <w:r>
        <w:rPr>
          <w:rFonts w:asciiTheme="minorEastAsia" w:hAnsiTheme="minorEastAsia" w:eastAsiaTheme="minorEastAsia"/>
          <w:szCs w:val="21"/>
          <w:highlight w:val="none"/>
        </w:rPr>
        <w:fldChar w:fldCharType="separate"/>
      </w:r>
      <w:r>
        <w:rPr>
          <w:rFonts w:hint="eastAsia" w:ascii="宋体" w:hAnsi="宋体" w:eastAsia="宋体" w:cs="宋体"/>
          <w:bCs w:val="0"/>
          <w:kern w:val="0"/>
          <w:szCs w:val="28"/>
          <w:highlight w:val="none"/>
        </w:rPr>
        <w:t>第三章评标办法（综合评估法）</w:t>
      </w:r>
      <w:r>
        <w:tab/>
      </w:r>
      <w:r>
        <w:fldChar w:fldCharType="begin"/>
      </w:r>
      <w:r>
        <w:instrText xml:space="preserve"> PAGEREF _Toc5338 \h </w:instrText>
      </w:r>
      <w:r>
        <w:fldChar w:fldCharType="separate"/>
      </w:r>
      <w:r>
        <w:t>25</w:t>
      </w:r>
      <w:r>
        <w:fldChar w:fldCharType="end"/>
      </w:r>
      <w:r>
        <w:rPr>
          <w:rFonts w:asciiTheme="minorEastAsia" w:hAnsiTheme="minorEastAsia" w:eastAsiaTheme="minorEastAsia"/>
          <w:szCs w:val="21"/>
          <w:highlight w:val="none"/>
        </w:rPr>
        <w:fldChar w:fldCharType="end"/>
      </w:r>
    </w:p>
    <w:p w14:paraId="0FF2FAD3">
      <w:pPr>
        <w:pStyle w:val="37"/>
        <w:tabs>
          <w:tab w:val="right" w:leader="dot" w:pos="8504"/>
          <w:tab w:val="clear" w:pos="567"/>
          <w:tab w:val="clear" w:pos="8505"/>
          <w:tab w:val="clear" w:pos="9628"/>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_Toc9985 </w:instrText>
      </w:r>
      <w:r>
        <w:rPr>
          <w:rFonts w:asciiTheme="minorEastAsia" w:hAnsiTheme="minorEastAsia" w:eastAsiaTheme="minorEastAsia"/>
          <w:szCs w:val="21"/>
          <w:highlight w:val="none"/>
        </w:rPr>
        <w:fldChar w:fldCharType="separate"/>
      </w:r>
      <w:r>
        <w:rPr>
          <w:rFonts w:hint="eastAsia" w:ascii="宋体" w:hAnsi="宋体" w:eastAsia="宋体" w:cs="宋体"/>
          <w:bCs w:val="0"/>
          <w:szCs w:val="24"/>
          <w:highlight w:val="none"/>
        </w:rPr>
        <w:t>评标办法前附表</w:t>
      </w:r>
      <w:r>
        <w:tab/>
      </w:r>
      <w:r>
        <w:fldChar w:fldCharType="begin"/>
      </w:r>
      <w:r>
        <w:instrText xml:space="preserve"> PAGEREF _Toc9985 \h </w:instrText>
      </w:r>
      <w:r>
        <w:fldChar w:fldCharType="separate"/>
      </w:r>
      <w:r>
        <w:t>25</w:t>
      </w:r>
      <w:r>
        <w:fldChar w:fldCharType="end"/>
      </w:r>
      <w:r>
        <w:rPr>
          <w:rFonts w:asciiTheme="minorEastAsia" w:hAnsiTheme="minorEastAsia" w:eastAsiaTheme="minorEastAsia"/>
          <w:szCs w:val="21"/>
          <w:highlight w:val="none"/>
        </w:rPr>
        <w:fldChar w:fldCharType="end"/>
      </w:r>
    </w:p>
    <w:p w14:paraId="35E9AD6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_Toc15896 </w:instrText>
      </w:r>
      <w:r>
        <w:rPr>
          <w:rFonts w:asciiTheme="minorEastAsia" w:hAnsiTheme="minorEastAsia" w:eastAsiaTheme="minorEastAsia"/>
          <w:szCs w:val="21"/>
          <w:highlight w:val="none"/>
        </w:rPr>
        <w:fldChar w:fldCharType="separate"/>
      </w:r>
      <w:r>
        <w:rPr>
          <w:rFonts w:hint="default" w:asciiTheme="minorEastAsia" w:hAnsiTheme="minorEastAsia" w:eastAsiaTheme="minorEastAsia"/>
          <w:szCs w:val="28"/>
        </w:rPr>
        <w:t xml:space="preserve">1. </w:t>
      </w:r>
      <w:r>
        <w:rPr>
          <w:rFonts w:hint="eastAsia" w:asciiTheme="minorEastAsia" w:hAnsiTheme="minorEastAsia" w:eastAsiaTheme="minorEastAsia"/>
          <w:szCs w:val="28"/>
          <w:highlight w:val="none"/>
        </w:rPr>
        <w:t>评标方法</w:t>
      </w:r>
      <w:r>
        <w:tab/>
      </w:r>
      <w:r>
        <w:fldChar w:fldCharType="begin"/>
      </w:r>
      <w:r>
        <w:instrText xml:space="preserve"> PAGEREF _Toc15896 \h </w:instrText>
      </w:r>
      <w:r>
        <w:fldChar w:fldCharType="separate"/>
      </w:r>
      <w:r>
        <w:t>33</w:t>
      </w:r>
      <w:r>
        <w:fldChar w:fldCharType="end"/>
      </w:r>
      <w:r>
        <w:rPr>
          <w:rFonts w:asciiTheme="minorEastAsia" w:hAnsiTheme="minorEastAsia" w:eastAsiaTheme="minorEastAsia"/>
          <w:szCs w:val="21"/>
          <w:highlight w:val="none"/>
        </w:rPr>
        <w:fldChar w:fldCharType="end"/>
      </w:r>
    </w:p>
    <w:p w14:paraId="739B12C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_Toc26463 </w:instrText>
      </w:r>
      <w:r>
        <w:rPr>
          <w:rFonts w:asciiTheme="minorEastAsia" w:hAnsiTheme="minorEastAsia" w:eastAsiaTheme="minorEastAsia"/>
          <w:szCs w:val="21"/>
          <w:highlight w:val="none"/>
        </w:rPr>
        <w:fldChar w:fldCharType="separate"/>
      </w:r>
      <w:r>
        <w:rPr>
          <w:rFonts w:hint="default" w:asciiTheme="minorEastAsia" w:hAnsiTheme="minorEastAsia" w:eastAsiaTheme="minorEastAsia"/>
          <w:szCs w:val="28"/>
        </w:rPr>
        <w:t xml:space="preserve">2. </w:t>
      </w:r>
      <w:r>
        <w:rPr>
          <w:rFonts w:hint="eastAsia" w:asciiTheme="minorEastAsia" w:hAnsiTheme="minorEastAsia" w:eastAsiaTheme="minorEastAsia"/>
          <w:szCs w:val="28"/>
          <w:highlight w:val="none"/>
        </w:rPr>
        <w:t>评审标准</w:t>
      </w:r>
      <w:r>
        <w:tab/>
      </w:r>
      <w:r>
        <w:fldChar w:fldCharType="begin"/>
      </w:r>
      <w:r>
        <w:instrText xml:space="preserve"> PAGEREF _Toc26463 \h </w:instrText>
      </w:r>
      <w:r>
        <w:fldChar w:fldCharType="separate"/>
      </w:r>
      <w:r>
        <w:t>33</w:t>
      </w:r>
      <w:r>
        <w:fldChar w:fldCharType="end"/>
      </w:r>
      <w:r>
        <w:rPr>
          <w:rFonts w:asciiTheme="minorEastAsia" w:hAnsiTheme="minorEastAsia" w:eastAsiaTheme="minorEastAsia"/>
          <w:szCs w:val="21"/>
          <w:highlight w:val="none"/>
        </w:rPr>
        <w:fldChar w:fldCharType="end"/>
      </w:r>
    </w:p>
    <w:p w14:paraId="122B520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_Toc23127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2.1初步评审标准</w:t>
      </w:r>
      <w:r>
        <w:tab/>
      </w:r>
      <w:r>
        <w:fldChar w:fldCharType="begin"/>
      </w:r>
      <w:r>
        <w:instrText xml:space="preserve"> PAGEREF _Toc23127 \h </w:instrText>
      </w:r>
      <w:r>
        <w:fldChar w:fldCharType="separate"/>
      </w:r>
      <w:r>
        <w:t>33</w:t>
      </w:r>
      <w:r>
        <w:fldChar w:fldCharType="end"/>
      </w:r>
      <w:r>
        <w:rPr>
          <w:rFonts w:asciiTheme="minorEastAsia" w:hAnsiTheme="minorEastAsia" w:eastAsiaTheme="minorEastAsia"/>
          <w:szCs w:val="21"/>
          <w:highlight w:val="none"/>
        </w:rPr>
        <w:fldChar w:fldCharType="end"/>
      </w:r>
    </w:p>
    <w:p w14:paraId="056EBA2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_Toc17848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2.2详细评审标准</w:t>
      </w:r>
      <w:r>
        <w:tab/>
      </w:r>
      <w:r>
        <w:fldChar w:fldCharType="begin"/>
      </w:r>
      <w:r>
        <w:instrText xml:space="preserve"> PAGEREF _Toc17848 \h </w:instrText>
      </w:r>
      <w:r>
        <w:fldChar w:fldCharType="separate"/>
      </w:r>
      <w:r>
        <w:t>33</w:t>
      </w:r>
      <w:r>
        <w:fldChar w:fldCharType="end"/>
      </w:r>
      <w:r>
        <w:rPr>
          <w:rFonts w:asciiTheme="minorEastAsia" w:hAnsiTheme="minorEastAsia" w:eastAsiaTheme="minorEastAsia"/>
          <w:szCs w:val="21"/>
          <w:highlight w:val="none"/>
        </w:rPr>
        <w:fldChar w:fldCharType="end"/>
      </w:r>
    </w:p>
    <w:p w14:paraId="5A9B69FE">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_Toc17574 </w:instrText>
      </w:r>
      <w:r>
        <w:rPr>
          <w:rFonts w:asciiTheme="minorEastAsia" w:hAnsiTheme="minorEastAsia" w:eastAsiaTheme="minorEastAsia"/>
          <w:szCs w:val="21"/>
          <w:highlight w:val="none"/>
        </w:rPr>
        <w:fldChar w:fldCharType="separate"/>
      </w:r>
      <w:r>
        <w:rPr>
          <w:rFonts w:hint="default" w:asciiTheme="minorEastAsia" w:hAnsiTheme="minorEastAsia" w:eastAsiaTheme="minorEastAsia"/>
          <w:szCs w:val="28"/>
        </w:rPr>
        <w:t xml:space="preserve">3. </w:t>
      </w:r>
      <w:r>
        <w:rPr>
          <w:rFonts w:hint="eastAsia" w:asciiTheme="minorEastAsia" w:hAnsiTheme="minorEastAsia" w:eastAsiaTheme="minorEastAsia"/>
          <w:szCs w:val="28"/>
          <w:highlight w:val="none"/>
        </w:rPr>
        <w:t>评标程序</w:t>
      </w:r>
      <w:r>
        <w:tab/>
      </w:r>
      <w:r>
        <w:fldChar w:fldCharType="begin"/>
      </w:r>
      <w:r>
        <w:instrText xml:space="preserve"> PAGEREF _Toc17574 \h </w:instrText>
      </w:r>
      <w:r>
        <w:fldChar w:fldCharType="separate"/>
      </w:r>
      <w:r>
        <w:t>33</w:t>
      </w:r>
      <w:r>
        <w:fldChar w:fldCharType="end"/>
      </w:r>
      <w:r>
        <w:rPr>
          <w:rFonts w:asciiTheme="minorEastAsia" w:hAnsiTheme="minorEastAsia" w:eastAsiaTheme="minorEastAsia"/>
          <w:szCs w:val="21"/>
          <w:highlight w:val="none"/>
        </w:rPr>
        <w:fldChar w:fldCharType="end"/>
      </w:r>
    </w:p>
    <w:p w14:paraId="130E04D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_Toc6876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3.1初步评审</w:t>
      </w:r>
      <w:r>
        <w:tab/>
      </w:r>
      <w:r>
        <w:fldChar w:fldCharType="begin"/>
      </w:r>
      <w:r>
        <w:instrText xml:space="preserve"> PAGEREF _Toc6876 \h </w:instrText>
      </w:r>
      <w:r>
        <w:fldChar w:fldCharType="separate"/>
      </w:r>
      <w:r>
        <w:t>33</w:t>
      </w:r>
      <w:r>
        <w:fldChar w:fldCharType="end"/>
      </w:r>
      <w:r>
        <w:rPr>
          <w:rFonts w:asciiTheme="minorEastAsia" w:hAnsiTheme="minorEastAsia" w:eastAsiaTheme="minorEastAsia"/>
          <w:szCs w:val="21"/>
          <w:highlight w:val="none"/>
        </w:rPr>
        <w:fldChar w:fldCharType="end"/>
      </w:r>
    </w:p>
    <w:p w14:paraId="6F2908F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_Toc7336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3.2详细评审</w:t>
      </w:r>
      <w:r>
        <w:tab/>
      </w:r>
      <w:r>
        <w:fldChar w:fldCharType="begin"/>
      </w:r>
      <w:r>
        <w:instrText xml:space="preserve"> PAGEREF _Toc7336 \h </w:instrText>
      </w:r>
      <w:r>
        <w:fldChar w:fldCharType="separate"/>
      </w:r>
      <w:r>
        <w:t>34</w:t>
      </w:r>
      <w:r>
        <w:fldChar w:fldCharType="end"/>
      </w:r>
      <w:r>
        <w:rPr>
          <w:rFonts w:asciiTheme="minorEastAsia" w:hAnsiTheme="minorEastAsia" w:eastAsiaTheme="minorEastAsia"/>
          <w:szCs w:val="21"/>
          <w:highlight w:val="none"/>
        </w:rPr>
        <w:fldChar w:fldCharType="end"/>
      </w:r>
    </w:p>
    <w:p w14:paraId="38C96FF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_Toc20906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4"/>
          <w:highlight w:val="none"/>
        </w:rPr>
        <w:t>3.3投标文件的澄清</w:t>
      </w:r>
      <w:r>
        <w:tab/>
      </w:r>
      <w:r>
        <w:fldChar w:fldCharType="begin"/>
      </w:r>
      <w:r>
        <w:instrText xml:space="preserve"> PAGEREF _Toc20906 \h </w:instrText>
      </w:r>
      <w:r>
        <w:fldChar w:fldCharType="separate"/>
      </w:r>
      <w:r>
        <w:t>34</w:t>
      </w:r>
      <w:r>
        <w:fldChar w:fldCharType="end"/>
      </w:r>
      <w:r>
        <w:rPr>
          <w:rFonts w:asciiTheme="minorEastAsia" w:hAnsiTheme="minorEastAsia" w:eastAsiaTheme="minorEastAsia"/>
          <w:szCs w:val="21"/>
          <w:highlight w:val="none"/>
        </w:rPr>
        <w:fldChar w:fldCharType="end"/>
      </w:r>
    </w:p>
    <w:p w14:paraId="2E38CBD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_Toc27749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3.4</w:t>
      </w:r>
      <w:r>
        <w:rPr>
          <w:rFonts w:hint="eastAsia" w:asciiTheme="minorEastAsia" w:hAnsiTheme="minorEastAsia" w:eastAsiaTheme="minorEastAsia"/>
          <w:szCs w:val="24"/>
          <w:highlight w:val="none"/>
        </w:rPr>
        <w:t>中标候选人推荐原则</w:t>
      </w:r>
      <w:r>
        <w:tab/>
      </w:r>
      <w:r>
        <w:fldChar w:fldCharType="begin"/>
      </w:r>
      <w:r>
        <w:instrText xml:space="preserve"> PAGEREF _Toc27749 \h </w:instrText>
      </w:r>
      <w:r>
        <w:fldChar w:fldCharType="separate"/>
      </w:r>
      <w:r>
        <w:t>35</w:t>
      </w:r>
      <w:r>
        <w:fldChar w:fldCharType="end"/>
      </w:r>
      <w:r>
        <w:rPr>
          <w:rFonts w:asciiTheme="minorEastAsia" w:hAnsiTheme="minorEastAsia" w:eastAsiaTheme="minorEastAsia"/>
          <w:szCs w:val="21"/>
          <w:highlight w:val="none"/>
        </w:rPr>
        <w:fldChar w:fldCharType="end"/>
      </w:r>
    </w:p>
    <w:p w14:paraId="3743D838">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_Toc29733 </w:instrText>
      </w:r>
      <w:r>
        <w:rPr>
          <w:rFonts w:asciiTheme="minorEastAsia" w:hAnsiTheme="minorEastAsia" w:eastAsiaTheme="minorEastAsia"/>
          <w:szCs w:val="21"/>
          <w:highlight w:val="none"/>
        </w:rPr>
        <w:fldChar w:fldCharType="separate"/>
      </w:r>
      <w:r>
        <w:rPr>
          <w:rFonts w:asciiTheme="minorEastAsia" w:hAnsiTheme="minorEastAsia" w:eastAsiaTheme="minorEastAsia"/>
          <w:szCs w:val="24"/>
          <w:highlight w:val="none"/>
        </w:rPr>
        <w:t>3.5</w:t>
      </w:r>
      <w:r>
        <w:rPr>
          <w:rFonts w:hint="eastAsia" w:asciiTheme="minorEastAsia" w:hAnsiTheme="minorEastAsia" w:eastAsiaTheme="minorEastAsia"/>
          <w:szCs w:val="24"/>
          <w:highlight w:val="none"/>
        </w:rPr>
        <w:t>评标结果</w:t>
      </w:r>
      <w:r>
        <w:tab/>
      </w:r>
      <w:r>
        <w:fldChar w:fldCharType="begin"/>
      </w:r>
      <w:r>
        <w:instrText xml:space="preserve"> PAGEREF _Toc29733 \h </w:instrText>
      </w:r>
      <w:r>
        <w:fldChar w:fldCharType="separate"/>
      </w:r>
      <w:r>
        <w:t>35</w:t>
      </w:r>
      <w:r>
        <w:fldChar w:fldCharType="end"/>
      </w:r>
      <w:r>
        <w:rPr>
          <w:rFonts w:asciiTheme="minorEastAsia" w:hAnsiTheme="minorEastAsia" w:eastAsiaTheme="minorEastAsia"/>
          <w:szCs w:val="21"/>
          <w:highlight w:val="none"/>
        </w:rPr>
        <w:fldChar w:fldCharType="end"/>
      </w:r>
    </w:p>
    <w:p w14:paraId="1BD0AC0F">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_Toc1409 </w:instrText>
      </w:r>
      <w:r>
        <w:rPr>
          <w:rFonts w:asciiTheme="minorEastAsia" w:hAnsiTheme="minorEastAsia" w:eastAsiaTheme="minorEastAsia"/>
          <w:szCs w:val="21"/>
          <w:highlight w:val="none"/>
        </w:rPr>
        <w:fldChar w:fldCharType="separate"/>
      </w:r>
      <w:r>
        <w:rPr>
          <w:rFonts w:hint="eastAsia" w:ascii="宋体" w:hAnsi="宋体" w:eastAsia="宋体" w:cs="宋体"/>
          <w:bCs w:val="0"/>
          <w:kern w:val="0"/>
          <w:szCs w:val="28"/>
          <w:highlight w:val="none"/>
        </w:rPr>
        <w:t>第四章</w:t>
      </w:r>
      <w:r>
        <w:rPr>
          <w:rFonts w:hint="eastAsia" w:ascii="宋体" w:hAnsi="宋体" w:eastAsia="宋体" w:cs="宋体"/>
          <w:bCs w:val="0"/>
          <w:kern w:val="0"/>
          <w:szCs w:val="28"/>
          <w:highlight w:val="none"/>
          <w:lang w:val="en-US" w:eastAsia="zh-CN"/>
        </w:rPr>
        <w:t xml:space="preserve"> </w:t>
      </w:r>
      <w:r>
        <w:rPr>
          <w:rFonts w:hint="eastAsia" w:ascii="宋体" w:hAnsi="宋体" w:eastAsia="宋体" w:cs="宋体"/>
          <w:bCs w:val="0"/>
          <w:kern w:val="0"/>
          <w:szCs w:val="28"/>
          <w:highlight w:val="none"/>
        </w:rPr>
        <w:t>合同条款</w:t>
      </w:r>
      <w:r>
        <w:tab/>
      </w:r>
      <w:r>
        <w:fldChar w:fldCharType="begin"/>
      </w:r>
      <w:r>
        <w:instrText xml:space="preserve"> PAGEREF _Toc1409 \h </w:instrText>
      </w:r>
      <w:r>
        <w:fldChar w:fldCharType="separate"/>
      </w:r>
      <w:r>
        <w:t>36</w:t>
      </w:r>
      <w:r>
        <w:fldChar w:fldCharType="end"/>
      </w:r>
      <w:r>
        <w:rPr>
          <w:rFonts w:asciiTheme="minorEastAsia" w:hAnsiTheme="minorEastAsia" w:eastAsiaTheme="minorEastAsia"/>
          <w:szCs w:val="21"/>
          <w:highlight w:val="none"/>
        </w:rPr>
        <w:fldChar w:fldCharType="end"/>
      </w:r>
    </w:p>
    <w:p w14:paraId="0455B75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_Toc24812 </w:instrText>
      </w:r>
      <w:r>
        <w:rPr>
          <w:rFonts w:asciiTheme="minorEastAsia" w:hAnsiTheme="minorEastAsia" w:eastAsiaTheme="minorEastAsia"/>
          <w:szCs w:val="21"/>
          <w:highlight w:val="none"/>
        </w:rPr>
        <w:fldChar w:fldCharType="separate"/>
      </w:r>
      <w:r>
        <w:rPr>
          <w:rFonts w:hint="eastAsia" w:ascii="宋体" w:hAnsi="宋体" w:eastAsia="宋体" w:cs="宋体"/>
          <w:bCs w:val="0"/>
          <w:kern w:val="0"/>
          <w:szCs w:val="28"/>
        </w:rPr>
        <w:t xml:space="preserve">第五章 </w:t>
      </w:r>
      <w:r>
        <w:rPr>
          <w:rFonts w:hint="eastAsia" w:ascii="宋体" w:hAnsi="宋体" w:eastAsia="宋体" w:cs="宋体"/>
          <w:bCs w:val="0"/>
          <w:kern w:val="0"/>
          <w:szCs w:val="28"/>
          <w:highlight w:val="none"/>
        </w:rPr>
        <w:t>技术规范书</w:t>
      </w:r>
      <w:r>
        <w:tab/>
      </w:r>
      <w:r>
        <w:fldChar w:fldCharType="begin"/>
      </w:r>
      <w:r>
        <w:instrText xml:space="preserve"> PAGEREF _Toc24812 \h </w:instrText>
      </w:r>
      <w:r>
        <w:fldChar w:fldCharType="separate"/>
      </w:r>
      <w:r>
        <w:t>110</w:t>
      </w:r>
      <w:r>
        <w:fldChar w:fldCharType="end"/>
      </w:r>
      <w:r>
        <w:rPr>
          <w:rFonts w:asciiTheme="minorEastAsia" w:hAnsiTheme="minorEastAsia" w:eastAsiaTheme="minorEastAsia"/>
          <w:szCs w:val="21"/>
          <w:highlight w:val="none"/>
        </w:rPr>
        <w:fldChar w:fldCharType="end"/>
      </w:r>
    </w:p>
    <w:p w14:paraId="5B65260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_Toc20988 </w:instrText>
      </w:r>
      <w:r>
        <w:rPr>
          <w:rFonts w:asciiTheme="minorEastAsia" w:hAnsiTheme="minorEastAsia" w:eastAsiaTheme="minorEastAsia"/>
          <w:szCs w:val="21"/>
          <w:highlight w:val="none"/>
        </w:rPr>
        <w:fldChar w:fldCharType="separate"/>
      </w:r>
      <w:r>
        <w:rPr>
          <w:rFonts w:hint="eastAsia" w:ascii="宋体" w:hAnsi="宋体" w:eastAsia="宋体" w:cs="宋体"/>
          <w:bCs w:val="0"/>
          <w:kern w:val="0"/>
          <w:szCs w:val="28"/>
          <w:highlight w:val="none"/>
        </w:rPr>
        <w:t>第六章  投标文件格式</w:t>
      </w:r>
      <w:r>
        <w:tab/>
      </w:r>
      <w:r>
        <w:fldChar w:fldCharType="begin"/>
      </w:r>
      <w:r>
        <w:instrText xml:space="preserve"> PAGEREF _Toc20988 \h </w:instrText>
      </w:r>
      <w:r>
        <w:fldChar w:fldCharType="separate"/>
      </w:r>
      <w:r>
        <w:t>163</w:t>
      </w:r>
      <w:r>
        <w:fldChar w:fldCharType="end"/>
      </w:r>
      <w:r>
        <w:rPr>
          <w:rFonts w:asciiTheme="minorEastAsia" w:hAnsiTheme="minorEastAsia" w:eastAsiaTheme="minorEastAsia"/>
          <w:szCs w:val="21"/>
          <w:highlight w:val="none"/>
        </w:rPr>
        <w:fldChar w:fldCharType="end"/>
      </w:r>
    </w:p>
    <w:p w14:paraId="0A61533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_Toc31895 </w:instrText>
      </w:r>
      <w:r>
        <w:rPr>
          <w:rFonts w:asciiTheme="minorEastAsia" w:hAnsiTheme="minorEastAsia" w:eastAsiaTheme="minorEastAsia"/>
          <w:szCs w:val="21"/>
          <w:highlight w:val="none"/>
        </w:rPr>
        <w:fldChar w:fldCharType="separate"/>
      </w:r>
      <w:r>
        <w:rPr>
          <w:rFonts w:hint="eastAsia" w:ascii="宋体" w:hAnsi="宋体"/>
          <w:szCs w:val="24"/>
          <w:highlight w:val="none"/>
        </w:rPr>
        <w:t>第一分册 商务投标文件</w:t>
      </w:r>
      <w:r>
        <w:tab/>
      </w:r>
      <w:r>
        <w:fldChar w:fldCharType="begin"/>
      </w:r>
      <w:r>
        <w:instrText xml:space="preserve"> PAGEREF _Toc31895 \h </w:instrText>
      </w:r>
      <w:r>
        <w:fldChar w:fldCharType="separate"/>
      </w:r>
      <w:r>
        <w:t>163</w:t>
      </w:r>
      <w:r>
        <w:fldChar w:fldCharType="end"/>
      </w:r>
      <w:r>
        <w:rPr>
          <w:rFonts w:asciiTheme="minorEastAsia" w:hAnsiTheme="minorEastAsia" w:eastAsiaTheme="minorEastAsia"/>
          <w:szCs w:val="21"/>
          <w:highlight w:val="none"/>
        </w:rPr>
        <w:fldChar w:fldCharType="end"/>
      </w:r>
    </w:p>
    <w:p w14:paraId="3688EA3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_Toc31731 </w:instrText>
      </w:r>
      <w:r>
        <w:rPr>
          <w:rFonts w:asciiTheme="minorEastAsia" w:hAnsiTheme="minorEastAsia" w:eastAsiaTheme="minorEastAsia"/>
          <w:szCs w:val="21"/>
          <w:highlight w:val="none"/>
        </w:rPr>
        <w:fldChar w:fldCharType="separate"/>
      </w:r>
      <w:r>
        <w:rPr>
          <w:rFonts w:hint="eastAsia" w:ascii="宋体" w:hAnsi="宋体"/>
          <w:szCs w:val="24"/>
        </w:rPr>
        <w:t xml:space="preserve">1. </w:t>
      </w:r>
      <w:r>
        <w:rPr>
          <w:rFonts w:hint="eastAsia" w:ascii="宋体" w:hAnsi="宋体"/>
          <w:szCs w:val="24"/>
          <w:highlight w:val="none"/>
        </w:rPr>
        <w:t>商务投标文件封面</w:t>
      </w:r>
      <w:r>
        <w:tab/>
      </w:r>
      <w:r>
        <w:fldChar w:fldCharType="begin"/>
      </w:r>
      <w:r>
        <w:instrText xml:space="preserve"> PAGEREF _Toc31731 \h </w:instrText>
      </w:r>
      <w:r>
        <w:fldChar w:fldCharType="separate"/>
      </w:r>
      <w:r>
        <w:t>163</w:t>
      </w:r>
      <w:r>
        <w:fldChar w:fldCharType="end"/>
      </w:r>
      <w:r>
        <w:rPr>
          <w:rFonts w:asciiTheme="minorEastAsia" w:hAnsiTheme="minorEastAsia" w:eastAsiaTheme="minorEastAsia"/>
          <w:szCs w:val="21"/>
          <w:highlight w:val="none"/>
        </w:rPr>
        <w:fldChar w:fldCharType="end"/>
      </w:r>
    </w:p>
    <w:p w14:paraId="05E3E74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_Toc332 </w:instrText>
      </w:r>
      <w:r>
        <w:rPr>
          <w:rFonts w:asciiTheme="minorEastAsia" w:hAnsiTheme="minorEastAsia" w:eastAsiaTheme="minorEastAsia"/>
          <w:szCs w:val="21"/>
          <w:highlight w:val="none"/>
        </w:rPr>
        <w:fldChar w:fldCharType="separate"/>
      </w:r>
      <w:r>
        <w:rPr>
          <w:rFonts w:hint="eastAsia" w:ascii="宋体" w:hAnsi="宋体"/>
          <w:szCs w:val="24"/>
        </w:rPr>
        <w:t xml:space="preserve">2. </w:t>
      </w:r>
      <w:r>
        <w:rPr>
          <w:rFonts w:hint="eastAsia" w:ascii="宋体" w:hAnsi="宋体"/>
          <w:szCs w:val="24"/>
          <w:highlight w:val="none"/>
        </w:rPr>
        <w:t>投标专用印章授权函（如有）</w:t>
      </w:r>
      <w:r>
        <w:tab/>
      </w:r>
      <w:r>
        <w:fldChar w:fldCharType="begin"/>
      </w:r>
      <w:r>
        <w:instrText xml:space="preserve"> PAGEREF _Toc332 \h </w:instrText>
      </w:r>
      <w:r>
        <w:fldChar w:fldCharType="separate"/>
      </w:r>
      <w:r>
        <w:t>164</w:t>
      </w:r>
      <w:r>
        <w:fldChar w:fldCharType="end"/>
      </w:r>
      <w:r>
        <w:rPr>
          <w:rFonts w:asciiTheme="minorEastAsia" w:hAnsiTheme="minorEastAsia" w:eastAsiaTheme="minorEastAsia"/>
          <w:szCs w:val="21"/>
          <w:highlight w:val="none"/>
        </w:rPr>
        <w:fldChar w:fldCharType="end"/>
      </w:r>
    </w:p>
    <w:p w14:paraId="4434D66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_Toc11088 </w:instrText>
      </w:r>
      <w:r>
        <w:rPr>
          <w:rFonts w:asciiTheme="minorEastAsia" w:hAnsiTheme="minorEastAsia" w:eastAsiaTheme="minorEastAsia"/>
          <w:szCs w:val="21"/>
          <w:highlight w:val="none"/>
        </w:rPr>
        <w:fldChar w:fldCharType="separate"/>
      </w:r>
      <w:r>
        <w:rPr>
          <w:rFonts w:hint="eastAsia" w:ascii="宋体" w:hAnsi="宋体"/>
          <w:szCs w:val="24"/>
        </w:rPr>
        <w:t xml:space="preserve">3. </w:t>
      </w:r>
      <w:r>
        <w:rPr>
          <w:rFonts w:hint="eastAsia" w:ascii="宋体" w:hAnsi="宋体"/>
          <w:szCs w:val="24"/>
          <w:highlight w:val="none"/>
        </w:rPr>
        <w:t>投标函</w:t>
      </w:r>
      <w:r>
        <w:tab/>
      </w:r>
      <w:r>
        <w:fldChar w:fldCharType="begin"/>
      </w:r>
      <w:r>
        <w:instrText xml:space="preserve"> PAGEREF _Toc11088 \h </w:instrText>
      </w:r>
      <w:r>
        <w:fldChar w:fldCharType="separate"/>
      </w:r>
      <w:r>
        <w:t>165</w:t>
      </w:r>
      <w:r>
        <w:fldChar w:fldCharType="end"/>
      </w:r>
      <w:r>
        <w:rPr>
          <w:rFonts w:asciiTheme="minorEastAsia" w:hAnsiTheme="minorEastAsia" w:eastAsiaTheme="minorEastAsia"/>
          <w:szCs w:val="21"/>
          <w:highlight w:val="none"/>
        </w:rPr>
        <w:fldChar w:fldCharType="end"/>
      </w:r>
    </w:p>
    <w:p w14:paraId="2455386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_Toc27991 </w:instrText>
      </w:r>
      <w:r>
        <w:rPr>
          <w:rFonts w:asciiTheme="minorEastAsia" w:hAnsiTheme="minorEastAsia" w:eastAsiaTheme="minorEastAsia"/>
          <w:szCs w:val="21"/>
          <w:highlight w:val="none"/>
        </w:rPr>
        <w:fldChar w:fldCharType="separate"/>
      </w:r>
      <w:r>
        <w:rPr>
          <w:rFonts w:hint="eastAsia" w:ascii="宋体" w:hAnsi="宋体"/>
          <w:szCs w:val="24"/>
        </w:rPr>
        <w:t xml:space="preserve">4. </w:t>
      </w:r>
      <w:r>
        <w:rPr>
          <w:rFonts w:ascii="宋体" w:hAnsi="宋体"/>
          <w:szCs w:val="24"/>
          <w:highlight w:val="none"/>
        </w:rPr>
        <w:t>法定代表人/负责人身份证明</w:t>
      </w:r>
      <w:r>
        <w:tab/>
      </w:r>
      <w:r>
        <w:fldChar w:fldCharType="begin"/>
      </w:r>
      <w:r>
        <w:instrText xml:space="preserve"> PAGEREF _Toc27991 \h </w:instrText>
      </w:r>
      <w:r>
        <w:fldChar w:fldCharType="separate"/>
      </w:r>
      <w:r>
        <w:t>167</w:t>
      </w:r>
      <w:r>
        <w:fldChar w:fldCharType="end"/>
      </w:r>
      <w:r>
        <w:rPr>
          <w:rFonts w:asciiTheme="minorEastAsia" w:hAnsiTheme="minorEastAsia" w:eastAsiaTheme="minorEastAsia"/>
          <w:szCs w:val="21"/>
          <w:highlight w:val="none"/>
        </w:rPr>
        <w:fldChar w:fldCharType="end"/>
      </w:r>
    </w:p>
    <w:p w14:paraId="33185178">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_Toc27820 </w:instrText>
      </w:r>
      <w:r>
        <w:rPr>
          <w:rFonts w:asciiTheme="minorEastAsia" w:hAnsiTheme="minorEastAsia" w:eastAsiaTheme="minorEastAsia"/>
          <w:szCs w:val="21"/>
          <w:highlight w:val="none"/>
        </w:rPr>
        <w:fldChar w:fldCharType="separate"/>
      </w:r>
      <w:r>
        <w:rPr>
          <w:rFonts w:hint="eastAsia" w:ascii="宋体" w:hAnsi="宋体"/>
          <w:szCs w:val="24"/>
        </w:rPr>
        <w:t xml:space="preserve">5. </w:t>
      </w:r>
      <w:r>
        <w:rPr>
          <w:rFonts w:ascii="宋体" w:hAnsi="宋体"/>
          <w:szCs w:val="24"/>
          <w:highlight w:val="none"/>
        </w:rPr>
        <w:t>法定代表人/负责人授权委托书</w:t>
      </w:r>
      <w:r>
        <w:tab/>
      </w:r>
      <w:r>
        <w:fldChar w:fldCharType="begin"/>
      </w:r>
      <w:r>
        <w:instrText xml:space="preserve"> PAGEREF _Toc27820 \h </w:instrText>
      </w:r>
      <w:r>
        <w:fldChar w:fldCharType="separate"/>
      </w:r>
      <w:r>
        <w:t>168</w:t>
      </w:r>
      <w:r>
        <w:fldChar w:fldCharType="end"/>
      </w:r>
      <w:r>
        <w:rPr>
          <w:rFonts w:asciiTheme="minorEastAsia" w:hAnsiTheme="minorEastAsia" w:eastAsiaTheme="minorEastAsia"/>
          <w:szCs w:val="21"/>
          <w:highlight w:val="none"/>
        </w:rPr>
        <w:fldChar w:fldCharType="end"/>
      </w:r>
    </w:p>
    <w:p w14:paraId="46B78B9F">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_Toc31393 </w:instrText>
      </w:r>
      <w:r>
        <w:rPr>
          <w:rFonts w:asciiTheme="minorEastAsia" w:hAnsiTheme="minorEastAsia" w:eastAsiaTheme="minorEastAsia"/>
          <w:szCs w:val="21"/>
          <w:highlight w:val="none"/>
        </w:rPr>
        <w:fldChar w:fldCharType="separate"/>
      </w:r>
      <w:r>
        <w:rPr>
          <w:rFonts w:hint="eastAsia" w:ascii="宋体" w:hAnsi="宋体"/>
          <w:szCs w:val="24"/>
        </w:rPr>
        <w:t xml:space="preserve">6. </w:t>
      </w:r>
      <w:r>
        <w:rPr>
          <w:rFonts w:hint="eastAsia" w:ascii="宋体" w:hAnsi="宋体"/>
          <w:szCs w:val="24"/>
          <w:highlight w:val="none"/>
        </w:rPr>
        <w:t>廉洁投标承诺书</w:t>
      </w:r>
      <w:r>
        <w:tab/>
      </w:r>
      <w:r>
        <w:fldChar w:fldCharType="begin"/>
      </w:r>
      <w:r>
        <w:instrText xml:space="preserve"> PAGEREF _Toc31393 \h </w:instrText>
      </w:r>
      <w:r>
        <w:fldChar w:fldCharType="separate"/>
      </w:r>
      <w:r>
        <w:t>169</w:t>
      </w:r>
      <w:r>
        <w:fldChar w:fldCharType="end"/>
      </w:r>
      <w:r>
        <w:rPr>
          <w:rFonts w:asciiTheme="minorEastAsia" w:hAnsiTheme="minorEastAsia" w:eastAsiaTheme="minorEastAsia"/>
          <w:szCs w:val="21"/>
          <w:highlight w:val="none"/>
        </w:rPr>
        <w:fldChar w:fldCharType="end"/>
      </w:r>
    </w:p>
    <w:p w14:paraId="3C8A2B14">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_Toc22612 </w:instrText>
      </w:r>
      <w:r>
        <w:rPr>
          <w:rFonts w:asciiTheme="minorEastAsia" w:hAnsiTheme="minorEastAsia" w:eastAsiaTheme="minorEastAsia"/>
          <w:szCs w:val="21"/>
          <w:highlight w:val="none"/>
        </w:rPr>
        <w:fldChar w:fldCharType="separate"/>
      </w:r>
      <w:r>
        <w:rPr>
          <w:rFonts w:hint="eastAsia" w:ascii="宋体" w:hAnsi="宋体"/>
          <w:szCs w:val="24"/>
        </w:rPr>
        <w:t xml:space="preserve">7. </w:t>
      </w:r>
      <w:r>
        <w:rPr>
          <w:rFonts w:hint="eastAsia" w:ascii="宋体" w:hAnsi="宋体"/>
          <w:szCs w:val="24"/>
          <w:highlight w:val="none"/>
        </w:rPr>
        <w:t>近</w:t>
      </w:r>
      <w:r>
        <w:rPr>
          <w:rFonts w:hint="eastAsia" w:ascii="宋体" w:hAnsi="宋体"/>
          <w:highlight w:val="none"/>
        </w:rPr>
        <w:t>【五】</w:t>
      </w:r>
      <w:r>
        <w:rPr>
          <w:rFonts w:hint="eastAsia" w:ascii="宋体" w:hAnsi="宋体"/>
          <w:szCs w:val="24"/>
          <w:highlight w:val="none"/>
        </w:rPr>
        <w:t>年发生的诉讼及仲裁情况</w:t>
      </w:r>
      <w:r>
        <w:tab/>
      </w:r>
      <w:r>
        <w:fldChar w:fldCharType="begin"/>
      </w:r>
      <w:r>
        <w:instrText xml:space="preserve"> PAGEREF _Toc22612 \h </w:instrText>
      </w:r>
      <w:r>
        <w:fldChar w:fldCharType="separate"/>
      </w:r>
      <w:r>
        <w:t>170</w:t>
      </w:r>
      <w:r>
        <w:fldChar w:fldCharType="end"/>
      </w:r>
      <w:r>
        <w:rPr>
          <w:rFonts w:asciiTheme="minorEastAsia" w:hAnsiTheme="minorEastAsia" w:eastAsiaTheme="minorEastAsia"/>
          <w:szCs w:val="21"/>
          <w:highlight w:val="none"/>
        </w:rPr>
        <w:fldChar w:fldCharType="end"/>
      </w:r>
    </w:p>
    <w:p w14:paraId="7B657F3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_Toc26161 </w:instrText>
      </w:r>
      <w:r>
        <w:rPr>
          <w:rFonts w:asciiTheme="minorEastAsia" w:hAnsiTheme="minorEastAsia" w:eastAsiaTheme="minorEastAsia"/>
          <w:szCs w:val="21"/>
          <w:highlight w:val="none"/>
        </w:rPr>
        <w:fldChar w:fldCharType="separate"/>
      </w:r>
      <w:r>
        <w:rPr>
          <w:rFonts w:hint="eastAsia" w:ascii="宋体" w:hAnsi="宋体"/>
          <w:szCs w:val="24"/>
        </w:rPr>
        <w:t xml:space="preserve">8. </w:t>
      </w:r>
      <w:r>
        <w:rPr>
          <w:rFonts w:hint="eastAsia" w:ascii="宋体" w:hAnsi="宋体"/>
          <w:szCs w:val="24"/>
          <w:highlight w:val="none"/>
        </w:rPr>
        <w:t>招标代理服务费支付承诺函</w:t>
      </w:r>
      <w:r>
        <w:tab/>
      </w:r>
      <w:r>
        <w:fldChar w:fldCharType="begin"/>
      </w:r>
      <w:r>
        <w:instrText xml:space="preserve"> PAGEREF _Toc26161 \h </w:instrText>
      </w:r>
      <w:r>
        <w:fldChar w:fldCharType="separate"/>
      </w:r>
      <w:r>
        <w:t>171</w:t>
      </w:r>
      <w:r>
        <w:fldChar w:fldCharType="end"/>
      </w:r>
      <w:r>
        <w:rPr>
          <w:rFonts w:asciiTheme="minorEastAsia" w:hAnsiTheme="minorEastAsia" w:eastAsiaTheme="minorEastAsia"/>
          <w:szCs w:val="21"/>
          <w:highlight w:val="none"/>
        </w:rPr>
        <w:fldChar w:fldCharType="end"/>
      </w:r>
    </w:p>
    <w:p w14:paraId="3495512E">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_Toc20141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rPr>
        <w:t xml:space="preserve">9. </w:t>
      </w:r>
      <w:r>
        <w:rPr>
          <w:rFonts w:hint="eastAsia" w:ascii="宋体" w:hAnsi="宋体" w:eastAsia="宋体" w:cs="Times New Roman"/>
          <w:szCs w:val="24"/>
          <w:highlight w:val="none"/>
          <w:lang w:val="en-US" w:eastAsia="zh-CN"/>
        </w:rPr>
        <w:t>营业执照</w:t>
      </w:r>
      <w:r>
        <w:tab/>
      </w:r>
      <w:r>
        <w:fldChar w:fldCharType="begin"/>
      </w:r>
      <w:r>
        <w:instrText xml:space="preserve"> PAGEREF _Toc20141 \h </w:instrText>
      </w:r>
      <w:r>
        <w:fldChar w:fldCharType="separate"/>
      </w:r>
      <w:r>
        <w:t>172</w:t>
      </w:r>
      <w:r>
        <w:fldChar w:fldCharType="end"/>
      </w:r>
      <w:r>
        <w:rPr>
          <w:rFonts w:asciiTheme="minorEastAsia" w:hAnsiTheme="minorEastAsia" w:eastAsiaTheme="minorEastAsia"/>
          <w:szCs w:val="21"/>
          <w:highlight w:val="none"/>
        </w:rPr>
        <w:fldChar w:fldCharType="end"/>
      </w:r>
    </w:p>
    <w:p w14:paraId="657CF2B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_Toc2613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lang w:val="en-US" w:eastAsia="zh-CN"/>
        </w:rPr>
        <w:t xml:space="preserve">10. </w:t>
      </w:r>
      <w:r>
        <w:rPr>
          <w:rFonts w:hint="eastAsia" w:ascii="宋体" w:hAnsi="宋体" w:eastAsia="宋体" w:cs="Times New Roman"/>
          <w:szCs w:val="24"/>
          <w:highlight w:val="none"/>
          <w:lang w:val="en-US" w:eastAsia="zh-CN"/>
        </w:rPr>
        <w:t>财务要求</w:t>
      </w:r>
      <w:r>
        <w:tab/>
      </w:r>
      <w:r>
        <w:fldChar w:fldCharType="begin"/>
      </w:r>
      <w:r>
        <w:instrText xml:space="preserve"> PAGEREF _Toc2613 \h </w:instrText>
      </w:r>
      <w:r>
        <w:fldChar w:fldCharType="separate"/>
      </w:r>
      <w:r>
        <w:t>172</w:t>
      </w:r>
      <w:r>
        <w:fldChar w:fldCharType="end"/>
      </w:r>
      <w:r>
        <w:rPr>
          <w:rFonts w:asciiTheme="minorEastAsia" w:hAnsiTheme="minorEastAsia" w:eastAsiaTheme="minorEastAsia"/>
          <w:szCs w:val="21"/>
          <w:highlight w:val="none"/>
        </w:rPr>
        <w:fldChar w:fldCharType="end"/>
      </w:r>
    </w:p>
    <w:p w14:paraId="7C3A749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_Toc14100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lang w:val="en-US" w:eastAsia="zh-CN"/>
        </w:rPr>
        <w:t xml:space="preserve">11. </w:t>
      </w:r>
      <w:r>
        <w:rPr>
          <w:rFonts w:hint="eastAsia" w:ascii="宋体" w:hAnsi="宋体" w:eastAsia="宋体" w:cs="Times New Roman"/>
          <w:szCs w:val="24"/>
          <w:highlight w:val="none"/>
          <w:lang w:val="en-US" w:eastAsia="zh-CN"/>
        </w:rPr>
        <w:t>企业资质</w:t>
      </w:r>
      <w:r>
        <w:tab/>
      </w:r>
      <w:r>
        <w:fldChar w:fldCharType="begin"/>
      </w:r>
      <w:r>
        <w:instrText xml:space="preserve"> PAGEREF _Toc14100 \h </w:instrText>
      </w:r>
      <w:r>
        <w:fldChar w:fldCharType="separate"/>
      </w:r>
      <w:r>
        <w:t>172</w:t>
      </w:r>
      <w:r>
        <w:fldChar w:fldCharType="end"/>
      </w:r>
      <w:r>
        <w:rPr>
          <w:rFonts w:asciiTheme="minorEastAsia" w:hAnsiTheme="minorEastAsia" w:eastAsiaTheme="minorEastAsia"/>
          <w:szCs w:val="21"/>
          <w:highlight w:val="none"/>
        </w:rPr>
        <w:fldChar w:fldCharType="end"/>
      </w:r>
    </w:p>
    <w:p w14:paraId="605940AE">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_Toc5819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lang w:val="en-US" w:eastAsia="zh-CN"/>
        </w:rPr>
        <w:t xml:space="preserve">12. </w:t>
      </w:r>
      <w:r>
        <w:rPr>
          <w:rFonts w:hint="eastAsia" w:ascii="宋体" w:hAnsi="宋体" w:eastAsia="宋体" w:cs="Times New Roman"/>
          <w:szCs w:val="24"/>
          <w:highlight w:val="none"/>
          <w:lang w:val="en-US" w:eastAsia="zh-CN"/>
        </w:rPr>
        <w:t>CMMI认证</w:t>
      </w:r>
      <w:r>
        <w:tab/>
      </w:r>
      <w:r>
        <w:fldChar w:fldCharType="begin"/>
      </w:r>
      <w:r>
        <w:instrText xml:space="preserve"> PAGEREF _Toc5819 \h </w:instrText>
      </w:r>
      <w:r>
        <w:fldChar w:fldCharType="separate"/>
      </w:r>
      <w:r>
        <w:t>172</w:t>
      </w:r>
      <w:r>
        <w:fldChar w:fldCharType="end"/>
      </w:r>
      <w:r>
        <w:rPr>
          <w:rFonts w:asciiTheme="minorEastAsia" w:hAnsiTheme="minorEastAsia" w:eastAsiaTheme="minorEastAsia"/>
          <w:szCs w:val="21"/>
          <w:highlight w:val="none"/>
        </w:rPr>
        <w:fldChar w:fldCharType="end"/>
      </w:r>
    </w:p>
    <w:p w14:paraId="43BE5D9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_Toc798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lang w:val="en-US" w:eastAsia="zh-CN"/>
        </w:rPr>
        <w:t xml:space="preserve">13. </w:t>
      </w:r>
      <w:r>
        <w:rPr>
          <w:rFonts w:hint="eastAsia" w:ascii="宋体" w:hAnsi="宋体" w:eastAsia="宋体" w:cs="Times New Roman"/>
          <w:szCs w:val="24"/>
          <w:highlight w:val="none"/>
          <w:lang w:val="en-US" w:eastAsia="zh-CN"/>
        </w:rPr>
        <w:t>“投标人资格要求”承诺书</w:t>
      </w:r>
      <w:r>
        <w:tab/>
      </w:r>
      <w:r>
        <w:fldChar w:fldCharType="begin"/>
      </w:r>
      <w:r>
        <w:instrText xml:space="preserve"> PAGEREF _Toc798 \h </w:instrText>
      </w:r>
      <w:r>
        <w:fldChar w:fldCharType="separate"/>
      </w:r>
      <w:r>
        <w:t>173</w:t>
      </w:r>
      <w:r>
        <w:fldChar w:fldCharType="end"/>
      </w:r>
      <w:r>
        <w:rPr>
          <w:rFonts w:asciiTheme="minorEastAsia" w:hAnsiTheme="minorEastAsia" w:eastAsiaTheme="minorEastAsia"/>
          <w:szCs w:val="21"/>
          <w:highlight w:val="none"/>
        </w:rPr>
        <w:fldChar w:fldCharType="end"/>
      </w:r>
    </w:p>
    <w:p w14:paraId="2566AE3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_Toc6577 </w:instrText>
      </w:r>
      <w:r>
        <w:rPr>
          <w:rFonts w:asciiTheme="minorEastAsia" w:hAnsiTheme="minorEastAsia" w:eastAsiaTheme="minorEastAsia"/>
          <w:szCs w:val="21"/>
          <w:highlight w:val="none"/>
        </w:rPr>
        <w:fldChar w:fldCharType="separate"/>
      </w:r>
      <w:r>
        <w:rPr>
          <w:rFonts w:hint="eastAsia" w:ascii="宋体" w:hAnsi="宋体" w:eastAsia="宋体" w:cs="Times New Roman"/>
          <w:szCs w:val="24"/>
        </w:rPr>
        <w:t xml:space="preserve">14. </w:t>
      </w:r>
      <w:r>
        <w:rPr>
          <w:rFonts w:hint="eastAsia" w:ascii="宋体" w:hAnsi="宋体" w:eastAsia="宋体" w:cs="Times New Roman"/>
          <w:szCs w:val="24"/>
          <w:highlight w:val="none"/>
        </w:rPr>
        <w:t>失信被执行人查询截图</w:t>
      </w:r>
      <w:r>
        <w:tab/>
      </w:r>
      <w:r>
        <w:fldChar w:fldCharType="begin"/>
      </w:r>
      <w:r>
        <w:instrText xml:space="preserve"> PAGEREF _Toc6577 \h </w:instrText>
      </w:r>
      <w:r>
        <w:fldChar w:fldCharType="separate"/>
      </w:r>
      <w:r>
        <w:t>175</w:t>
      </w:r>
      <w:r>
        <w:fldChar w:fldCharType="end"/>
      </w:r>
      <w:r>
        <w:rPr>
          <w:rFonts w:asciiTheme="minorEastAsia" w:hAnsiTheme="minorEastAsia" w:eastAsiaTheme="minorEastAsia"/>
          <w:szCs w:val="21"/>
          <w:highlight w:val="none"/>
        </w:rPr>
        <w:fldChar w:fldCharType="end"/>
      </w:r>
    </w:p>
    <w:p w14:paraId="064B71F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_Toc31533 </w:instrText>
      </w:r>
      <w:r>
        <w:rPr>
          <w:rFonts w:asciiTheme="minorEastAsia" w:hAnsiTheme="minorEastAsia" w:eastAsiaTheme="minorEastAsia"/>
          <w:szCs w:val="21"/>
          <w:highlight w:val="none"/>
        </w:rPr>
        <w:fldChar w:fldCharType="separate"/>
      </w:r>
      <w:r>
        <w:rPr>
          <w:rFonts w:hint="eastAsia" w:ascii="宋体" w:hAnsi="宋体"/>
          <w:szCs w:val="24"/>
        </w:rPr>
        <w:t xml:space="preserve">15. </w:t>
      </w:r>
      <w:r>
        <w:rPr>
          <w:rFonts w:hint="eastAsia" w:ascii="宋体" w:hAnsi="宋体"/>
          <w:szCs w:val="24"/>
          <w:highlight w:val="none"/>
          <w:lang w:val="en-US" w:eastAsia="zh-CN"/>
        </w:rPr>
        <w:t>类似项目业绩</w:t>
      </w:r>
      <w:r>
        <w:tab/>
      </w:r>
      <w:r>
        <w:fldChar w:fldCharType="begin"/>
      </w:r>
      <w:r>
        <w:instrText xml:space="preserve"> PAGEREF _Toc31533 \h </w:instrText>
      </w:r>
      <w:r>
        <w:fldChar w:fldCharType="separate"/>
      </w:r>
      <w:r>
        <w:t>176</w:t>
      </w:r>
      <w:r>
        <w:fldChar w:fldCharType="end"/>
      </w:r>
      <w:r>
        <w:rPr>
          <w:rFonts w:asciiTheme="minorEastAsia" w:hAnsiTheme="minorEastAsia" w:eastAsiaTheme="minorEastAsia"/>
          <w:szCs w:val="21"/>
          <w:highlight w:val="none"/>
        </w:rPr>
        <w:fldChar w:fldCharType="end"/>
      </w:r>
    </w:p>
    <w:p w14:paraId="0D53BAE4">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_Toc3006 </w:instrText>
      </w:r>
      <w:r>
        <w:rPr>
          <w:rFonts w:asciiTheme="minorEastAsia" w:hAnsiTheme="minorEastAsia" w:eastAsiaTheme="minorEastAsia"/>
          <w:szCs w:val="21"/>
          <w:highlight w:val="none"/>
        </w:rPr>
        <w:fldChar w:fldCharType="separate"/>
      </w:r>
      <w:r>
        <w:rPr>
          <w:rFonts w:hint="eastAsia" w:ascii="宋体" w:hAnsi="宋体"/>
          <w:szCs w:val="24"/>
        </w:rPr>
        <w:t xml:space="preserve">16. </w:t>
      </w:r>
      <w:r>
        <w:rPr>
          <w:rFonts w:hint="eastAsia" w:ascii="宋体" w:hAnsi="宋体"/>
          <w:szCs w:val="24"/>
          <w:highlight w:val="none"/>
        </w:rPr>
        <w:t>投标人控股及管理关系情况申报表</w:t>
      </w:r>
      <w:r>
        <w:tab/>
      </w:r>
      <w:r>
        <w:fldChar w:fldCharType="begin"/>
      </w:r>
      <w:r>
        <w:instrText xml:space="preserve"> PAGEREF _Toc3006 \h </w:instrText>
      </w:r>
      <w:r>
        <w:fldChar w:fldCharType="separate"/>
      </w:r>
      <w:r>
        <w:t>177</w:t>
      </w:r>
      <w:r>
        <w:fldChar w:fldCharType="end"/>
      </w:r>
      <w:r>
        <w:rPr>
          <w:rFonts w:asciiTheme="minorEastAsia" w:hAnsiTheme="minorEastAsia" w:eastAsiaTheme="minorEastAsia"/>
          <w:szCs w:val="21"/>
          <w:highlight w:val="none"/>
        </w:rPr>
        <w:fldChar w:fldCharType="end"/>
      </w:r>
    </w:p>
    <w:p w14:paraId="51D3DBA2">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_Toc21571 </w:instrText>
      </w:r>
      <w:r>
        <w:rPr>
          <w:rFonts w:asciiTheme="minorEastAsia" w:hAnsiTheme="minorEastAsia" w:eastAsiaTheme="minorEastAsia"/>
          <w:szCs w:val="21"/>
          <w:highlight w:val="none"/>
        </w:rPr>
        <w:fldChar w:fldCharType="separate"/>
      </w:r>
      <w:r>
        <w:rPr>
          <w:rFonts w:hint="eastAsia" w:ascii="宋体" w:hAnsi="宋体"/>
          <w:szCs w:val="24"/>
        </w:rPr>
        <w:t xml:space="preserve">17. </w:t>
      </w:r>
      <w:r>
        <w:rPr>
          <w:rFonts w:hint="eastAsia" w:ascii="宋体" w:hAnsi="宋体"/>
          <w:szCs w:val="24"/>
          <w:highlight w:val="none"/>
        </w:rPr>
        <w:t>合同条款偏离表</w:t>
      </w:r>
      <w:r>
        <w:tab/>
      </w:r>
      <w:r>
        <w:fldChar w:fldCharType="begin"/>
      </w:r>
      <w:r>
        <w:instrText xml:space="preserve"> PAGEREF _Toc21571 \h </w:instrText>
      </w:r>
      <w:r>
        <w:fldChar w:fldCharType="separate"/>
      </w:r>
      <w:r>
        <w:t>178</w:t>
      </w:r>
      <w:r>
        <w:fldChar w:fldCharType="end"/>
      </w:r>
      <w:r>
        <w:rPr>
          <w:rFonts w:asciiTheme="minorEastAsia" w:hAnsiTheme="minorEastAsia" w:eastAsiaTheme="minorEastAsia"/>
          <w:szCs w:val="21"/>
          <w:highlight w:val="none"/>
        </w:rPr>
        <w:fldChar w:fldCharType="end"/>
      </w:r>
    </w:p>
    <w:p w14:paraId="6D941F9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_Toc18501 </w:instrText>
      </w:r>
      <w:r>
        <w:rPr>
          <w:rFonts w:asciiTheme="minorEastAsia" w:hAnsiTheme="minorEastAsia" w:eastAsiaTheme="minorEastAsia"/>
          <w:szCs w:val="21"/>
          <w:highlight w:val="none"/>
        </w:rPr>
        <w:fldChar w:fldCharType="separate"/>
      </w:r>
      <w:r>
        <w:rPr>
          <w:rFonts w:hint="eastAsia" w:ascii="宋体" w:hAnsi="宋体" w:eastAsia="宋体"/>
          <w:szCs w:val="24"/>
        </w:rPr>
        <w:t xml:space="preserve">18. </w:t>
      </w:r>
      <w:r>
        <w:rPr>
          <w:rFonts w:hint="eastAsia" w:ascii="宋体" w:hAnsi="宋体" w:eastAsia="宋体"/>
          <w:szCs w:val="24"/>
          <w:highlight w:val="none"/>
        </w:rPr>
        <w:t>供应商网络信息安全承诺书</w:t>
      </w:r>
      <w:r>
        <w:tab/>
      </w:r>
      <w:r>
        <w:fldChar w:fldCharType="begin"/>
      </w:r>
      <w:r>
        <w:instrText xml:space="preserve"> PAGEREF _Toc18501 \h </w:instrText>
      </w:r>
      <w:r>
        <w:fldChar w:fldCharType="separate"/>
      </w:r>
      <w:r>
        <w:t>179</w:t>
      </w:r>
      <w:r>
        <w:fldChar w:fldCharType="end"/>
      </w:r>
      <w:r>
        <w:rPr>
          <w:rFonts w:asciiTheme="minorEastAsia" w:hAnsiTheme="minorEastAsia" w:eastAsiaTheme="minorEastAsia"/>
          <w:szCs w:val="21"/>
          <w:highlight w:val="none"/>
        </w:rPr>
        <w:fldChar w:fldCharType="end"/>
      </w:r>
    </w:p>
    <w:p w14:paraId="0C37BF21">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_Toc15294 </w:instrText>
      </w:r>
      <w:r>
        <w:rPr>
          <w:rFonts w:asciiTheme="minorEastAsia" w:hAnsiTheme="minorEastAsia" w:eastAsiaTheme="minorEastAsia"/>
          <w:szCs w:val="21"/>
          <w:highlight w:val="none"/>
        </w:rPr>
        <w:fldChar w:fldCharType="separate"/>
      </w:r>
      <w:r>
        <w:rPr>
          <w:rFonts w:hint="eastAsia" w:ascii="宋体" w:hAnsi="宋体" w:eastAsia="宋体"/>
          <w:szCs w:val="24"/>
        </w:rPr>
        <w:t xml:space="preserve">19. </w:t>
      </w:r>
      <w:r>
        <w:rPr>
          <w:rFonts w:hint="eastAsia" w:ascii="宋体" w:hAnsi="宋体" w:eastAsia="宋体"/>
          <w:szCs w:val="24"/>
          <w:highlight w:val="none"/>
        </w:rPr>
        <w:t>开源软件、第三方软件清单及合法获取开源软件、第三方软件使用权的证明</w:t>
      </w:r>
      <w:r>
        <w:tab/>
      </w:r>
      <w:r>
        <w:fldChar w:fldCharType="begin"/>
      </w:r>
      <w:r>
        <w:instrText xml:space="preserve"> PAGEREF _Toc15294 \h </w:instrText>
      </w:r>
      <w:r>
        <w:fldChar w:fldCharType="separate"/>
      </w:r>
      <w:r>
        <w:t>184</w:t>
      </w:r>
      <w:r>
        <w:fldChar w:fldCharType="end"/>
      </w:r>
      <w:r>
        <w:rPr>
          <w:rFonts w:asciiTheme="minorEastAsia" w:hAnsiTheme="minorEastAsia" w:eastAsiaTheme="minorEastAsia"/>
          <w:szCs w:val="21"/>
          <w:highlight w:val="none"/>
        </w:rPr>
        <w:fldChar w:fldCharType="end"/>
      </w:r>
    </w:p>
    <w:p w14:paraId="0748CBED">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_Toc2631 </w:instrText>
      </w:r>
      <w:r>
        <w:rPr>
          <w:rFonts w:asciiTheme="minorEastAsia" w:hAnsiTheme="minorEastAsia" w:eastAsiaTheme="minorEastAsia"/>
          <w:szCs w:val="21"/>
          <w:highlight w:val="none"/>
        </w:rPr>
        <w:fldChar w:fldCharType="separate"/>
      </w:r>
      <w:r>
        <w:rPr>
          <w:rFonts w:hint="eastAsia" w:ascii="宋体" w:hAnsi="宋体"/>
          <w:szCs w:val="24"/>
        </w:rPr>
        <w:t xml:space="preserve">20. </w:t>
      </w:r>
      <w:r>
        <w:rPr>
          <w:rFonts w:hint="eastAsia" w:ascii="宋体" w:hAnsi="宋体"/>
          <w:szCs w:val="24"/>
          <w:highlight w:val="none"/>
        </w:rPr>
        <w:t>投标</w:t>
      </w:r>
      <w:r>
        <w:rPr>
          <w:rFonts w:hint="eastAsia" w:ascii="宋体" w:hAnsi="宋体"/>
          <w:szCs w:val="24"/>
          <w:highlight w:val="none"/>
          <w:lang w:val="en-US" w:eastAsia="zh-CN"/>
        </w:rPr>
        <w:t>保证金或</w:t>
      </w:r>
      <w:r>
        <w:rPr>
          <w:rFonts w:hint="eastAsia" w:ascii="宋体" w:hAnsi="宋体"/>
          <w:szCs w:val="24"/>
          <w:highlight w:val="none"/>
        </w:rPr>
        <w:t>保函</w:t>
      </w:r>
      <w:r>
        <w:tab/>
      </w:r>
      <w:r>
        <w:fldChar w:fldCharType="begin"/>
      </w:r>
      <w:r>
        <w:instrText xml:space="preserve"> PAGEREF _Toc2631 \h </w:instrText>
      </w:r>
      <w:r>
        <w:fldChar w:fldCharType="separate"/>
      </w:r>
      <w:r>
        <w:t>185</w:t>
      </w:r>
      <w:r>
        <w:fldChar w:fldCharType="end"/>
      </w:r>
      <w:r>
        <w:rPr>
          <w:rFonts w:asciiTheme="minorEastAsia" w:hAnsiTheme="minorEastAsia" w:eastAsiaTheme="minorEastAsia"/>
          <w:szCs w:val="21"/>
          <w:highlight w:val="none"/>
        </w:rPr>
        <w:fldChar w:fldCharType="end"/>
      </w:r>
    </w:p>
    <w:p w14:paraId="487FDC47">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_Toc7555 </w:instrText>
      </w:r>
      <w:r>
        <w:rPr>
          <w:rFonts w:asciiTheme="minorEastAsia" w:hAnsiTheme="minorEastAsia" w:eastAsiaTheme="minorEastAsia"/>
          <w:szCs w:val="21"/>
          <w:highlight w:val="none"/>
        </w:rPr>
        <w:fldChar w:fldCharType="separate"/>
      </w:r>
      <w:r>
        <w:rPr>
          <w:rFonts w:hint="eastAsia" w:ascii="宋体" w:hAnsi="宋体"/>
          <w:szCs w:val="24"/>
        </w:rPr>
        <w:t xml:space="preserve">21. </w:t>
      </w:r>
      <w:r>
        <w:rPr>
          <w:rFonts w:hint="eastAsia" w:ascii="宋体" w:hAnsi="宋体"/>
          <w:szCs w:val="24"/>
          <w:highlight w:val="none"/>
          <w:lang w:val="en-US" w:eastAsia="zh-CN"/>
        </w:rPr>
        <w:t>投标人认为需要提供的其他商务文件</w:t>
      </w:r>
      <w:r>
        <w:tab/>
      </w:r>
      <w:r>
        <w:fldChar w:fldCharType="begin"/>
      </w:r>
      <w:r>
        <w:instrText xml:space="preserve"> PAGEREF _Toc7555 \h </w:instrText>
      </w:r>
      <w:r>
        <w:fldChar w:fldCharType="separate"/>
      </w:r>
      <w:r>
        <w:t>186</w:t>
      </w:r>
      <w:r>
        <w:fldChar w:fldCharType="end"/>
      </w:r>
      <w:r>
        <w:rPr>
          <w:rFonts w:asciiTheme="minorEastAsia" w:hAnsiTheme="minorEastAsia" w:eastAsiaTheme="minorEastAsia"/>
          <w:szCs w:val="21"/>
          <w:highlight w:val="none"/>
        </w:rPr>
        <w:fldChar w:fldCharType="end"/>
      </w:r>
    </w:p>
    <w:p w14:paraId="72239C7A">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_Toc10255 </w:instrText>
      </w:r>
      <w:r>
        <w:rPr>
          <w:rFonts w:asciiTheme="minorEastAsia" w:hAnsiTheme="minorEastAsia" w:eastAsiaTheme="minorEastAsia"/>
          <w:szCs w:val="21"/>
          <w:highlight w:val="none"/>
        </w:rPr>
        <w:fldChar w:fldCharType="separate"/>
      </w:r>
      <w:r>
        <w:rPr>
          <w:rFonts w:hint="eastAsia" w:ascii="宋体" w:hAnsi="宋体"/>
          <w:szCs w:val="24"/>
          <w:highlight w:val="none"/>
        </w:rPr>
        <w:t>第二分册 技术投标文件</w:t>
      </w:r>
      <w:r>
        <w:tab/>
      </w:r>
      <w:r>
        <w:fldChar w:fldCharType="begin"/>
      </w:r>
      <w:r>
        <w:instrText xml:space="preserve"> PAGEREF _Toc10255 \h </w:instrText>
      </w:r>
      <w:r>
        <w:fldChar w:fldCharType="separate"/>
      </w:r>
      <w:r>
        <w:t>187</w:t>
      </w:r>
      <w:r>
        <w:fldChar w:fldCharType="end"/>
      </w:r>
      <w:r>
        <w:rPr>
          <w:rFonts w:asciiTheme="minorEastAsia" w:hAnsiTheme="minorEastAsia" w:eastAsiaTheme="minorEastAsia"/>
          <w:szCs w:val="21"/>
          <w:highlight w:val="none"/>
        </w:rPr>
        <w:fldChar w:fldCharType="end"/>
      </w:r>
    </w:p>
    <w:p w14:paraId="4E8049CB">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_Toc32018 </w:instrText>
      </w:r>
      <w:r>
        <w:rPr>
          <w:rFonts w:asciiTheme="minorEastAsia" w:hAnsiTheme="minorEastAsia" w:eastAsiaTheme="minorEastAsia"/>
          <w:szCs w:val="21"/>
          <w:highlight w:val="none"/>
        </w:rPr>
        <w:fldChar w:fldCharType="separate"/>
      </w:r>
      <w:r>
        <w:rPr>
          <w:rFonts w:hint="eastAsia" w:ascii="宋体" w:hAnsi="宋体"/>
          <w:szCs w:val="24"/>
        </w:rPr>
        <w:t xml:space="preserve">22. </w:t>
      </w:r>
      <w:r>
        <w:rPr>
          <w:rFonts w:hint="eastAsia" w:ascii="宋体" w:hAnsi="宋体"/>
          <w:szCs w:val="24"/>
          <w:highlight w:val="none"/>
        </w:rPr>
        <w:t>技术投标文件封面</w:t>
      </w:r>
      <w:r>
        <w:tab/>
      </w:r>
      <w:r>
        <w:fldChar w:fldCharType="begin"/>
      </w:r>
      <w:r>
        <w:instrText xml:space="preserve"> PAGEREF _Toc32018 \h </w:instrText>
      </w:r>
      <w:r>
        <w:fldChar w:fldCharType="separate"/>
      </w:r>
      <w:r>
        <w:t>187</w:t>
      </w:r>
      <w:r>
        <w:fldChar w:fldCharType="end"/>
      </w:r>
      <w:r>
        <w:rPr>
          <w:rFonts w:asciiTheme="minorEastAsia" w:hAnsiTheme="minorEastAsia" w:eastAsiaTheme="minorEastAsia"/>
          <w:szCs w:val="21"/>
          <w:highlight w:val="none"/>
        </w:rPr>
        <w:fldChar w:fldCharType="end"/>
      </w:r>
    </w:p>
    <w:p w14:paraId="07E274BC">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_Toc8993 </w:instrText>
      </w:r>
      <w:r>
        <w:rPr>
          <w:rFonts w:asciiTheme="minorEastAsia" w:hAnsiTheme="minorEastAsia" w:eastAsiaTheme="minorEastAsia"/>
          <w:szCs w:val="21"/>
          <w:highlight w:val="none"/>
        </w:rPr>
        <w:fldChar w:fldCharType="separate"/>
      </w:r>
      <w:r>
        <w:rPr>
          <w:rFonts w:hint="eastAsia" w:ascii="宋体" w:hAnsi="宋体"/>
          <w:szCs w:val="24"/>
        </w:rPr>
        <w:t xml:space="preserve">23. </w:t>
      </w:r>
      <w:r>
        <w:rPr>
          <w:rFonts w:hint="eastAsia" w:ascii="宋体" w:hAnsi="宋体"/>
          <w:szCs w:val="24"/>
          <w:highlight w:val="none"/>
        </w:rPr>
        <w:t>技术规范书点对点应答</w:t>
      </w:r>
      <w:r>
        <w:rPr>
          <w:rFonts w:hint="eastAsia" w:ascii="宋体" w:hAnsi="宋体"/>
          <w:szCs w:val="24"/>
          <w:highlight w:val="none"/>
          <w:lang w:val="en-US" w:eastAsia="zh-CN"/>
        </w:rPr>
        <w:t>或技术规范书偏离表</w:t>
      </w:r>
      <w:r>
        <w:tab/>
      </w:r>
      <w:r>
        <w:fldChar w:fldCharType="begin"/>
      </w:r>
      <w:r>
        <w:instrText xml:space="preserve"> PAGEREF _Toc8993 \h </w:instrText>
      </w:r>
      <w:r>
        <w:fldChar w:fldCharType="separate"/>
      </w:r>
      <w:r>
        <w:t>188</w:t>
      </w:r>
      <w:r>
        <w:fldChar w:fldCharType="end"/>
      </w:r>
      <w:r>
        <w:rPr>
          <w:rFonts w:asciiTheme="minorEastAsia" w:hAnsiTheme="minorEastAsia" w:eastAsiaTheme="minorEastAsia"/>
          <w:szCs w:val="21"/>
          <w:highlight w:val="none"/>
        </w:rPr>
        <w:fldChar w:fldCharType="end"/>
      </w:r>
    </w:p>
    <w:p w14:paraId="1513CBA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_Toc32671 </w:instrText>
      </w:r>
      <w:r>
        <w:rPr>
          <w:rFonts w:asciiTheme="minorEastAsia" w:hAnsiTheme="minorEastAsia" w:eastAsiaTheme="minorEastAsia"/>
          <w:szCs w:val="21"/>
          <w:highlight w:val="none"/>
        </w:rPr>
        <w:fldChar w:fldCharType="separate"/>
      </w:r>
      <w:r>
        <w:rPr>
          <w:rFonts w:hint="eastAsia"/>
        </w:rPr>
        <w:t xml:space="preserve">24. </w:t>
      </w:r>
      <w:r>
        <w:rPr>
          <w:rFonts w:hint="eastAsia" w:ascii="宋体" w:hAnsi="宋体" w:eastAsia="宋体"/>
          <w:szCs w:val="24"/>
          <w:highlight w:val="none"/>
          <w:lang w:val="en-US" w:eastAsia="zh-CN"/>
        </w:rPr>
        <w:t>项目建议书</w:t>
      </w:r>
      <w:r>
        <w:tab/>
      </w:r>
      <w:r>
        <w:fldChar w:fldCharType="begin"/>
      </w:r>
      <w:r>
        <w:instrText xml:space="preserve"> PAGEREF _Toc32671 \h </w:instrText>
      </w:r>
      <w:r>
        <w:fldChar w:fldCharType="separate"/>
      </w:r>
      <w:r>
        <w:t>189</w:t>
      </w:r>
      <w:r>
        <w:fldChar w:fldCharType="end"/>
      </w:r>
      <w:r>
        <w:rPr>
          <w:rFonts w:asciiTheme="minorEastAsia" w:hAnsiTheme="minorEastAsia" w:eastAsiaTheme="minorEastAsia"/>
          <w:szCs w:val="21"/>
          <w:highlight w:val="none"/>
        </w:rPr>
        <w:fldChar w:fldCharType="end"/>
      </w:r>
    </w:p>
    <w:p w14:paraId="2B43F553">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_Toc1106 </w:instrText>
      </w:r>
      <w:r>
        <w:rPr>
          <w:rFonts w:asciiTheme="minorEastAsia" w:hAnsiTheme="minorEastAsia" w:eastAsiaTheme="minorEastAsia"/>
          <w:szCs w:val="21"/>
          <w:highlight w:val="none"/>
        </w:rPr>
        <w:fldChar w:fldCharType="separate"/>
      </w:r>
      <w:r>
        <w:rPr>
          <w:rFonts w:hint="eastAsia" w:ascii="宋体" w:hAnsi="宋体"/>
          <w:szCs w:val="24"/>
        </w:rPr>
        <w:t xml:space="preserve">25. </w:t>
      </w:r>
      <w:r>
        <w:rPr>
          <w:rFonts w:hint="eastAsia" w:ascii="宋体" w:hAnsi="宋体"/>
          <w:szCs w:val="24"/>
          <w:highlight w:val="none"/>
          <w:lang w:val="en-US" w:eastAsia="zh-CN"/>
        </w:rPr>
        <w:t>招标文件</w:t>
      </w:r>
      <w:r>
        <w:rPr>
          <w:rFonts w:hint="eastAsia" w:ascii="宋体" w:hAnsi="宋体"/>
          <w:szCs w:val="24"/>
          <w:highlight w:val="none"/>
        </w:rPr>
        <w:t>中明确要求投标人提供的其他相关文件</w:t>
      </w:r>
      <w:r>
        <w:tab/>
      </w:r>
      <w:r>
        <w:fldChar w:fldCharType="begin"/>
      </w:r>
      <w:r>
        <w:instrText xml:space="preserve"> PAGEREF _Toc1106 \h </w:instrText>
      </w:r>
      <w:r>
        <w:fldChar w:fldCharType="separate"/>
      </w:r>
      <w:r>
        <w:t>189</w:t>
      </w:r>
      <w:r>
        <w:fldChar w:fldCharType="end"/>
      </w:r>
      <w:r>
        <w:rPr>
          <w:rFonts w:asciiTheme="minorEastAsia" w:hAnsiTheme="minorEastAsia" w:eastAsiaTheme="minorEastAsia"/>
          <w:szCs w:val="21"/>
          <w:highlight w:val="none"/>
        </w:rPr>
        <w:fldChar w:fldCharType="end"/>
      </w:r>
    </w:p>
    <w:p w14:paraId="546F4140">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_Toc21796 </w:instrText>
      </w:r>
      <w:r>
        <w:rPr>
          <w:rFonts w:asciiTheme="minorEastAsia" w:hAnsiTheme="minorEastAsia" w:eastAsiaTheme="minorEastAsia"/>
          <w:szCs w:val="21"/>
          <w:highlight w:val="none"/>
        </w:rPr>
        <w:fldChar w:fldCharType="separate"/>
      </w:r>
      <w:r>
        <w:rPr>
          <w:rFonts w:hint="eastAsia" w:ascii="宋体" w:hAnsi="宋体"/>
          <w:szCs w:val="24"/>
          <w:highlight w:val="none"/>
        </w:rPr>
        <w:t>第三分册 报价文件</w:t>
      </w:r>
      <w:r>
        <w:tab/>
      </w:r>
      <w:r>
        <w:fldChar w:fldCharType="begin"/>
      </w:r>
      <w:r>
        <w:instrText xml:space="preserve"> PAGEREF _Toc21796 \h </w:instrText>
      </w:r>
      <w:r>
        <w:fldChar w:fldCharType="separate"/>
      </w:r>
      <w:r>
        <w:t>190</w:t>
      </w:r>
      <w:r>
        <w:fldChar w:fldCharType="end"/>
      </w:r>
      <w:r>
        <w:rPr>
          <w:rFonts w:asciiTheme="minorEastAsia" w:hAnsiTheme="minorEastAsia" w:eastAsiaTheme="minorEastAsia"/>
          <w:szCs w:val="21"/>
          <w:highlight w:val="none"/>
        </w:rPr>
        <w:fldChar w:fldCharType="end"/>
      </w:r>
    </w:p>
    <w:p w14:paraId="52DC6BA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_Toc32158 </w:instrText>
      </w:r>
      <w:r>
        <w:rPr>
          <w:rFonts w:asciiTheme="minorEastAsia" w:hAnsiTheme="minorEastAsia" w:eastAsiaTheme="minorEastAsia"/>
          <w:szCs w:val="21"/>
          <w:highlight w:val="none"/>
        </w:rPr>
        <w:fldChar w:fldCharType="separate"/>
      </w:r>
      <w:r>
        <w:rPr>
          <w:rFonts w:hint="eastAsia" w:ascii="宋体" w:hAnsi="宋体"/>
          <w:szCs w:val="24"/>
        </w:rPr>
        <w:t xml:space="preserve">26. </w:t>
      </w:r>
      <w:r>
        <w:rPr>
          <w:rFonts w:hint="eastAsia" w:ascii="宋体" w:hAnsi="宋体"/>
          <w:szCs w:val="24"/>
          <w:highlight w:val="none"/>
        </w:rPr>
        <w:t>报价文件封面</w:t>
      </w:r>
      <w:r>
        <w:tab/>
      </w:r>
      <w:r>
        <w:fldChar w:fldCharType="begin"/>
      </w:r>
      <w:r>
        <w:instrText xml:space="preserve"> PAGEREF _Toc32158 \h </w:instrText>
      </w:r>
      <w:r>
        <w:fldChar w:fldCharType="separate"/>
      </w:r>
      <w:r>
        <w:t>190</w:t>
      </w:r>
      <w:r>
        <w:fldChar w:fldCharType="end"/>
      </w:r>
      <w:r>
        <w:rPr>
          <w:rFonts w:asciiTheme="minorEastAsia" w:hAnsiTheme="minorEastAsia" w:eastAsiaTheme="minorEastAsia"/>
          <w:szCs w:val="21"/>
          <w:highlight w:val="none"/>
        </w:rPr>
        <w:fldChar w:fldCharType="end"/>
      </w:r>
    </w:p>
    <w:p w14:paraId="7BA21D8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_Toc32028 </w:instrText>
      </w:r>
      <w:r>
        <w:rPr>
          <w:rFonts w:asciiTheme="minorEastAsia" w:hAnsiTheme="minorEastAsia" w:eastAsiaTheme="minorEastAsia"/>
          <w:szCs w:val="21"/>
          <w:highlight w:val="none"/>
        </w:rPr>
        <w:fldChar w:fldCharType="separate"/>
      </w:r>
      <w:r>
        <w:rPr>
          <w:rFonts w:hint="eastAsia" w:ascii="宋体" w:hAnsi="宋体"/>
          <w:szCs w:val="24"/>
        </w:rPr>
        <w:t xml:space="preserve">27. </w:t>
      </w:r>
      <w:r>
        <w:rPr>
          <w:rFonts w:hint="eastAsia" w:ascii="宋体" w:hAnsi="宋体"/>
          <w:szCs w:val="24"/>
          <w:highlight w:val="none"/>
        </w:rPr>
        <w:t>投标一览表</w:t>
      </w:r>
      <w:r>
        <w:tab/>
      </w:r>
      <w:r>
        <w:fldChar w:fldCharType="begin"/>
      </w:r>
      <w:r>
        <w:instrText xml:space="preserve"> PAGEREF _Toc32028 \h </w:instrText>
      </w:r>
      <w:r>
        <w:fldChar w:fldCharType="separate"/>
      </w:r>
      <w:r>
        <w:t>191</w:t>
      </w:r>
      <w:r>
        <w:fldChar w:fldCharType="end"/>
      </w:r>
      <w:r>
        <w:rPr>
          <w:rFonts w:asciiTheme="minorEastAsia" w:hAnsiTheme="minorEastAsia" w:eastAsiaTheme="minorEastAsia"/>
          <w:szCs w:val="21"/>
          <w:highlight w:val="none"/>
        </w:rPr>
        <w:fldChar w:fldCharType="end"/>
      </w:r>
    </w:p>
    <w:p w14:paraId="7D0295A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_Toc29831 </w:instrText>
      </w:r>
      <w:r>
        <w:rPr>
          <w:rFonts w:asciiTheme="minorEastAsia" w:hAnsiTheme="minorEastAsia" w:eastAsiaTheme="minorEastAsia"/>
          <w:szCs w:val="21"/>
          <w:highlight w:val="none"/>
        </w:rPr>
        <w:fldChar w:fldCharType="separate"/>
      </w:r>
      <w:r>
        <w:rPr>
          <w:rFonts w:hint="eastAsia" w:ascii="宋体" w:hAnsi="宋体"/>
          <w:szCs w:val="24"/>
        </w:rPr>
        <w:t xml:space="preserve">28. </w:t>
      </w:r>
      <w:r>
        <w:rPr>
          <w:rFonts w:hint="eastAsia" w:ascii="宋体" w:hAnsi="宋体"/>
          <w:szCs w:val="24"/>
          <w:highlight w:val="none"/>
          <w:lang w:val="en-US" w:eastAsia="zh-CN"/>
        </w:rPr>
        <w:t>分项报价表</w:t>
      </w:r>
      <w:r>
        <w:tab/>
      </w:r>
      <w:r>
        <w:fldChar w:fldCharType="begin"/>
      </w:r>
      <w:r>
        <w:instrText xml:space="preserve"> PAGEREF _Toc29831 \h </w:instrText>
      </w:r>
      <w:r>
        <w:fldChar w:fldCharType="separate"/>
      </w:r>
      <w:r>
        <w:t>192</w:t>
      </w:r>
      <w:r>
        <w:fldChar w:fldCharType="end"/>
      </w:r>
      <w:r>
        <w:rPr>
          <w:rFonts w:asciiTheme="minorEastAsia" w:hAnsiTheme="minorEastAsia" w:eastAsiaTheme="minorEastAsia"/>
          <w:szCs w:val="21"/>
          <w:highlight w:val="none"/>
        </w:rPr>
        <w:fldChar w:fldCharType="end"/>
      </w:r>
    </w:p>
    <w:p w14:paraId="3639C8F9">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_Toc3950 </w:instrText>
      </w:r>
      <w:r>
        <w:rPr>
          <w:rFonts w:asciiTheme="minorEastAsia" w:hAnsiTheme="minorEastAsia" w:eastAsiaTheme="minorEastAsia"/>
          <w:szCs w:val="21"/>
          <w:highlight w:val="none"/>
        </w:rPr>
        <w:fldChar w:fldCharType="separate"/>
      </w:r>
      <w:r>
        <w:rPr>
          <w:rFonts w:hint="eastAsia" w:cs="宋体" w:asciiTheme="minorEastAsia" w:hAnsiTheme="minorEastAsia" w:eastAsiaTheme="minorEastAsia"/>
          <w:bCs w:val="0"/>
          <w:kern w:val="0"/>
          <w:szCs w:val="28"/>
          <w:highlight w:val="none"/>
        </w:rPr>
        <w:t>第七章  其他</w:t>
      </w:r>
      <w:r>
        <w:tab/>
      </w:r>
      <w:r>
        <w:fldChar w:fldCharType="begin"/>
      </w:r>
      <w:r>
        <w:instrText xml:space="preserve"> PAGEREF _Toc3950 \h </w:instrText>
      </w:r>
      <w:r>
        <w:fldChar w:fldCharType="separate"/>
      </w:r>
      <w:r>
        <w:t>193</w:t>
      </w:r>
      <w:r>
        <w:fldChar w:fldCharType="end"/>
      </w:r>
      <w:r>
        <w:rPr>
          <w:rFonts w:asciiTheme="minorEastAsia" w:hAnsiTheme="minorEastAsia" w:eastAsiaTheme="minorEastAsia"/>
          <w:szCs w:val="21"/>
          <w:highlight w:val="none"/>
        </w:rPr>
        <w:fldChar w:fldCharType="end"/>
      </w:r>
    </w:p>
    <w:p w14:paraId="21DC19E5">
      <w:pPr>
        <w:pStyle w:val="32"/>
        <w:tabs>
          <w:tab w:val="right" w:leader="dot" w:pos="8504"/>
          <w:tab w:val="clear" w:pos="567"/>
          <w:tab w:val="clear" w:pos="709"/>
          <w:tab w:val="clear" w:pos="8505"/>
        </w:tabs>
      </w:pPr>
      <w:r>
        <w:rPr>
          <w:rFonts w:asciiTheme="minorEastAsia" w:hAnsiTheme="minorEastAsia" w:eastAsiaTheme="minorEastAsia"/>
          <w:szCs w:val="21"/>
          <w:highlight w:val="none"/>
        </w:rPr>
        <w:fldChar w:fldCharType="begin"/>
      </w:r>
      <w:r>
        <w:rPr>
          <w:rFonts w:asciiTheme="minorEastAsia" w:hAnsiTheme="minorEastAsia" w:eastAsiaTheme="minorEastAsia"/>
          <w:szCs w:val="21"/>
          <w:highlight w:val="none"/>
        </w:rPr>
        <w:instrText xml:space="preserve"> HYPERLINK \l _Toc7986 </w:instrText>
      </w:r>
      <w:r>
        <w:rPr>
          <w:rFonts w:asciiTheme="minorEastAsia" w:hAnsiTheme="minorEastAsia" w:eastAsiaTheme="minorEastAsia"/>
          <w:szCs w:val="21"/>
          <w:highlight w:val="none"/>
        </w:rPr>
        <w:fldChar w:fldCharType="separate"/>
      </w:r>
      <w:r>
        <w:rPr>
          <w:rFonts w:hint="eastAsia" w:asciiTheme="minorEastAsia" w:hAnsiTheme="minorEastAsia" w:eastAsiaTheme="minorEastAsia"/>
          <w:szCs w:val="28"/>
          <w:highlight w:val="none"/>
        </w:rPr>
        <w:t>中国电信供应商不良行为管理规则</w:t>
      </w:r>
      <w:r>
        <w:tab/>
      </w:r>
      <w:r>
        <w:fldChar w:fldCharType="begin"/>
      </w:r>
      <w:r>
        <w:instrText xml:space="preserve"> PAGEREF _Toc7986 \h </w:instrText>
      </w:r>
      <w:r>
        <w:fldChar w:fldCharType="separate"/>
      </w:r>
      <w:r>
        <w:t>193</w:t>
      </w:r>
      <w:r>
        <w:fldChar w:fldCharType="end"/>
      </w:r>
      <w:r>
        <w:rPr>
          <w:rFonts w:asciiTheme="minorEastAsia" w:hAnsiTheme="minorEastAsia" w:eastAsiaTheme="minorEastAsia"/>
          <w:szCs w:val="21"/>
          <w:highlight w:val="none"/>
        </w:rPr>
        <w:fldChar w:fldCharType="end"/>
      </w:r>
    </w:p>
    <w:p w14:paraId="7BC39415">
      <w:pPr>
        <w:spacing w:after="120" w:line="360" w:lineRule="atLeast"/>
        <w:rPr>
          <w:rFonts w:ascii="宋体" w:hAnsi="宋体" w:cs="宋体"/>
          <w:sz w:val="24"/>
          <w:highlight w:val="none"/>
        </w:rPr>
        <w:sectPr>
          <w:headerReference r:id="rId9" w:type="first"/>
          <w:headerReference r:id="rId7" w:type="default"/>
          <w:footerReference r:id="rId10" w:type="default"/>
          <w:headerReference r:id="rId8" w:type="even"/>
          <w:pgSz w:w="11906" w:h="16838"/>
          <w:pgMar w:top="1440" w:right="1701" w:bottom="1440" w:left="1701" w:header="851" w:footer="992" w:gutter="0"/>
          <w:pgNumType w:fmt="decimal" w:start="1"/>
          <w:cols w:space="720" w:num="1"/>
          <w:docGrid w:type="linesAndChars" w:linePitch="380" w:charSpace="0"/>
        </w:sectPr>
      </w:pPr>
      <w:r>
        <w:rPr>
          <w:rFonts w:asciiTheme="minorEastAsia" w:hAnsiTheme="minorEastAsia" w:eastAsiaTheme="minorEastAsia"/>
          <w:szCs w:val="21"/>
          <w:highlight w:val="none"/>
        </w:rPr>
        <w:fldChar w:fldCharType="end"/>
      </w:r>
    </w:p>
    <w:p w14:paraId="6C53CDEE">
      <w:pPr>
        <w:pStyle w:val="55"/>
        <w:spacing w:before="240" w:after="120"/>
        <w:rPr>
          <w:rFonts w:ascii="宋体" w:hAnsi="宋体" w:eastAsia="宋体" w:cs="宋体"/>
          <w:b/>
          <w:bCs w:val="0"/>
          <w:kern w:val="0"/>
          <w:sz w:val="28"/>
          <w:szCs w:val="28"/>
          <w:highlight w:val="none"/>
        </w:rPr>
      </w:pPr>
      <w:bookmarkStart w:id="0" w:name="_Toc447265797"/>
      <w:bookmarkStart w:id="1" w:name="_Toc447265497"/>
      <w:bookmarkStart w:id="2" w:name="_Toc447265211"/>
      <w:bookmarkStart w:id="3" w:name="_Toc24598"/>
      <w:bookmarkStart w:id="4" w:name="_Toc447188662"/>
      <w:bookmarkStart w:id="5" w:name="_Toc38007946"/>
      <w:r>
        <w:rPr>
          <w:rFonts w:hint="eastAsia" w:ascii="宋体" w:hAnsi="宋体" w:eastAsia="宋体" w:cs="宋体"/>
          <w:b/>
          <w:bCs w:val="0"/>
          <w:kern w:val="0"/>
          <w:sz w:val="28"/>
          <w:szCs w:val="28"/>
          <w:highlight w:val="none"/>
        </w:rPr>
        <w:t>第一章  招标公告</w:t>
      </w:r>
      <w:bookmarkEnd w:id="0"/>
      <w:bookmarkEnd w:id="1"/>
      <w:bookmarkEnd w:id="2"/>
      <w:bookmarkEnd w:id="3"/>
      <w:bookmarkEnd w:id="4"/>
      <w:bookmarkEnd w:id="5"/>
    </w:p>
    <w:p w14:paraId="694BA024">
      <w:pPr>
        <w:adjustRightInd w:val="0"/>
        <w:snapToGrid w:val="0"/>
        <w:spacing w:line="360" w:lineRule="auto"/>
        <w:ind w:firstLine="420" w:firstLineChars="200"/>
        <w:rPr>
          <w:rFonts w:ascii="宋体" w:hAnsi="宋体"/>
          <w:szCs w:val="21"/>
          <w:highlight w:val="none"/>
        </w:rPr>
      </w:pPr>
      <w:r>
        <w:rPr>
          <w:rFonts w:hint="eastAsia" w:ascii="宋体" w:hAnsi="宋体"/>
          <w:szCs w:val="21"/>
          <w:highlight w:val="none"/>
        </w:rPr>
        <w:t>本招标项目为</w:t>
      </w:r>
      <w:r>
        <w:rPr>
          <w:rFonts w:hint="eastAsia" w:ascii="宋体" w:hAnsi="宋体"/>
          <w:highlight w:val="none"/>
          <w:u w:val="single"/>
          <w:lang w:eastAsia="zh-CN"/>
        </w:rPr>
        <w:t>2024年中国电信湖北公司采控中心技术研发项目（第二次）</w:t>
      </w:r>
      <w:r>
        <w:rPr>
          <w:rFonts w:hint="eastAsia" w:ascii="宋体" w:hAnsi="宋体"/>
          <w:szCs w:val="21"/>
          <w:highlight w:val="none"/>
        </w:rPr>
        <w:t>，</w:t>
      </w:r>
      <w:r>
        <w:rPr>
          <w:rFonts w:hint="eastAsia" w:ascii="宋体" w:hAnsi="宋体"/>
          <w:szCs w:val="21"/>
          <w:highlight w:val="none"/>
          <w:u w:val="single"/>
        </w:rPr>
        <w:t>（招标编号：</w:t>
      </w:r>
      <w:r>
        <w:rPr>
          <w:rFonts w:hint="eastAsia" w:ascii="宋体" w:hAnsi="宋体" w:cs="Times New Roman"/>
          <w:szCs w:val="21"/>
          <w:highlight w:val="none"/>
          <w:u w:val="single"/>
          <w:lang w:eastAsia="zh-CN"/>
        </w:rPr>
        <w:t>HBXT-2024-12433</w:t>
      </w:r>
      <w:r>
        <w:rPr>
          <w:rFonts w:hint="eastAsia" w:ascii="宋体" w:hAnsi="宋体" w:eastAsia="宋体" w:cs="Times New Roman"/>
          <w:szCs w:val="21"/>
          <w:highlight w:val="none"/>
          <w:u w:val="single"/>
        </w:rPr>
        <w:t>）</w:t>
      </w:r>
      <w:r>
        <w:rPr>
          <w:rFonts w:hint="eastAsia" w:ascii="宋体" w:hAnsi="宋体"/>
          <w:szCs w:val="21"/>
          <w:highlight w:val="none"/>
        </w:rPr>
        <w:t>，招标人为</w:t>
      </w:r>
      <w:r>
        <w:rPr>
          <w:rFonts w:hint="eastAsia" w:ascii="宋体" w:hAnsi="宋体"/>
          <w:highlight w:val="none"/>
          <w:u w:val="single"/>
          <w:lang w:eastAsia="zh-CN"/>
        </w:rPr>
        <w:t>中国电信股份有限公司湖北分公司</w:t>
      </w:r>
      <w:r>
        <w:rPr>
          <w:rFonts w:hint="eastAsia" w:ascii="宋体" w:hAnsi="宋体"/>
          <w:szCs w:val="21"/>
          <w:highlight w:val="none"/>
        </w:rPr>
        <w:t>，招标代理机构为</w:t>
      </w:r>
      <w:r>
        <w:rPr>
          <w:rFonts w:hint="eastAsia" w:ascii="宋体" w:hAnsi="宋体"/>
          <w:highlight w:val="none"/>
          <w:u w:val="single"/>
        </w:rPr>
        <w:t>湖北信通通信有限公司</w:t>
      </w:r>
      <w:r>
        <w:rPr>
          <w:rFonts w:hint="eastAsia" w:ascii="宋体" w:hAnsi="宋体"/>
          <w:szCs w:val="21"/>
          <w:highlight w:val="none"/>
        </w:rPr>
        <w:t>。项目资金由</w:t>
      </w:r>
      <w:r>
        <w:rPr>
          <w:rFonts w:hint="eastAsia" w:ascii="宋体" w:hAnsi="宋体"/>
          <w:szCs w:val="21"/>
          <w:highlight w:val="none"/>
          <w:u w:val="single"/>
        </w:rPr>
        <w:t>招标人自筹</w:t>
      </w:r>
      <w:r>
        <w:rPr>
          <w:rFonts w:hint="eastAsia" w:ascii="宋体" w:hAnsi="宋体"/>
          <w:szCs w:val="21"/>
          <w:highlight w:val="none"/>
        </w:rPr>
        <w:t>，资金已落实。项目已具备招标条件，现进行公开招标，特邀请有意向的且具有提供标的物能力的潜在投标人（以下简称投标人）参加投标。</w:t>
      </w:r>
    </w:p>
    <w:p w14:paraId="7F5A9BB0">
      <w:pPr>
        <w:pStyle w:val="56"/>
        <w:numPr>
          <w:ilvl w:val="0"/>
          <w:numId w:val="0"/>
        </w:numPr>
        <w:adjustRightInd w:val="0"/>
        <w:snapToGrid w:val="0"/>
        <w:spacing w:line="360" w:lineRule="auto"/>
        <w:ind w:leftChars="201"/>
        <w:rPr>
          <w:rFonts w:ascii="宋体" w:hAnsi="宋体"/>
          <w:b/>
          <w:szCs w:val="21"/>
          <w:highlight w:val="none"/>
        </w:rPr>
      </w:pPr>
      <w:r>
        <w:rPr>
          <w:rFonts w:hint="eastAsia" w:ascii="宋体" w:hAnsi="宋体"/>
          <w:b/>
          <w:szCs w:val="21"/>
          <w:highlight w:val="none"/>
          <w:lang w:val="en-US" w:eastAsia="zh-CN"/>
        </w:rPr>
        <w:t>1.</w:t>
      </w:r>
      <w:r>
        <w:rPr>
          <w:rFonts w:hint="eastAsia" w:ascii="宋体" w:hAnsi="宋体"/>
          <w:b/>
          <w:szCs w:val="21"/>
          <w:highlight w:val="none"/>
        </w:rPr>
        <w:t>项目概况与招标内容</w:t>
      </w:r>
    </w:p>
    <w:p w14:paraId="32977A1B">
      <w:pPr>
        <w:pStyle w:val="56"/>
        <w:numPr>
          <w:ilvl w:val="0"/>
          <w:numId w:val="0"/>
        </w:numPr>
        <w:adjustRightInd w:val="0"/>
        <w:snapToGrid w:val="0"/>
        <w:spacing w:line="360" w:lineRule="auto"/>
        <w:ind w:left="425" w:leftChars="0"/>
        <w:rPr>
          <w:rFonts w:ascii="宋体" w:hAnsi="宋体"/>
          <w:szCs w:val="21"/>
          <w:highlight w:val="none"/>
        </w:rPr>
      </w:pPr>
      <w:r>
        <w:rPr>
          <w:rFonts w:hint="eastAsia" w:ascii="宋体" w:hAnsi="宋体"/>
          <w:szCs w:val="21"/>
          <w:highlight w:val="none"/>
          <w:lang w:val="en-US" w:eastAsia="zh-CN"/>
        </w:rPr>
        <w:t>1.1</w:t>
      </w:r>
      <w:r>
        <w:rPr>
          <w:rFonts w:hint="eastAsia" w:ascii="宋体" w:hAnsi="宋体"/>
          <w:szCs w:val="21"/>
          <w:highlight w:val="none"/>
        </w:rPr>
        <w:t>项目概况</w:t>
      </w:r>
    </w:p>
    <w:p w14:paraId="5814D903">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28" w:firstLineChars="200"/>
        <w:textAlignment w:val="auto"/>
        <w:rPr>
          <w:rFonts w:hint="eastAsia" w:ascii="宋体" w:hAnsi="宋体"/>
          <w:spacing w:val="2"/>
          <w:szCs w:val="21"/>
          <w:highlight w:val="none"/>
          <w:u w:val="none"/>
          <w:lang w:val="en-US" w:eastAsia="zh-CN"/>
        </w:rPr>
      </w:pPr>
      <w:r>
        <w:rPr>
          <w:rFonts w:hint="eastAsia" w:ascii="宋体" w:hAnsi="宋体"/>
          <w:spacing w:val="2"/>
          <w:szCs w:val="21"/>
          <w:highlight w:val="none"/>
          <w:u w:val="none"/>
          <w:lang w:val="en-US" w:eastAsia="zh-CN"/>
        </w:rPr>
        <w:t>为推进采控中心聚焦云网运行数据采集质量提升及云网操作能力全面标准化开放工作，现启动2024年中国电信湖北公司采控中心技术研发项目。</w:t>
      </w:r>
    </w:p>
    <w:p w14:paraId="769B8A97">
      <w:pPr>
        <w:pStyle w:val="56"/>
        <w:numPr>
          <w:ilvl w:val="0"/>
          <w:numId w:val="0"/>
        </w:numPr>
        <w:adjustRightInd w:val="0"/>
        <w:snapToGrid w:val="0"/>
        <w:spacing w:line="360" w:lineRule="auto"/>
        <w:ind w:left="425" w:leftChars="0"/>
        <w:rPr>
          <w:rFonts w:ascii="宋体" w:hAnsi="宋体"/>
          <w:szCs w:val="21"/>
          <w:highlight w:val="none"/>
        </w:rPr>
      </w:pPr>
      <w:r>
        <w:rPr>
          <w:rFonts w:hint="eastAsia" w:ascii="宋体" w:hAnsi="宋体"/>
          <w:szCs w:val="21"/>
          <w:highlight w:val="none"/>
          <w:lang w:val="en-US" w:eastAsia="zh-CN"/>
        </w:rPr>
        <w:t>1.2</w:t>
      </w:r>
      <w:r>
        <w:rPr>
          <w:rFonts w:hint="eastAsia" w:ascii="宋体" w:hAnsi="宋体"/>
          <w:szCs w:val="21"/>
          <w:highlight w:val="none"/>
        </w:rPr>
        <w:t>招标内容</w:t>
      </w:r>
    </w:p>
    <w:p w14:paraId="5224EE29">
      <w:pPr>
        <w:keepNext w:val="0"/>
        <w:keepLines w:val="0"/>
        <w:pageBreakBefore w:val="0"/>
        <w:widowControl/>
        <w:suppressLineNumbers w:val="0"/>
        <w:kinsoku/>
        <w:wordWrap/>
        <w:overflowPunct/>
        <w:topLinePunct w:val="0"/>
        <w:autoSpaceDE/>
        <w:autoSpaceDN/>
        <w:bidi w:val="0"/>
        <w:adjustRightInd/>
        <w:snapToGrid/>
        <w:spacing w:line="360" w:lineRule="auto"/>
        <w:ind w:firstLine="428" w:firstLineChars="200"/>
        <w:jc w:val="left"/>
        <w:textAlignment w:val="auto"/>
        <w:rPr>
          <w:rFonts w:hint="eastAsia" w:ascii="宋体" w:hAnsi="宋体" w:cs="Times New Roman"/>
          <w:spacing w:val="2"/>
          <w:kern w:val="2"/>
          <w:sz w:val="21"/>
          <w:szCs w:val="21"/>
          <w:highlight w:val="none"/>
          <w:u w:val="none"/>
          <w:lang w:val="en-US" w:eastAsia="zh-CN" w:bidi="ar-SA"/>
        </w:rPr>
      </w:pPr>
      <w:r>
        <w:rPr>
          <w:rFonts w:hint="eastAsia" w:ascii="宋体" w:hAnsi="宋体" w:eastAsia="宋体" w:cs="Times New Roman"/>
          <w:spacing w:val="2"/>
          <w:kern w:val="2"/>
          <w:sz w:val="21"/>
          <w:szCs w:val="21"/>
          <w:highlight w:val="none"/>
          <w:u w:val="none"/>
          <w:lang w:val="en-US" w:eastAsia="zh-CN" w:bidi="ar-SA"/>
        </w:rPr>
        <w:t>本项目建设内容</w:t>
      </w:r>
      <w:r>
        <w:rPr>
          <w:rFonts w:hint="eastAsia" w:ascii="宋体" w:hAnsi="宋体" w:cs="Times New Roman"/>
          <w:spacing w:val="2"/>
          <w:kern w:val="2"/>
          <w:sz w:val="21"/>
          <w:szCs w:val="21"/>
          <w:highlight w:val="none"/>
          <w:u w:val="none"/>
          <w:lang w:val="en-US" w:eastAsia="zh-CN" w:bidi="ar-SA"/>
        </w:rPr>
        <w:t>如下：</w:t>
      </w:r>
    </w:p>
    <w:p w14:paraId="27ED0440">
      <w:pPr>
        <w:pStyle w:val="56"/>
        <w:wordWrap w:val="0"/>
        <w:spacing w:line="360" w:lineRule="auto"/>
        <w:rPr>
          <w:rFonts w:hint="eastAsia" w:ascii="宋体" w:hAnsi="宋体" w:cs="Times New Roman"/>
          <w:spacing w:val="2"/>
          <w:kern w:val="2"/>
          <w:sz w:val="21"/>
          <w:szCs w:val="21"/>
          <w:highlight w:val="none"/>
          <w:u w:val="none"/>
          <w:lang w:val="en-US" w:eastAsia="zh-CN" w:bidi="ar-SA"/>
        </w:rPr>
      </w:pPr>
      <w:r>
        <w:rPr>
          <w:rFonts w:hint="eastAsia" w:ascii="宋体" w:hAnsi="宋体" w:cs="Times New Roman"/>
          <w:spacing w:val="2"/>
          <w:kern w:val="2"/>
          <w:sz w:val="21"/>
          <w:szCs w:val="21"/>
          <w:highlight w:val="none"/>
          <w:u w:val="none"/>
          <w:lang w:val="en-US" w:eastAsia="zh-CN" w:bidi="ar-SA"/>
        </w:rPr>
        <w:t>1.2.1集团重点专项工作：（1）两级质检重传，实现两级协同；（2）全场景统一指令库，赋能全网能力快速就绪；（3）构建集约能力设计台，实现天级能力上架；（4）网元孪生库工作台，指引全网数据标准化处理。</w:t>
      </w:r>
    </w:p>
    <w:p w14:paraId="4B9C3994">
      <w:pPr>
        <w:pStyle w:val="56"/>
        <w:wordWrap w:val="0"/>
        <w:spacing w:line="360" w:lineRule="auto"/>
        <w:rPr>
          <w:rFonts w:hint="eastAsia" w:ascii="宋体" w:hAnsi="宋体" w:cs="Times New Roman"/>
          <w:spacing w:val="2"/>
          <w:kern w:val="2"/>
          <w:sz w:val="21"/>
          <w:szCs w:val="21"/>
          <w:highlight w:val="none"/>
          <w:u w:val="none"/>
          <w:lang w:val="en-US" w:eastAsia="zh-CN" w:bidi="ar-SA"/>
        </w:rPr>
      </w:pPr>
      <w:r>
        <w:rPr>
          <w:rFonts w:hint="eastAsia" w:ascii="宋体" w:hAnsi="宋体" w:cs="Times New Roman"/>
          <w:spacing w:val="2"/>
          <w:kern w:val="2"/>
          <w:sz w:val="21"/>
          <w:szCs w:val="21"/>
          <w:highlight w:val="none"/>
          <w:u w:val="none"/>
          <w:lang w:val="en-US" w:eastAsia="zh-CN" w:bidi="ar-SA"/>
        </w:rPr>
        <w:t>1.2.2提升省内业务纳管能力：（1）直连集团翼支付，减少故障隐患；（2）扩充逻辑资源采集，支撑PSR业务开通快速上线；（3）新一代承接政企业务开通，实现网管解耦；（4）云业务纳管，助力云网数据融合；（5）扩展新城插件纳管，实现网管解耦；（6）对接移动核心网插件，满足云网自智需求。</w:t>
      </w:r>
    </w:p>
    <w:p w14:paraId="1FBC7F12">
      <w:pPr>
        <w:pStyle w:val="56"/>
        <w:wordWrap w:val="0"/>
        <w:spacing w:line="360" w:lineRule="auto"/>
        <w:rPr>
          <w:rFonts w:hint="eastAsia" w:ascii="宋体" w:hAnsi="宋体" w:cs="Times New Roman"/>
          <w:spacing w:val="2"/>
          <w:kern w:val="2"/>
          <w:sz w:val="21"/>
          <w:szCs w:val="21"/>
          <w:highlight w:val="none"/>
          <w:u w:val="none"/>
          <w:lang w:val="en-US" w:eastAsia="zh-CN" w:bidi="ar-SA"/>
        </w:rPr>
      </w:pPr>
      <w:r>
        <w:rPr>
          <w:rFonts w:hint="eastAsia" w:ascii="宋体" w:hAnsi="宋体" w:cs="Times New Roman"/>
          <w:spacing w:val="2"/>
          <w:kern w:val="2"/>
          <w:sz w:val="21"/>
          <w:szCs w:val="21"/>
          <w:highlight w:val="none"/>
          <w:u w:val="none"/>
          <w:lang w:val="en-US" w:eastAsia="zh-CN" w:bidi="ar-SA"/>
        </w:rPr>
        <w:t>1.2.3采控性能及安全能力提升：（1）优化网元全生命周期管理，提升采控设备纳管效率；（2）提升系统运行监控能力，增强系统健壮性。</w:t>
      </w:r>
    </w:p>
    <w:p w14:paraId="378C7D89">
      <w:pPr>
        <w:pStyle w:val="56"/>
        <w:wordWrap w:val="0"/>
        <w:spacing w:line="360" w:lineRule="auto"/>
        <w:rPr>
          <w:rFonts w:hint="eastAsia" w:ascii="宋体" w:hAnsi="宋体" w:cs="Times New Roman"/>
          <w:spacing w:val="2"/>
          <w:kern w:val="2"/>
          <w:sz w:val="21"/>
          <w:szCs w:val="21"/>
          <w:highlight w:val="none"/>
          <w:u w:val="none"/>
          <w:lang w:val="en-US" w:eastAsia="zh-CN" w:bidi="ar-SA"/>
        </w:rPr>
      </w:pPr>
      <w:r>
        <w:rPr>
          <w:rFonts w:hint="eastAsia" w:ascii="宋体" w:hAnsi="宋体" w:cs="Times New Roman"/>
          <w:spacing w:val="2"/>
          <w:kern w:val="2"/>
          <w:sz w:val="21"/>
          <w:szCs w:val="21"/>
          <w:highlight w:val="none"/>
          <w:u w:val="none"/>
          <w:lang w:val="en-US" w:eastAsia="zh-CN" w:bidi="ar-SA"/>
        </w:rPr>
        <w:t>1.2.4日常需求建设内容：（1）配合集团日常指标考核及两级采控运营工作；（2）配合编排中心、资源能力中心、各专业能力调度系统的接口联调及日常数据维护；（3）配合各专业做好自智场景应用支撑；（4）配合资源中心完成资源数实一致率提升；（5）配合IP/IPRAN/PON专业网管解耦。</w:t>
      </w:r>
    </w:p>
    <w:p w14:paraId="6A990727">
      <w:pPr>
        <w:pStyle w:val="56"/>
        <w:wordWrap w:val="0"/>
        <w:spacing w:line="360" w:lineRule="auto"/>
        <w:rPr>
          <w:rFonts w:ascii="宋体" w:hAnsi="宋体"/>
          <w:szCs w:val="21"/>
          <w:highlight w:val="none"/>
        </w:rPr>
      </w:pPr>
      <w:r>
        <w:rPr>
          <w:rFonts w:hint="eastAsia" w:ascii="宋体" w:hAnsi="宋体"/>
          <w:szCs w:val="21"/>
          <w:highlight w:val="none"/>
        </w:rPr>
        <w:t>【本项目将按照最新的《中国电信供应商不良行为管理规则》执行供应商不良行为处理结果，请重点关注处理结果适用的供应商主体、被处理产品、处理范围、禁限期等关键内容，请务必登录中国电信阳光采购网（https://caigou.chinatelecom.com.cn）查阅《中国电信供应商不良行为管理规则》】</w:t>
      </w:r>
    </w:p>
    <w:p w14:paraId="69362045">
      <w:pPr>
        <w:pStyle w:val="56"/>
        <w:numPr>
          <w:ilvl w:val="0"/>
          <w:numId w:val="0"/>
        </w:numPr>
        <w:adjustRightInd w:val="0"/>
        <w:snapToGrid w:val="0"/>
        <w:spacing w:line="360" w:lineRule="auto"/>
        <w:ind w:left="425" w:leftChars="0"/>
        <w:rPr>
          <w:rFonts w:ascii="宋体" w:hAnsi="宋体"/>
          <w:szCs w:val="21"/>
          <w:highlight w:val="none"/>
        </w:rPr>
      </w:pPr>
      <w:r>
        <w:rPr>
          <w:rFonts w:hint="eastAsia" w:ascii="宋体" w:hAnsi="宋体"/>
          <w:szCs w:val="21"/>
          <w:highlight w:val="none"/>
          <w:lang w:val="en-US" w:eastAsia="zh-CN"/>
        </w:rPr>
        <w:t>1.3</w:t>
      </w:r>
      <w:r>
        <w:rPr>
          <w:rFonts w:hint="eastAsia" w:ascii="宋体" w:hAnsi="宋体"/>
          <w:szCs w:val="21"/>
          <w:highlight w:val="none"/>
        </w:rPr>
        <w:t>本项目不划分标包。</w:t>
      </w:r>
    </w:p>
    <w:p w14:paraId="61465028">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20" w:firstLineChars="200"/>
        <w:textAlignment w:val="auto"/>
        <w:rPr>
          <w:rFonts w:ascii="宋体" w:hAnsi="宋体"/>
          <w:szCs w:val="21"/>
          <w:highlight w:val="none"/>
        </w:rPr>
      </w:pPr>
      <w:r>
        <w:rPr>
          <w:rFonts w:hint="eastAsia" w:ascii="宋体" w:hAnsi="宋体"/>
          <w:szCs w:val="21"/>
          <w:highlight w:val="none"/>
          <w:lang w:val="en-US" w:eastAsia="zh-CN"/>
        </w:rPr>
        <w:t>1.4项目交付时限：合同签订之日起60日内完成软件的开发与实施上线。</w:t>
      </w:r>
    </w:p>
    <w:p w14:paraId="40EF963F">
      <w:pPr>
        <w:pStyle w:val="56"/>
        <w:numPr>
          <w:ilvl w:val="0"/>
          <w:numId w:val="0"/>
        </w:numPr>
        <w:adjustRightInd w:val="0"/>
        <w:snapToGrid w:val="0"/>
        <w:spacing w:line="360" w:lineRule="auto"/>
        <w:ind w:left="425" w:leftChars="0"/>
        <w:rPr>
          <w:rFonts w:hint="default" w:ascii="宋体" w:hAnsi="宋体" w:eastAsia="宋体"/>
          <w:szCs w:val="21"/>
          <w:highlight w:val="none"/>
          <w:lang w:val="en-US" w:eastAsia="zh-CN"/>
        </w:rPr>
      </w:pPr>
      <w:r>
        <w:rPr>
          <w:rFonts w:hint="eastAsia" w:ascii="宋体" w:hAnsi="宋体"/>
          <w:szCs w:val="21"/>
          <w:highlight w:val="none"/>
          <w:lang w:val="en-US" w:eastAsia="zh-CN"/>
        </w:rPr>
        <w:t>1.5保修期：</w:t>
      </w:r>
      <w:r>
        <w:rPr>
          <w:rFonts w:hint="eastAsia" w:ascii="宋体" w:hAnsi="宋体" w:cs="宋体"/>
          <w:szCs w:val="21"/>
          <w:highlight w:val="none"/>
        </w:rPr>
        <w:t>自终验合格之日起</w:t>
      </w:r>
      <w:r>
        <w:rPr>
          <w:rFonts w:hint="eastAsia" w:ascii="宋体" w:hAnsi="宋体" w:cs="宋体"/>
          <w:szCs w:val="21"/>
          <w:highlight w:val="none"/>
          <w:lang w:val="en-US" w:eastAsia="zh-CN"/>
        </w:rPr>
        <w:t>一年</w:t>
      </w:r>
    </w:p>
    <w:p w14:paraId="7409B197">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20" w:firstLineChars="200"/>
        <w:textAlignment w:val="auto"/>
        <w:rPr>
          <w:rFonts w:hint="eastAsia" w:ascii="宋体" w:hAnsi="宋体" w:eastAsia="宋体" w:cs="Times New Roman"/>
          <w:szCs w:val="21"/>
          <w:highlight w:val="none"/>
          <w:lang w:eastAsia="zh-CN"/>
        </w:rPr>
      </w:pPr>
      <w:bookmarkStart w:id="6" w:name="_Toc319769473"/>
      <w:bookmarkStart w:id="7" w:name="_Toc184704555"/>
      <w:bookmarkStart w:id="8" w:name="_Toc319394714"/>
      <w:r>
        <w:rPr>
          <w:rFonts w:hint="eastAsia" w:ascii="宋体" w:hAnsi="宋体"/>
          <w:szCs w:val="21"/>
          <w:highlight w:val="none"/>
          <w:lang w:val="en-US" w:eastAsia="zh-CN"/>
        </w:rPr>
        <w:t>1.6</w:t>
      </w:r>
      <w:r>
        <w:rPr>
          <w:rFonts w:hint="eastAsia" w:ascii="宋体" w:hAnsi="宋体"/>
          <w:szCs w:val="21"/>
          <w:highlight w:val="none"/>
        </w:rPr>
        <w:t>本项目设置最高投标限价，最高投标不含税</w:t>
      </w:r>
      <w:r>
        <w:rPr>
          <w:rFonts w:hint="eastAsia" w:ascii="宋体" w:hAnsi="宋体"/>
          <w:szCs w:val="21"/>
          <w:highlight w:val="none"/>
          <w:lang w:val="en-US" w:eastAsia="zh-CN"/>
        </w:rPr>
        <w:t>报价</w:t>
      </w:r>
      <w:r>
        <w:rPr>
          <w:rFonts w:hint="eastAsia" w:ascii="宋体" w:hAnsi="宋体"/>
          <w:szCs w:val="21"/>
          <w:highlight w:val="none"/>
        </w:rPr>
        <w:t>限价</w:t>
      </w:r>
      <w:r>
        <w:rPr>
          <w:rFonts w:hint="eastAsia" w:ascii="宋体" w:hAnsi="宋体"/>
          <w:szCs w:val="21"/>
          <w:highlight w:val="none"/>
          <w:lang w:val="en-US" w:eastAsia="zh-CN"/>
        </w:rPr>
        <w:t>为405.68万元</w:t>
      </w:r>
      <w:r>
        <w:rPr>
          <w:rFonts w:hint="eastAsia" w:ascii="宋体" w:hAnsi="宋体"/>
          <w:szCs w:val="21"/>
          <w:highlight w:val="none"/>
        </w:rPr>
        <w:t>，超过最高限价的投标文件将被予以否决</w:t>
      </w:r>
      <w:r>
        <w:rPr>
          <w:rFonts w:hint="eastAsia" w:ascii="宋体" w:hAnsi="宋体"/>
          <w:szCs w:val="21"/>
          <w:highlight w:val="none"/>
          <w:lang w:eastAsia="zh-CN"/>
        </w:rPr>
        <w:t>。</w:t>
      </w:r>
    </w:p>
    <w:p w14:paraId="0600861C">
      <w:pPr>
        <w:pStyle w:val="56"/>
        <w:numPr>
          <w:ilvl w:val="0"/>
          <w:numId w:val="0"/>
        </w:numPr>
        <w:adjustRightInd w:val="0"/>
        <w:snapToGrid w:val="0"/>
        <w:spacing w:line="360" w:lineRule="auto"/>
        <w:ind w:leftChars="201"/>
        <w:rPr>
          <w:rFonts w:ascii="宋体" w:hAnsi="宋体"/>
          <w:b/>
          <w:szCs w:val="21"/>
          <w:highlight w:val="none"/>
        </w:rPr>
      </w:pPr>
      <w:r>
        <w:rPr>
          <w:rFonts w:hint="eastAsia" w:ascii="宋体" w:hAnsi="宋体"/>
          <w:b/>
          <w:szCs w:val="21"/>
          <w:highlight w:val="none"/>
          <w:lang w:val="en-US" w:eastAsia="zh-CN"/>
        </w:rPr>
        <w:t>2.</w:t>
      </w:r>
      <w:r>
        <w:rPr>
          <w:rFonts w:hint="eastAsia" w:ascii="宋体" w:hAnsi="宋体"/>
          <w:b/>
          <w:szCs w:val="21"/>
          <w:highlight w:val="none"/>
        </w:rPr>
        <w:t>投标人资格要求</w:t>
      </w:r>
      <w:bookmarkEnd w:id="6"/>
      <w:bookmarkEnd w:id="7"/>
      <w:bookmarkEnd w:id="8"/>
    </w:p>
    <w:p w14:paraId="5FAB7D7F">
      <w:pPr>
        <w:spacing w:line="360" w:lineRule="auto"/>
        <w:ind w:firstLine="420" w:firstLineChars="200"/>
        <w:rPr>
          <w:rFonts w:hint="eastAsia" w:ascii="宋体" w:hAnsi="宋体" w:eastAsia="宋体" w:cs="宋体"/>
          <w:sz w:val="21"/>
          <w:szCs w:val="21"/>
          <w:highlight w:val="none"/>
        </w:rPr>
      </w:pPr>
      <w:bookmarkStart w:id="9" w:name="_Toc319769474"/>
      <w:bookmarkStart w:id="10" w:name="_Toc319394715"/>
      <w:bookmarkStart w:id="11" w:name="_Toc184704556"/>
      <w:r>
        <w:rPr>
          <w:rFonts w:hint="eastAsia" w:ascii="宋体" w:hAnsi="宋体" w:eastAsia="宋体" w:cs="宋体"/>
          <w:sz w:val="21"/>
          <w:szCs w:val="21"/>
          <w:highlight w:val="none"/>
          <w:lang w:val="en-US" w:eastAsia="zh-CN"/>
        </w:rPr>
        <w:t>2.1</w:t>
      </w:r>
      <w:r>
        <w:rPr>
          <w:rFonts w:hint="eastAsia" w:ascii="宋体" w:hAnsi="宋体" w:cs="宋体"/>
          <w:sz w:val="21"/>
          <w:szCs w:val="21"/>
          <w:highlight w:val="none"/>
          <w:lang w:val="en-US" w:eastAsia="zh-CN"/>
        </w:rPr>
        <w:t>.</w:t>
      </w:r>
      <w:r>
        <w:rPr>
          <w:rFonts w:hint="eastAsia" w:ascii="宋体" w:hAnsi="宋体" w:eastAsia="宋体" w:cs="宋体"/>
          <w:sz w:val="21"/>
          <w:szCs w:val="21"/>
          <w:highlight w:val="none"/>
        </w:rPr>
        <w:t>投标人应为中华人民共和国境内法律上和财务上独立的法人或依法登记注册的其他组织，合法运作并独立于招标人和招标代理机构。法人下属不具备法人资格的分支机构参与投标的，应提供所属法人针对本项目或覆盖本项目的经营事项的有效授权。</w:t>
      </w:r>
    </w:p>
    <w:p w14:paraId="44EADD1C">
      <w:pPr>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2.2</w:t>
      </w:r>
      <w:r>
        <w:rPr>
          <w:rFonts w:hint="eastAsia" w:ascii="宋体" w:hAnsi="宋体" w:cs="宋体"/>
          <w:sz w:val="21"/>
          <w:szCs w:val="21"/>
          <w:highlight w:val="none"/>
          <w:lang w:val="en-US" w:eastAsia="zh-CN"/>
        </w:rPr>
        <w:t>.</w:t>
      </w:r>
      <w:r>
        <w:rPr>
          <w:rFonts w:hint="eastAsia" w:ascii="宋体" w:hAnsi="宋体" w:cs="宋体"/>
          <w:sz w:val="21"/>
          <w:szCs w:val="21"/>
          <w:highlight w:val="none"/>
        </w:rPr>
        <w:t>投标人须具备20</w:t>
      </w:r>
      <w:r>
        <w:rPr>
          <w:rFonts w:hint="eastAsia" w:ascii="宋体" w:hAnsi="宋体" w:cs="宋体"/>
          <w:sz w:val="21"/>
          <w:szCs w:val="21"/>
          <w:highlight w:val="none"/>
          <w:lang w:val="en-US" w:eastAsia="zh-CN"/>
        </w:rPr>
        <w:t>21</w:t>
      </w:r>
      <w:r>
        <w:rPr>
          <w:rFonts w:hint="eastAsia" w:ascii="宋体" w:hAnsi="宋体" w:cs="宋体"/>
          <w:sz w:val="21"/>
          <w:szCs w:val="21"/>
          <w:highlight w:val="none"/>
        </w:rPr>
        <w:t>年1月1日至投标截止时间的类似项目</w:t>
      </w:r>
      <w:r>
        <w:rPr>
          <w:rFonts w:hint="eastAsia" w:ascii="宋体" w:hAnsi="宋体" w:eastAsia="宋体" w:cs="宋体"/>
          <w:sz w:val="21"/>
          <w:szCs w:val="21"/>
          <w:highlight w:val="none"/>
          <w:lang w:val="en-US" w:eastAsia="zh-CN"/>
        </w:rPr>
        <w:t>（采控中心、采集、网管</w:t>
      </w:r>
      <w:r>
        <w:rPr>
          <w:rFonts w:hint="eastAsia" w:ascii="宋体" w:hAnsi="宋体" w:cs="宋体"/>
          <w:sz w:val="21"/>
          <w:szCs w:val="21"/>
          <w:highlight w:val="none"/>
          <w:lang w:val="en-US" w:eastAsia="zh-CN"/>
        </w:rPr>
        <w:t>等系统开发</w:t>
      </w:r>
      <w:r>
        <w:rPr>
          <w:rFonts w:hint="eastAsia" w:ascii="宋体" w:hAnsi="宋体" w:eastAsia="宋体" w:cs="宋体"/>
          <w:sz w:val="21"/>
          <w:szCs w:val="21"/>
          <w:highlight w:val="none"/>
          <w:lang w:val="en-US" w:eastAsia="zh-CN"/>
        </w:rPr>
        <w:t>）</w:t>
      </w:r>
      <w:r>
        <w:rPr>
          <w:rFonts w:hint="eastAsia" w:ascii="宋体" w:hAnsi="宋体" w:cs="宋体"/>
          <w:sz w:val="21"/>
          <w:szCs w:val="21"/>
          <w:highlight w:val="none"/>
          <w:lang w:val="en-US" w:eastAsia="zh-CN"/>
        </w:rPr>
        <w:t>业绩</w:t>
      </w:r>
      <w:r>
        <w:rPr>
          <w:rFonts w:hint="eastAsia" w:ascii="宋体" w:hAnsi="宋体" w:eastAsia="宋体" w:cs="宋体"/>
          <w:sz w:val="21"/>
          <w:szCs w:val="21"/>
          <w:highlight w:val="none"/>
        </w:rPr>
        <w:t>，应满足下列要求：须提供合同或框架协议，合同须提供关键页复印件（首页、金</w:t>
      </w:r>
      <w:r>
        <w:rPr>
          <w:rFonts w:hint="eastAsia" w:ascii="宋体" w:hAnsi="宋体" w:cs="宋体"/>
          <w:sz w:val="21"/>
          <w:szCs w:val="21"/>
          <w:highlight w:val="none"/>
        </w:rPr>
        <w:t>额页、签字盖章页），如提供框架协议或集中采购合同，必须提供相应的订单或其他证明材料，单项合同时间以合同签订时间为准，框架协议或集中采购合同以订单或其他证明材料时间为准。资料不全、评标委员会无法确定业绩的不予认可。</w:t>
      </w:r>
    </w:p>
    <w:p w14:paraId="325B6C12">
      <w:pPr>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2.</w:t>
      </w:r>
      <w:r>
        <w:rPr>
          <w:rFonts w:hint="eastAsia" w:ascii="宋体" w:hAnsi="宋体" w:cs="宋体"/>
          <w:sz w:val="21"/>
          <w:szCs w:val="21"/>
          <w:highlight w:val="none"/>
          <w:lang w:val="en-US" w:eastAsia="zh-CN"/>
        </w:rPr>
        <w:t>3.</w:t>
      </w:r>
      <w:r>
        <w:rPr>
          <w:rFonts w:hint="eastAsia" w:ascii="宋体" w:hAnsi="宋体" w:cs="宋体"/>
          <w:sz w:val="21"/>
          <w:szCs w:val="21"/>
          <w:highlight w:val="none"/>
        </w:rPr>
        <w:t>本项目要求投标人满足以下财务要求：投标人能够或承诺能够为本项目开具增值税专用发票。（须提供证明材料或承诺函）</w:t>
      </w:r>
    </w:p>
    <w:p w14:paraId="46D5F4F3">
      <w:pPr>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2.</w:t>
      </w:r>
      <w:r>
        <w:rPr>
          <w:rFonts w:hint="eastAsia" w:ascii="宋体" w:hAnsi="宋体" w:cs="宋体"/>
          <w:sz w:val="21"/>
          <w:szCs w:val="21"/>
          <w:highlight w:val="none"/>
          <w:lang w:val="en-US" w:eastAsia="zh-CN"/>
        </w:rPr>
        <w:t>4.</w:t>
      </w:r>
      <w:r>
        <w:rPr>
          <w:rFonts w:hint="eastAsia" w:ascii="宋体" w:hAnsi="宋体" w:cs="宋体"/>
          <w:sz w:val="21"/>
          <w:szCs w:val="21"/>
          <w:highlight w:val="none"/>
        </w:rPr>
        <w:t>投标人的法定代表人或负责人为同一人或者存在控股、管理关系的不同投标人，不得参加同一标包投标或者未划分标包的同一招标项目投标。</w:t>
      </w:r>
    </w:p>
    <w:p w14:paraId="18F8E36D">
      <w:pPr>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2.</w:t>
      </w:r>
      <w:r>
        <w:rPr>
          <w:rFonts w:hint="eastAsia" w:ascii="宋体" w:hAnsi="宋体" w:cs="宋体"/>
          <w:sz w:val="21"/>
          <w:szCs w:val="21"/>
          <w:highlight w:val="none"/>
          <w:lang w:val="en-US" w:eastAsia="zh-CN"/>
        </w:rPr>
        <w:t>5.</w:t>
      </w:r>
      <w:r>
        <w:rPr>
          <w:rFonts w:hint="eastAsia" w:ascii="宋体" w:hAnsi="宋体" w:cs="宋体"/>
          <w:sz w:val="21"/>
          <w:szCs w:val="21"/>
          <w:highlight w:val="none"/>
        </w:rPr>
        <w:t>本次招标不接受联合体投标，不允许转包和违法分包。</w:t>
      </w:r>
    </w:p>
    <w:p w14:paraId="0A66C10F">
      <w:pPr>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2.</w:t>
      </w:r>
      <w:r>
        <w:rPr>
          <w:rFonts w:hint="eastAsia" w:ascii="宋体" w:hAnsi="宋体" w:cs="宋体"/>
          <w:sz w:val="21"/>
          <w:szCs w:val="21"/>
          <w:highlight w:val="none"/>
          <w:lang w:val="en-US" w:eastAsia="zh-CN"/>
        </w:rPr>
        <w:t>6.</w:t>
      </w:r>
      <w:r>
        <w:rPr>
          <w:rFonts w:hint="eastAsia" w:ascii="宋体" w:hAnsi="宋体" w:cs="宋体"/>
          <w:sz w:val="21"/>
          <w:szCs w:val="21"/>
          <w:highlight w:val="none"/>
        </w:rPr>
        <w:t>投标人不得存在的情形：</w:t>
      </w:r>
    </w:p>
    <w:p w14:paraId="55B4DD4E">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1）</w:t>
      </w:r>
      <w:r>
        <w:rPr>
          <w:rFonts w:hint="eastAsia" w:asciiTheme="minorEastAsia" w:hAnsiTheme="minorEastAsia" w:eastAsiaTheme="minorEastAsia"/>
          <w:szCs w:val="21"/>
          <w:highlight w:val="none"/>
        </w:rPr>
        <w:t>为招标人不具有独立法人资格的附属机构（单位）；</w:t>
      </w:r>
    </w:p>
    <w:p w14:paraId="0379CD83">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（2）被依法暂停或取消投标资格的；</w:t>
      </w:r>
    </w:p>
    <w:p w14:paraId="5504F450">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（3）被责令停产停业、暂扣或者吊销许可证、暂扣或者吊销执照；</w:t>
      </w:r>
    </w:p>
    <w:p w14:paraId="1B719A0C">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（4）进入清算程序，或被宣告破产，或其他丧失履约能力的情形；</w:t>
      </w:r>
    </w:p>
    <w:p w14:paraId="307B6154">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（5）在最近三年内[投标截止时间前36个月]被相关行业主管部门或司法机关认定有骗取中标、严重违约、重大工程质量或者安全问题的；</w:t>
      </w:r>
    </w:p>
    <w:p w14:paraId="1D95A8D0">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（6）在最近五年内[投标截止时间前60个月]被判处单位行贿罪，且行贿行为与采购活动相关的（以“中国裁判文书网”的生效判决为准）；</w:t>
      </w:r>
    </w:p>
    <w:p w14:paraId="04730FE2">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（7）在最近五年内[投标截止时间前60个月]被判处合同诈骗罪的（以“中国裁判文书网”的生效判决为准）；</w:t>
      </w:r>
    </w:p>
    <w:p w14:paraId="1FBBF4FB">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（8）被最高人民法院在“信用中国”网站（www.creditchina.gov.cn）或各级信用信息共享平台中列入失信被执行人名单，已执行完毕或不再执行的除外；</w:t>
      </w:r>
    </w:p>
    <w:p w14:paraId="08E625F6">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（9）为本招标项目提供过设计、编制技术规范和其他文件的咨询服务；</w:t>
      </w:r>
    </w:p>
    <w:p w14:paraId="3AB809B3">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（10）为本工程项目的相关监理人，或者与本工程项目的相关监理人存在隶属关系或者其他利害关系；</w:t>
      </w:r>
    </w:p>
    <w:p w14:paraId="61F50FC9">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（11）为本招标项目的代建人；</w:t>
      </w:r>
    </w:p>
    <w:p w14:paraId="71AA13DD">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（12）为本招标项目的招标代理机构；</w:t>
      </w:r>
    </w:p>
    <w:p w14:paraId="281E7502">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（13）与本招标项目的监理人或代建人或招标代理机构同为一个法定代表人；</w:t>
      </w:r>
    </w:p>
    <w:p w14:paraId="5D8AB4A4">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（14）与本招标项目的监理人或代建人或招标代理机构存在控股或参股关系；</w:t>
      </w:r>
    </w:p>
    <w:p w14:paraId="1B3CE7CE">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（15）被工商行政管理机关在国家企业信用信息公示系统中列入严重违法失信企业名单的；</w:t>
      </w:r>
    </w:p>
    <w:p w14:paraId="5142FCFC">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16）其他按照《中国电信供应商不良行为管理规则》及处理结果，应对投标人及其投标产品品类在本项目中执行禁止采购处理措施的。同一标包或未划分标包的同一招标项目涉及多个产品的，投标人及其任一投标产品品类涉及相关禁止采购处理结果的，该标包或招标项目应适用相关的禁止采购处理措施；</w:t>
      </w:r>
    </w:p>
    <w:p w14:paraId="2A0CCF17">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b/>
          <w:szCs w:val="21"/>
          <w:highlight w:val="none"/>
        </w:rPr>
      </w:pPr>
      <w:r>
        <w:rPr>
          <w:rFonts w:hint="eastAsia" w:asciiTheme="minorEastAsia" w:hAnsiTheme="minorEastAsia" w:eastAsiaTheme="minorEastAsia"/>
          <w:szCs w:val="21"/>
          <w:highlight w:val="none"/>
        </w:rPr>
        <w:t>（17）法律法规、招标文件限定的其他情形。</w:t>
      </w:r>
    </w:p>
    <w:bookmarkEnd w:id="9"/>
    <w:bookmarkEnd w:id="10"/>
    <w:bookmarkEnd w:id="11"/>
    <w:p w14:paraId="1B3B0767">
      <w:pPr>
        <w:pStyle w:val="56"/>
        <w:numPr>
          <w:ilvl w:val="0"/>
          <w:numId w:val="0"/>
        </w:numPr>
        <w:shd w:val="clear"/>
        <w:adjustRightInd w:val="0"/>
        <w:snapToGrid w:val="0"/>
        <w:spacing w:line="360" w:lineRule="auto"/>
        <w:ind w:leftChars="201"/>
        <w:rPr>
          <w:rFonts w:ascii="宋体" w:hAnsi="宋体"/>
          <w:b/>
          <w:szCs w:val="21"/>
          <w:highlight w:val="none"/>
        </w:rPr>
      </w:pPr>
      <w:r>
        <w:rPr>
          <w:rFonts w:hint="eastAsia" w:ascii="宋体" w:hAnsi="宋体"/>
          <w:b/>
          <w:szCs w:val="21"/>
          <w:highlight w:val="none"/>
          <w:lang w:val="en-US" w:eastAsia="zh-CN"/>
        </w:rPr>
        <w:t>3.</w:t>
      </w:r>
      <w:r>
        <w:rPr>
          <w:rFonts w:hint="eastAsia" w:ascii="宋体" w:hAnsi="宋体"/>
          <w:b/>
          <w:szCs w:val="21"/>
          <w:highlight w:val="none"/>
        </w:rPr>
        <w:t>资格审查方法</w:t>
      </w:r>
    </w:p>
    <w:p w14:paraId="4C566CB4">
      <w:pPr>
        <w:pStyle w:val="56"/>
        <w:shd w:val="clear"/>
        <w:adjustRightInd w:val="0"/>
        <w:snapToGrid w:val="0"/>
        <w:spacing w:line="360" w:lineRule="auto"/>
        <w:rPr>
          <w:rFonts w:ascii="宋体" w:hAnsi="宋体"/>
          <w:szCs w:val="21"/>
          <w:highlight w:val="none"/>
        </w:rPr>
      </w:pPr>
      <w:r>
        <w:rPr>
          <w:rFonts w:hint="eastAsia" w:ascii="宋体" w:hAnsi="宋体"/>
          <w:szCs w:val="21"/>
          <w:highlight w:val="none"/>
        </w:rPr>
        <w:t>本项目将进行资格后审，资格审查标准和内容见招标文件第三章“评标办法”，凡未通过资格后审的投标人，其投标将被否决。</w:t>
      </w:r>
    </w:p>
    <w:p w14:paraId="5FB9F395">
      <w:pPr>
        <w:pStyle w:val="56"/>
        <w:numPr>
          <w:ilvl w:val="0"/>
          <w:numId w:val="0"/>
        </w:numPr>
        <w:shd w:val="clear"/>
        <w:adjustRightInd w:val="0"/>
        <w:snapToGrid w:val="0"/>
        <w:spacing w:line="360" w:lineRule="auto"/>
        <w:ind w:leftChars="201"/>
        <w:rPr>
          <w:rFonts w:hint="eastAsia" w:ascii="宋体" w:hAnsi="宋体" w:eastAsia="宋体"/>
          <w:b/>
          <w:szCs w:val="21"/>
          <w:highlight w:val="none"/>
        </w:rPr>
      </w:pPr>
      <w:bookmarkStart w:id="12" w:name="_Toc6313"/>
      <w:r>
        <w:rPr>
          <w:rFonts w:hint="eastAsia" w:ascii="宋体" w:hAnsi="宋体" w:eastAsia="宋体"/>
          <w:b/>
          <w:szCs w:val="21"/>
          <w:highlight w:val="none"/>
          <w:lang w:val="en-US" w:eastAsia="zh-CN"/>
        </w:rPr>
        <w:t>4.</w:t>
      </w:r>
      <w:r>
        <w:rPr>
          <w:rFonts w:hint="eastAsia" w:ascii="宋体" w:hAnsi="宋体" w:eastAsia="宋体"/>
          <w:b/>
          <w:szCs w:val="21"/>
          <w:highlight w:val="none"/>
        </w:rPr>
        <w:t>招标文件的获取</w:t>
      </w:r>
      <w:bookmarkEnd w:id="12"/>
    </w:p>
    <w:p w14:paraId="5EF50949">
      <w:pPr>
        <w:pStyle w:val="98"/>
        <w:shd w:val="clear"/>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4.1招标文件获取时间： 请于202</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年</w:t>
      </w:r>
      <w:r>
        <w:rPr>
          <w:rFonts w:hint="eastAsia" w:ascii="宋体" w:hAnsi="宋体" w:cs="宋体"/>
          <w:sz w:val="21"/>
          <w:szCs w:val="21"/>
          <w:highlight w:val="none"/>
          <w:lang w:val="en-US" w:eastAsia="zh-CN"/>
        </w:rPr>
        <w:t>8</w:t>
      </w:r>
      <w:r>
        <w:rPr>
          <w:rFonts w:hint="eastAsia" w:ascii="宋体" w:hAnsi="宋体" w:eastAsia="宋体" w:cs="宋体"/>
          <w:sz w:val="21"/>
          <w:szCs w:val="21"/>
          <w:highlight w:val="none"/>
        </w:rPr>
        <w:t>月</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日</w:t>
      </w:r>
      <w:r>
        <w:rPr>
          <w:rFonts w:hint="eastAsia" w:ascii="宋体" w:hAnsi="宋体" w:cs="宋体"/>
          <w:sz w:val="21"/>
          <w:szCs w:val="21"/>
          <w:highlight w:val="none"/>
          <w:lang w:val="en-US" w:eastAsia="zh-CN"/>
        </w:rPr>
        <w:t>18</w:t>
      </w:r>
      <w:r>
        <w:rPr>
          <w:rFonts w:hint="eastAsia" w:ascii="宋体" w:hAnsi="宋体" w:eastAsia="宋体" w:cs="宋体"/>
          <w:sz w:val="21"/>
          <w:szCs w:val="21"/>
          <w:highlight w:val="none"/>
        </w:rPr>
        <w:t>时</w:t>
      </w:r>
      <w:r>
        <w:rPr>
          <w:rFonts w:hint="eastAsia" w:ascii="宋体" w:hAnsi="宋体" w:eastAsia="宋体" w:cs="宋体"/>
          <w:sz w:val="21"/>
          <w:szCs w:val="21"/>
          <w:highlight w:val="none"/>
          <w:lang w:val="en-US" w:eastAsia="zh-CN"/>
        </w:rPr>
        <w:t>00</w:t>
      </w:r>
      <w:r>
        <w:rPr>
          <w:rFonts w:hint="eastAsia" w:ascii="宋体" w:hAnsi="宋体" w:eastAsia="宋体" w:cs="宋体"/>
          <w:sz w:val="21"/>
          <w:szCs w:val="21"/>
          <w:highlight w:val="none"/>
        </w:rPr>
        <w:t>分至202</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年</w:t>
      </w:r>
      <w:r>
        <w:rPr>
          <w:rFonts w:hint="eastAsia" w:ascii="宋体" w:hAnsi="宋体" w:cs="宋体"/>
          <w:sz w:val="21"/>
          <w:szCs w:val="21"/>
          <w:highlight w:val="none"/>
          <w:lang w:val="en-US" w:eastAsia="zh-CN"/>
        </w:rPr>
        <w:t>8</w:t>
      </w:r>
      <w:r>
        <w:rPr>
          <w:rFonts w:hint="eastAsia" w:ascii="宋体" w:hAnsi="宋体" w:eastAsia="宋体" w:cs="宋体"/>
          <w:sz w:val="21"/>
          <w:szCs w:val="21"/>
          <w:highlight w:val="none"/>
        </w:rPr>
        <w:t>月</w:t>
      </w:r>
      <w:r>
        <w:rPr>
          <w:rFonts w:hint="eastAsia" w:ascii="宋体" w:hAnsi="宋体" w:cs="宋体"/>
          <w:sz w:val="21"/>
          <w:szCs w:val="21"/>
          <w:highlight w:val="none"/>
          <w:lang w:val="en-US" w:eastAsia="zh-CN"/>
        </w:rPr>
        <w:t>12</w:t>
      </w:r>
      <w:r>
        <w:rPr>
          <w:rFonts w:hint="eastAsia" w:ascii="宋体" w:hAnsi="宋体" w:eastAsia="宋体" w:cs="宋体"/>
          <w:sz w:val="21"/>
          <w:szCs w:val="21"/>
          <w:highlight w:val="none"/>
        </w:rPr>
        <w:t>日17时</w:t>
      </w:r>
      <w:r>
        <w:rPr>
          <w:rFonts w:hint="eastAsia" w:ascii="宋体" w:hAnsi="宋体" w:cs="宋体"/>
          <w:sz w:val="21"/>
          <w:szCs w:val="21"/>
          <w:highlight w:val="none"/>
          <w:lang w:val="en-US" w:eastAsia="zh-CN"/>
        </w:rPr>
        <w:t>00</w:t>
      </w:r>
      <w:r>
        <w:rPr>
          <w:rFonts w:hint="eastAsia" w:ascii="宋体" w:hAnsi="宋体" w:eastAsia="宋体" w:cs="宋体"/>
          <w:sz w:val="21"/>
          <w:szCs w:val="21"/>
          <w:highlight w:val="none"/>
        </w:rPr>
        <w:t>分（北京时间，下同）。</w:t>
      </w:r>
    </w:p>
    <w:p w14:paraId="07EFE57E">
      <w:pPr>
        <w:pStyle w:val="98"/>
        <w:shd w:val="clear"/>
        <w:wordWrap w:val="0"/>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4.2 招标文件获取方式：凡有意参与投标的潜在投标人，请按以下步骤顺序进行操作，获取招标文件：请登录“中国电信阳光采购网（</w:t>
      </w:r>
      <w:r>
        <w:rPr>
          <w:rFonts w:hint="eastAsia" w:ascii="宋体" w:hAnsi="宋体" w:cs="宋体"/>
          <w:sz w:val="21"/>
          <w:szCs w:val="21"/>
          <w:highlight w:val="none"/>
          <w:lang w:eastAsia="zh-CN"/>
        </w:rPr>
        <w:t>https://caigou.chinatelecom.com.cn</w:t>
      </w:r>
      <w:r>
        <w:rPr>
          <w:rFonts w:hint="eastAsia" w:ascii="宋体" w:hAnsi="宋体" w:eastAsia="宋体" w:cs="宋体"/>
          <w:sz w:val="21"/>
          <w:szCs w:val="21"/>
          <w:highlight w:val="none"/>
        </w:rPr>
        <w:t>）”后，通过“招投标-采购文件领取”模块或通过“电子采购入口”跳转中国电信电子采购系统，进入本项目进行招标文件登记申领 。未在系统注册的投标人须先进行注册，注册方法详见本公告“7投标人注册”。</w:t>
      </w:r>
    </w:p>
    <w:p w14:paraId="3A8DE4C5">
      <w:pPr>
        <w:pStyle w:val="98"/>
        <w:shd w:val="clear"/>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4.3 招标文件每套售价【</w:t>
      </w:r>
      <w:r>
        <w:rPr>
          <w:rFonts w:hint="eastAsia" w:ascii="宋体" w:hAnsi="宋体" w:eastAsia="宋体" w:cs="宋体"/>
          <w:sz w:val="21"/>
          <w:szCs w:val="21"/>
          <w:highlight w:val="none"/>
          <w:lang w:val="en-US" w:eastAsia="zh-CN"/>
        </w:rPr>
        <w:t>300</w:t>
      </w:r>
      <w:r>
        <w:rPr>
          <w:rFonts w:hint="eastAsia" w:ascii="宋体" w:hAnsi="宋体" w:eastAsia="宋体" w:cs="宋体"/>
          <w:sz w:val="21"/>
          <w:szCs w:val="21"/>
          <w:highlight w:val="none"/>
        </w:rPr>
        <w:t>】元人民币，售后不退。支付要求：通过中国电信电子采购系统支付。</w:t>
      </w:r>
    </w:p>
    <w:p w14:paraId="00BE3BE9">
      <w:pPr>
        <w:pStyle w:val="56"/>
        <w:numPr>
          <w:ilvl w:val="0"/>
          <w:numId w:val="0"/>
        </w:numPr>
        <w:shd w:val="clear"/>
        <w:adjustRightInd w:val="0"/>
        <w:snapToGrid w:val="0"/>
        <w:spacing w:line="360" w:lineRule="auto"/>
        <w:ind w:leftChars="201"/>
        <w:rPr>
          <w:rFonts w:hint="eastAsia" w:ascii="宋体" w:hAnsi="宋体" w:eastAsia="宋体"/>
          <w:b/>
          <w:szCs w:val="21"/>
          <w:highlight w:val="none"/>
        </w:rPr>
      </w:pPr>
      <w:bookmarkStart w:id="13" w:name="_Toc22252"/>
      <w:r>
        <w:rPr>
          <w:rFonts w:hint="eastAsia" w:ascii="宋体" w:hAnsi="宋体" w:eastAsia="宋体"/>
          <w:b/>
          <w:szCs w:val="21"/>
          <w:highlight w:val="none"/>
          <w:lang w:val="en-US" w:eastAsia="zh-CN"/>
        </w:rPr>
        <w:t>5.</w:t>
      </w:r>
      <w:r>
        <w:rPr>
          <w:rFonts w:hint="eastAsia" w:ascii="宋体" w:hAnsi="宋体" w:eastAsia="宋体"/>
          <w:b/>
          <w:szCs w:val="21"/>
          <w:highlight w:val="none"/>
        </w:rPr>
        <w:t>投标文件的递交</w:t>
      </w:r>
      <w:bookmarkEnd w:id="13"/>
    </w:p>
    <w:p w14:paraId="77D3E539">
      <w:pPr>
        <w:pStyle w:val="98"/>
        <w:shd w:val="clear"/>
        <w:wordWrap w:val="0"/>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5.1投标文件递交截止时间（即投标截止时间）为：【2024年0</w:t>
      </w:r>
      <w:r>
        <w:rPr>
          <w:rFonts w:hint="eastAsia" w:ascii="宋体" w:hAnsi="宋体" w:cs="宋体"/>
          <w:sz w:val="21"/>
          <w:szCs w:val="21"/>
          <w:highlight w:val="none"/>
          <w:lang w:val="en-US" w:eastAsia="zh-CN"/>
        </w:rPr>
        <w:t>8</w:t>
      </w:r>
      <w:r>
        <w:rPr>
          <w:rFonts w:hint="eastAsia" w:ascii="宋体" w:hAnsi="宋体" w:eastAsia="宋体" w:cs="宋体"/>
          <w:sz w:val="21"/>
          <w:szCs w:val="21"/>
          <w:highlight w:val="none"/>
        </w:rPr>
        <w:t>月</w:t>
      </w:r>
      <w:r>
        <w:rPr>
          <w:rFonts w:hint="eastAsia" w:ascii="宋体" w:hAnsi="宋体" w:cs="宋体"/>
          <w:sz w:val="21"/>
          <w:szCs w:val="21"/>
          <w:highlight w:val="none"/>
          <w:lang w:val="en-US" w:eastAsia="zh-CN"/>
        </w:rPr>
        <w:t>26</w:t>
      </w:r>
      <w:r>
        <w:rPr>
          <w:rFonts w:hint="eastAsia" w:ascii="宋体" w:hAnsi="宋体" w:eastAsia="宋体" w:cs="宋体"/>
          <w:sz w:val="21"/>
          <w:szCs w:val="21"/>
          <w:highlight w:val="none"/>
        </w:rPr>
        <w:t>日09时</w:t>
      </w:r>
      <w:r>
        <w:rPr>
          <w:rFonts w:hint="eastAsia" w:ascii="宋体" w:hAnsi="宋体" w:eastAsia="宋体" w:cs="宋体"/>
          <w:sz w:val="21"/>
          <w:szCs w:val="21"/>
          <w:highlight w:val="none"/>
          <w:lang w:val="en-US" w:eastAsia="zh-CN"/>
        </w:rPr>
        <w:t>0</w:t>
      </w:r>
      <w:r>
        <w:rPr>
          <w:rFonts w:hint="eastAsia" w:ascii="宋体" w:hAnsi="宋体" w:eastAsia="宋体" w:cs="宋体"/>
          <w:sz w:val="21"/>
          <w:szCs w:val="21"/>
          <w:highlight w:val="none"/>
        </w:rPr>
        <w:t>0分】。</w:t>
      </w:r>
    </w:p>
    <w:p w14:paraId="18C6AFD6">
      <w:pPr>
        <w:pStyle w:val="98"/>
        <w:shd w:val="clear"/>
        <w:wordWrap w:val="0"/>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5.2电子投标文件的递交：【登录中国电信阳光采购网（</w:t>
      </w:r>
      <w:r>
        <w:rPr>
          <w:rFonts w:hint="eastAsia" w:ascii="宋体" w:hAnsi="宋体" w:cs="宋体"/>
          <w:sz w:val="21"/>
          <w:szCs w:val="21"/>
          <w:highlight w:val="none"/>
          <w:lang w:eastAsia="zh-CN"/>
        </w:rPr>
        <w:t>https://caigou.chinatelecom.com.cn</w:t>
      </w:r>
      <w:r>
        <w:rPr>
          <w:rFonts w:hint="eastAsia" w:ascii="宋体" w:hAnsi="宋体" w:eastAsia="宋体" w:cs="宋体"/>
          <w:sz w:val="21"/>
          <w:szCs w:val="21"/>
          <w:highlight w:val="none"/>
        </w:rPr>
        <w:t xml:space="preserve">）后，通过“招投标-我的项目”模块或通过“电子采购入口”跳转中国电信电子采购系统，选择本项目进行投标文件递交 ，投标人应在投标文件递交截止时间之前通过电子采购系统完成加密电子投标文件的上传。投标人未在电子采购系统进行招标文件申领登记或电子投标文件未按照要求加密的，将无法通过电子采购系统提交电子投标文件。】 </w:t>
      </w:r>
    </w:p>
    <w:p w14:paraId="14BDB507">
      <w:pPr>
        <w:pStyle w:val="98"/>
        <w:shd w:val="clear"/>
        <w:wordWrap w:val="0"/>
        <w:spacing w:line="360" w:lineRule="auto"/>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5.3本项目将于投标文件递交截止同一时间通过中国电信电子采购系统开标，【招标人/招标代理机构】邀请投标人的法定代表人/负责人或者其委托代理人准时参加。</w:t>
      </w:r>
    </w:p>
    <w:p w14:paraId="478D30C0">
      <w:pPr>
        <w:pStyle w:val="56"/>
        <w:numPr>
          <w:ilvl w:val="0"/>
          <w:numId w:val="0"/>
        </w:numPr>
        <w:shd w:val="clear"/>
        <w:adjustRightInd w:val="0"/>
        <w:snapToGrid w:val="0"/>
        <w:spacing w:line="360" w:lineRule="auto"/>
        <w:ind w:leftChars="201"/>
        <w:rPr>
          <w:rFonts w:hint="eastAsia" w:ascii="宋体" w:hAnsi="宋体" w:eastAsia="宋体"/>
          <w:b/>
          <w:szCs w:val="21"/>
          <w:highlight w:val="none"/>
        </w:rPr>
      </w:pPr>
      <w:r>
        <w:rPr>
          <w:rFonts w:hint="eastAsia" w:ascii="宋体" w:hAnsi="宋体" w:eastAsia="宋体"/>
          <w:b/>
          <w:szCs w:val="21"/>
          <w:highlight w:val="none"/>
          <w:lang w:val="en-US" w:eastAsia="zh-CN"/>
        </w:rPr>
        <w:t>6.</w:t>
      </w:r>
      <w:r>
        <w:rPr>
          <w:rFonts w:hint="eastAsia" w:ascii="宋体" w:hAnsi="宋体" w:eastAsia="宋体"/>
          <w:b/>
          <w:szCs w:val="21"/>
          <w:highlight w:val="none"/>
        </w:rPr>
        <w:t>样品的递交</w:t>
      </w:r>
    </w:p>
    <w:p w14:paraId="32996F76">
      <w:pPr>
        <w:pStyle w:val="56"/>
        <w:numPr>
          <w:ilvl w:val="0"/>
          <w:numId w:val="0"/>
        </w:numPr>
        <w:shd w:val="clear"/>
        <w:adjustRightInd w:val="0"/>
        <w:snapToGrid w:val="0"/>
        <w:spacing w:line="360" w:lineRule="auto"/>
        <w:ind w:left="425" w:leftChars="0"/>
        <w:rPr>
          <w:rFonts w:ascii="宋体" w:hAnsi="宋体"/>
          <w:szCs w:val="21"/>
          <w:highlight w:val="none"/>
        </w:rPr>
      </w:pPr>
      <w:r>
        <w:rPr>
          <w:rFonts w:hint="eastAsia" w:ascii="宋体" w:hAnsi="宋体"/>
          <w:szCs w:val="21"/>
          <w:highlight w:val="none"/>
          <w:lang w:val="en-US" w:eastAsia="zh-CN"/>
        </w:rPr>
        <w:t>6.1</w:t>
      </w:r>
      <w:r>
        <w:rPr>
          <w:rFonts w:hint="eastAsia" w:ascii="宋体" w:hAnsi="宋体"/>
          <w:szCs w:val="21"/>
          <w:highlight w:val="none"/>
        </w:rPr>
        <w:t>样品递交的时间、地点：</w:t>
      </w:r>
      <w:r>
        <w:rPr>
          <w:rFonts w:hint="eastAsia" w:ascii="宋体" w:hAnsi="宋体"/>
          <w:szCs w:val="21"/>
          <w:highlight w:val="none"/>
          <w:u w:val="single"/>
          <w:lang w:val="en-US" w:eastAsia="zh-CN"/>
        </w:rPr>
        <w:t>本项目不适用</w:t>
      </w:r>
    </w:p>
    <w:p w14:paraId="000D77DB">
      <w:pPr>
        <w:pStyle w:val="56"/>
        <w:numPr>
          <w:ilvl w:val="0"/>
          <w:numId w:val="0"/>
        </w:numPr>
        <w:shd w:val="clear"/>
        <w:adjustRightInd w:val="0"/>
        <w:snapToGrid w:val="0"/>
        <w:spacing w:line="360" w:lineRule="auto"/>
        <w:ind w:leftChars="201"/>
        <w:rPr>
          <w:rFonts w:hint="eastAsia" w:ascii="宋体" w:hAnsi="宋体" w:eastAsia="宋体"/>
          <w:b/>
          <w:szCs w:val="21"/>
          <w:highlight w:val="none"/>
        </w:rPr>
      </w:pPr>
      <w:r>
        <w:rPr>
          <w:rFonts w:hint="eastAsia" w:ascii="宋体" w:hAnsi="宋体" w:eastAsia="宋体"/>
          <w:b/>
          <w:szCs w:val="21"/>
          <w:highlight w:val="none"/>
          <w:lang w:val="en-US" w:eastAsia="zh-CN"/>
        </w:rPr>
        <w:t>7.</w:t>
      </w:r>
      <w:r>
        <w:rPr>
          <w:rFonts w:hint="eastAsia" w:ascii="宋体" w:hAnsi="宋体" w:eastAsia="宋体"/>
          <w:b/>
          <w:szCs w:val="21"/>
          <w:highlight w:val="none"/>
        </w:rPr>
        <w:t>投标人注册</w:t>
      </w:r>
    </w:p>
    <w:p w14:paraId="0122272C">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7.1</w:t>
      </w:r>
      <w:r>
        <w:rPr>
          <w:rFonts w:hint="eastAsia" w:ascii="宋体" w:hAnsi="宋体" w:eastAsia="宋体" w:cs="宋体"/>
          <w:kern w:val="24"/>
          <w:sz w:val="21"/>
          <w:szCs w:val="21"/>
          <w:highlight w:val="none"/>
        </w:rPr>
        <w:tab/>
      </w:r>
      <w:r>
        <w:rPr>
          <w:rFonts w:hint="eastAsia" w:ascii="宋体" w:hAnsi="宋体" w:eastAsia="宋体" w:cs="宋体"/>
          <w:kern w:val="24"/>
          <w:sz w:val="21"/>
          <w:szCs w:val="21"/>
          <w:highlight w:val="none"/>
        </w:rPr>
        <w:t>【中国电信阳光采购网】注册</w:t>
      </w:r>
    </w:p>
    <w:p w14:paraId="18315DF1">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未注册过的潜在投标人，须通过【中国电信阳光采购网（</w:t>
      </w:r>
      <w:r>
        <w:rPr>
          <w:rFonts w:hint="eastAsia" w:ascii="宋体" w:hAnsi="宋体" w:cs="宋体"/>
          <w:kern w:val="24"/>
          <w:sz w:val="21"/>
          <w:szCs w:val="21"/>
          <w:highlight w:val="none"/>
          <w:lang w:eastAsia="zh-CN"/>
        </w:rPr>
        <w:t>https://caigou.chinatelecom.com.cn</w:t>
      </w:r>
      <w:r>
        <w:rPr>
          <w:rFonts w:hint="eastAsia" w:ascii="宋体" w:hAnsi="宋体" w:eastAsia="宋体" w:cs="宋体"/>
          <w:kern w:val="24"/>
          <w:sz w:val="21"/>
          <w:szCs w:val="21"/>
          <w:highlight w:val="none"/>
        </w:rPr>
        <w:t>）】首页“立即注册”模块完成注册后，方可申领本项目招标文件。</w:t>
      </w:r>
    </w:p>
    <w:p w14:paraId="71005A73">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7.2 CA证书办理</w:t>
      </w:r>
    </w:p>
    <w:p w14:paraId="39DB3CFF">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参与电子采购的潜在投标人须提前办理CA证书进行电子投标文件编制和投标，并确保CA证书在使用时有效。【CA证书办理流程详见中国电信阳光采购网首页“操作指引-CA办理”。】</w:t>
      </w:r>
    </w:p>
    <w:p w14:paraId="1B2F9CBD">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7.3技术支撑联系方式</w:t>
      </w:r>
    </w:p>
    <w:p w14:paraId="39F85485">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服务热线：010-56107929 /010-56107880</w:t>
      </w:r>
    </w:p>
    <w:p w14:paraId="773C8691">
      <w:pPr>
        <w:shd w:val="clear"/>
        <w:tabs>
          <w:tab w:val="left" w:pos="993"/>
        </w:tabs>
        <w:wordWrap w:val="0"/>
        <w:adjustRightInd w:val="0"/>
        <w:snapToGrid w:val="0"/>
        <w:spacing w:line="360" w:lineRule="auto"/>
        <w:ind w:firstLine="42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服务邮箱：zb_support@chinatelecom.cn（电子采购系统技术支撑）</w:t>
      </w:r>
    </w:p>
    <w:p w14:paraId="092B741A">
      <w:pPr>
        <w:shd w:val="clear"/>
        <w:tabs>
          <w:tab w:val="left" w:pos="993"/>
        </w:tabs>
        <w:wordWrap w:val="0"/>
        <w:adjustRightInd w:val="0"/>
        <w:snapToGrid w:val="0"/>
        <w:spacing w:line="360" w:lineRule="auto"/>
        <w:ind w:firstLine="1470" w:firstLineChars="700"/>
        <w:rPr>
          <w:rFonts w:hint="eastAsia" w:ascii="宋体" w:hAnsi="宋体" w:eastAsia="宋体" w:cs="宋体"/>
          <w:kern w:val="24"/>
          <w:sz w:val="21"/>
          <w:szCs w:val="21"/>
          <w:highlight w:val="none"/>
        </w:rPr>
      </w:pPr>
      <w:r>
        <w:rPr>
          <w:rFonts w:hint="eastAsia" w:ascii="宋体" w:hAnsi="宋体" w:eastAsia="宋体" w:cs="宋体"/>
          <w:kern w:val="24"/>
          <w:sz w:val="21"/>
          <w:szCs w:val="21"/>
          <w:highlight w:val="none"/>
        </w:rPr>
        <w:t>ctsc@chinatelecom.cn（CA证书办理技术支撑）</w:t>
      </w:r>
    </w:p>
    <w:p w14:paraId="50240221">
      <w:pPr>
        <w:pStyle w:val="56"/>
        <w:numPr>
          <w:ilvl w:val="0"/>
          <w:numId w:val="0"/>
        </w:numPr>
        <w:shd w:val="clear"/>
        <w:adjustRightInd w:val="0"/>
        <w:snapToGrid w:val="0"/>
        <w:spacing w:line="360" w:lineRule="auto"/>
        <w:ind w:leftChars="201"/>
        <w:rPr>
          <w:rFonts w:hint="eastAsia" w:ascii="宋体" w:hAnsi="宋体" w:eastAsia="宋体"/>
          <w:b/>
          <w:szCs w:val="21"/>
          <w:highlight w:val="none"/>
        </w:rPr>
      </w:pPr>
      <w:r>
        <w:rPr>
          <w:rFonts w:hint="eastAsia" w:ascii="宋体" w:hAnsi="宋体" w:eastAsia="宋体"/>
          <w:b/>
          <w:szCs w:val="21"/>
          <w:highlight w:val="none"/>
          <w:lang w:val="en-US" w:eastAsia="zh-CN"/>
        </w:rPr>
        <w:t>8.</w:t>
      </w:r>
      <w:r>
        <w:rPr>
          <w:rFonts w:hint="eastAsia" w:ascii="宋体" w:hAnsi="宋体" w:eastAsia="宋体"/>
          <w:b/>
          <w:szCs w:val="21"/>
          <w:highlight w:val="none"/>
        </w:rPr>
        <w:t>发布公告的媒介</w:t>
      </w:r>
    </w:p>
    <w:p w14:paraId="6F433286">
      <w:pPr>
        <w:pStyle w:val="56"/>
        <w:keepNext w:val="0"/>
        <w:keepLines w:val="0"/>
        <w:pageBreakBefore w:val="0"/>
        <w:widowControl w:val="0"/>
        <w:shd w:val="clear"/>
        <w:kinsoku/>
        <w:wordWrap w:val="0"/>
        <w:overflowPunct/>
        <w:topLinePunct w:val="0"/>
        <w:autoSpaceDE/>
        <w:autoSpaceDN/>
        <w:bidi w:val="0"/>
        <w:adjustRightInd w:val="0"/>
        <w:snapToGrid w:val="0"/>
        <w:spacing w:line="360" w:lineRule="auto"/>
        <w:textAlignment w:val="auto"/>
        <w:rPr>
          <w:rFonts w:ascii="宋体" w:hAnsi="宋体"/>
          <w:szCs w:val="21"/>
          <w:highlight w:val="none"/>
        </w:rPr>
      </w:pPr>
      <w:r>
        <w:rPr>
          <w:rFonts w:hint="eastAsia" w:ascii="宋体" w:hAnsi="宋体"/>
          <w:szCs w:val="21"/>
          <w:highlight w:val="none"/>
        </w:rPr>
        <w:t>本招标公告同时</w:t>
      </w:r>
      <w:r>
        <w:rPr>
          <w:rFonts w:hint="eastAsia" w:ascii="宋体" w:hAnsi="宋体"/>
          <w:highlight w:val="none"/>
        </w:rPr>
        <w:t>且仅在中国招标投标公共服务平台（http://www.cebpubservice.com）、中国采购与招标网（http://www.chinabidding.com.cn）、中国电信阳光采购网（</w:t>
      </w:r>
      <w:r>
        <w:rPr>
          <w:rFonts w:hint="eastAsia" w:ascii="宋体" w:hAnsi="宋体"/>
          <w:highlight w:val="none"/>
          <w:lang w:eastAsia="zh-CN"/>
        </w:rPr>
        <w:t>https://caigou.chinatelecom.com.cn</w:t>
      </w:r>
      <w:r>
        <w:rPr>
          <w:rFonts w:hint="eastAsia"/>
          <w:highlight w:val="none"/>
        </w:rPr>
        <w:t>）</w:t>
      </w:r>
      <w:r>
        <w:rPr>
          <w:rFonts w:hint="eastAsia" w:ascii="宋体" w:hAnsi="宋体"/>
          <w:szCs w:val="21"/>
          <w:highlight w:val="none"/>
        </w:rPr>
        <w:t>上发布，其他媒介转载无效。</w:t>
      </w:r>
    </w:p>
    <w:p w14:paraId="13CB23B2">
      <w:pPr>
        <w:pStyle w:val="56"/>
        <w:numPr>
          <w:ilvl w:val="0"/>
          <w:numId w:val="0"/>
        </w:numPr>
        <w:adjustRightInd w:val="0"/>
        <w:snapToGrid w:val="0"/>
        <w:spacing w:line="360" w:lineRule="auto"/>
        <w:ind w:leftChars="202"/>
        <w:rPr>
          <w:rFonts w:hint="eastAsia" w:ascii="宋体" w:hAnsi="宋体"/>
          <w:b/>
          <w:szCs w:val="21"/>
          <w:highlight w:val="none"/>
        </w:rPr>
      </w:pPr>
      <w:r>
        <w:rPr>
          <w:rFonts w:hint="eastAsia" w:ascii="宋体" w:hAnsi="宋体"/>
          <w:b/>
          <w:szCs w:val="21"/>
          <w:highlight w:val="none"/>
          <w:lang w:val="en-US" w:eastAsia="zh-CN"/>
        </w:rPr>
        <w:t>9.联系及</w:t>
      </w:r>
      <w:r>
        <w:rPr>
          <w:rFonts w:hint="eastAsia" w:ascii="宋体" w:hAnsi="宋体"/>
          <w:b/>
          <w:szCs w:val="21"/>
          <w:highlight w:val="none"/>
        </w:rPr>
        <w:t>异议接收方式</w:t>
      </w:r>
    </w:p>
    <w:p w14:paraId="381B13A0">
      <w:pPr>
        <w:pStyle w:val="56"/>
        <w:spacing w:line="360" w:lineRule="auto"/>
        <w:ind w:left="425" w:firstLine="0" w:firstLineChars="0"/>
        <w:rPr>
          <w:rFonts w:hint="eastAsia" w:asciiTheme="minorEastAsia" w:hAnsiTheme="minorEastAsia" w:eastAsiaTheme="minorEastAsia"/>
          <w:highlight w:val="none"/>
          <w:lang w:eastAsia="zh-CN"/>
        </w:rPr>
      </w:pPr>
      <w:r>
        <w:rPr>
          <w:rFonts w:asciiTheme="minorEastAsia" w:hAnsiTheme="minorEastAsia" w:eastAsiaTheme="minorEastAsia"/>
          <w:highlight w:val="none"/>
        </w:rPr>
        <w:t>9.1</w:t>
      </w:r>
      <w:r>
        <w:rPr>
          <w:rFonts w:hint="eastAsia" w:asciiTheme="minorEastAsia" w:hAnsiTheme="minorEastAsia" w:eastAsiaTheme="minorEastAsia"/>
          <w:highlight w:val="none"/>
        </w:rPr>
        <w:t>联系方式</w:t>
      </w:r>
      <w:r>
        <w:rPr>
          <w:rFonts w:hint="eastAsia" w:asciiTheme="minorEastAsia" w:hAnsiTheme="minorEastAsia" w:eastAsiaTheme="minorEastAsia"/>
          <w:highlight w:val="none"/>
          <w:lang w:eastAsia="zh-CN"/>
        </w:rPr>
        <w:t>：</w:t>
      </w:r>
    </w:p>
    <w:p w14:paraId="00D28246">
      <w:pPr>
        <w:pStyle w:val="56"/>
        <w:spacing w:line="360" w:lineRule="auto"/>
        <w:ind w:left="425" w:firstLine="0" w:firstLineChars="0"/>
        <w:rPr>
          <w:rFonts w:hint="eastAsia" w:ascii="宋体" w:hAnsi="宋体" w:eastAsia="宋体" w:cs="宋体"/>
          <w:sz w:val="21"/>
          <w:szCs w:val="21"/>
          <w:highlight w:val="none"/>
          <w:lang w:eastAsia="zh-CN"/>
        </w:rPr>
      </w:pPr>
      <w:r>
        <w:rPr>
          <w:rFonts w:hint="eastAsia" w:ascii="宋体" w:hAnsi="宋体" w:cs="宋体"/>
          <w:sz w:val="21"/>
          <w:szCs w:val="21"/>
          <w:highlight w:val="none"/>
        </w:rPr>
        <w:t>招标人：</w:t>
      </w:r>
      <w:r>
        <w:rPr>
          <w:rFonts w:hint="eastAsia" w:ascii="宋体" w:hAnsi="宋体" w:cs="宋体"/>
          <w:sz w:val="21"/>
          <w:szCs w:val="21"/>
          <w:highlight w:val="none"/>
          <w:lang w:eastAsia="zh-CN"/>
        </w:rPr>
        <w:t>中国电信股份有限公司湖北分公司</w:t>
      </w:r>
    </w:p>
    <w:p w14:paraId="42908401">
      <w:pPr>
        <w:spacing w:line="360" w:lineRule="auto"/>
        <w:ind w:firstLine="420"/>
        <w:rPr>
          <w:rFonts w:hint="eastAsia" w:ascii="宋体" w:hAnsi="宋体" w:eastAsia="宋体" w:cs="宋体"/>
          <w:sz w:val="21"/>
          <w:szCs w:val="21"/>
          <w:highlight w:val="none"/>
          <w:lang w:eastAsia="zh-CN"/>
        </w:rPr>
      </w:pPr>
      <w:r>
        <w:rPr>
          <w:rFonts w:hint="eastAsia" w:ascii="宋体" w:hAnsi="宋体" w:cs="宋体"/>
          <w:sz w:val="21"/>
          <w:szCs w:val="21"/>
          <w:highlight w:val="none"/>
        </w:rPr>
        <w:t>地  址：</w:t>
      </w:r>
      <w:r>
        <w:rPr>
          <w:rFonts w:hint="eastAsia" w:ascii="宋体" w:hAnsi="宋体" w:cs="宋体"/>
          <w:sz w:val="21"/>
          <w:szCs w:val="21"/>
          <w:highlight w:val="none"/>
          <w:lang w:eastAsia="zh-CN"/>
        </w:rPr>
        <w:t>湖北省武汉市常青路158号</w:t>
      </w:r>
    </w:p>
    <w:p w14:paraId="66080EE0">
      <w:pPr>
        <w:pStyle w:val="56"/>
        <w:shd w:val="clear"/>
        <w:spacing w:line="360" w:lineRule="auto"/>
        <w:ind w:left="425" w:firstLine="0" w:firstLineChars="0"/>
        <w:rPr>
          <w:rFonts w:hint="eastAsia" w:ascii="宋体" w:hAnsi="宋体" w:cs="宋体"/>
          <w:sz w:val="21"/>
          <w:szCs w:val="21"/>
          <w:highlight w:val="none"/>
        </w:rPr>
      </w:pPr>
      <w:r>
        <w:rPr>
          <w:rFonts w:hint="eastAsia" w:ascii="宋体" w:hAnsi="宋体" w:cs="宋体"/>
          <w:sz w:val="21"/>
          <w:szCs w:val="21"/>
          <w:highlight w:val="none"/>
        </w:rPr>
        <w:t>招标代理机构：湖北信通通信有限公司</w:t>
      </w:r>
    </w:p>
    <w:p w14:paraId="16C23445">
      <w:pPr>
        <w:pStyle w:val="56"/>
        <w:shd w:val="clear"/>
        <w:spacing w:line="360" w:lineRule="auto"/>
        <w:ind w:left="425" w:firstLine="0" w:firstLineChars="0"/>
        <w:rPr>
          <w:rFonts w:hint="eastAsia" w:ascii="宋体" w:hAnsi="宋体" w:cs="宋体"/>
          <w:sz w:val="21"/>
          <w:szCs w:val="21"/>
          <w:highlight w:val="none"/>
        </w:rPr>
      </w:pPr>
      <w:r>
        <w:rPr>
          <w:rFonts w:hint="eastAsia" w:ascii="宋体" w:hAnsi="宋体" w:cs="宋体"/>
          <w:sz w:val="21"/>
          <w:szCs w:val="21"/>
          <w:highlight w:val="none"/>
        </w:rPr>
        <w:t>地址：武汉市江岸区惠济路10号</w:t>
      </w:r>
    </w:p>
    <w:p w14:paraId="65370689">
      <w:pPr>
        <w:pStyle w:val="56"/>
        <w:shd w:val="clear"/>
        <w:spacing w:line="360" w:lineRule="auto"/>
        <w:ind w:left="425" w:firstLine="0" w:firstLineChars="0"/>
        <w:rPr>
          <w:rFonts w:hint="eastAsia" w:ascii="宋体" w:hAnsi="宋体" w:cs="宋体"/>
          <w:sz w:val="21"/>
          <w:szCs w:val="21"/>
          <w:highlight w:val="none"/>
        </w:rPr>
      </w:pPr>
      <w:r>
        <w:rPr>
          <w:rFonts w:hint="eastAsia" w:ascii="宋体" w:hAnsi="宋体" w:cs="宋体"/>
          <w:sz w:val="21"/>
          <w:szCs w:val="21"/>
          <w:highlight w:val="none"/>
        </w:rPr>
        <w:t>项目联系人：梅娟、孙磊、刘昀</w:t>
      </w:r>
    </w:p>
    <w:p w14:paraId="171D9FAD">
      <w:pPr>
        <w:pStyle w:val="56"/>
        <w:shd w:val="clear"/>
        <w:spacing w:line="360" w:lineRule="auto"/>
        <w:ind w:left="425" w:firstLine="0" w:firstLineChars="0"/>
        <w:rPr>
          <w:rFonts w:hint="eastAsia" w:ascii="宋体" w:hAnsi="宋体" w:cs="宋体"/>
          <w:sz w:val="21"/>
          <w:szCs w:val="21"/>
          <w:highlight w:val="none"/>
        </w:rPr>
      </w:pPr>
      <w:r>
        <w:rPr>
          <w:rFonts w:hint="eastAsia" w:ascii="宋体" w:hAnsi="宋体" w:cs="宋体"/>
          <w:sz w:val="21"/>
          <w:szCs w:val="21"/>
          <w:highlight w:val="none"/>
        </w:rPr>
        <w:t>电话：18771012618</w:t>
      </w:r>
    </w:p>
    <w:p w14:paraId="4181EC50">
      <w:pPr>
        <w:pStyle w:val="56"/>
        <w:shd w:val="clear"/>
        <w:spacing w:line="360" w:lineRule="auto"/>
        <w:ind w:left="425" w:firstLine="0" w:firstLineChars="0"/>
        <w:rPr>
          <w:rFonts w:hint="eastAsia" w:ascii="宋体" w:hAnsi="宋体" w:cs="宋体"/>
          <w:sz w:val="21"/>
          <w:szCs w:val="21"/>
          <w:highlight w:val="none"/>
        </w:rPr>
      </w:pPr>
      <w:r>
        <w:rPr>
          <w:rFonts w:hint="eastAsia" w:ascii="宋体" w:hAnsi="宋体" w:eastAsia="宋体" w:cs="宋体"/>
          <w:sz w:val="21"/>
          <w:szCs w:val="21"/>
          <w:highlight w:val="none"/>
        </w:rPr>
        <w:t>邮箱：me</w:t>
      </w:r>
      <w:r>
        <w:rPr>
          <w:rFonts w:hint="eastAsia" w:ascii="宋体" w:hAnsi="宋体" w:cs="宋体"/>
          <w:sz w:val="22"/>
          <w:szCs w:val="22"/>
          <w:highlight w:val="none"/>
        </w:rPr>
        <w:t>ijuan@chinaccs.cn</w:t>
      </w:r>
    </w:p>
    <w:p w14:paraId="5A1D1273">
      <w:pPr>
        <w:pStyle w:val="56"/>
        <w:shd w:val="clear"/>
        <w:spacing w:line="360" w:lineRule="auto"/>
        <w:ind w:left="425" w:firstLine="0" w:firstLineChars="0"/>
        <w:rPr>
          <w:rFonts w:hint="eastAsia" w:asciiTheme="minorEastAsia" w:hAnsiTheme="minorEastAsia" w:eastAsiaTheme="minorEastAsia"/>
          <w:highlight w:val="none"/>
        </w:rPr>
      </w:pPr>
      <w:r>
        <w:rPr>
          <w:rFonts w:hint="eastAsia" w:ascii="宋体" w:hAnsi="宋体" w:cs="宋体"/>
          <w:sz w:val="21"/>
          <w:szCs w:val="21"/>
          <w:highlight w:val="none"/>
          <w:lang w:val="en-US" w:eastAsia="zh-CN"/>
        </w:rPr>
        <w:t>9.2</w:t>
      </w:r>
      <w:r>
        <w:rPr>
          <w:rFonts w:hint="eastAsia" w:asciiTheme="minorEastAsia" w:hAnsiTheme="minorEastAsia" w:eastAsiaTheme="minorEastAsia"/>
          <w:highlight w:val="none"/>
        </w:rPr>
        <w:t>异议接收方式</w:t>
      </w:r>
    </w:p>
    <w:p w14:paraId="402B0AEA">
      <w:pPr>
        <w:keepNext w:val="0"/>
        <w:keepLines w:val="0"/>
        <w:pageBreakBefore w:val="0"/>
        <w:widowControl w:val="0"/>
        <w:shd w:val="clear"/>
        <w:kinsoku/>
        <w:wordWrap w:val="0"/>
        <w:overflowPunct/>
        <w:topLinePunct w:val="0"/>
        <w:autoSpaceDE/>
        <w:autoSpaceDN/>
        <w:bidi w:val="0"/>
        <w:adjustRightInd/>
        <w:snapToGrid/>
        <w:spacing w:line="360" w:lineRule="auto"/>
        <w:ind w:firstLine="420" w:firstLineChars="200"/>
        <w:jc w:val="left"/>
        <w:textAlignment w:val="auto"/>
        <w:rPr>
          <w:rFonts w:hint="eastAsia" w:ascii="宋体" w:hAnsi="宋体" w:cs="宋体"/>
          <w:bCs/>
          <w:sz w:val="21"/>
          <w:szCs w:val="21"/>
          <w:highlight w:val="none"/>
        </w:rPr>
      </w:pPr>
      <w:r>
        <w:rPr>
          <w:rFonts w:hint="eastAsia" w:asciiTheme="minorEastAsia" w:hAnsiTheme="minorEastAsia" w:eastAsiaTheme="minorEastAsia"/>
          <w:highlight w:val="none"/>
        </w:rPr>
        <w:t>登录中国电信阳光采购网（</w:t>
      </w:r>
      <w:r>
        <w:rPr>
          <w:rFonts w:hint="eastAsia" w:asciiTheme="minorEastAsia" w:hAnsiTheme="minorEastAsia" w:eastAsiaTheme="minorEastAsia"/>
          <w:highlight w:val="none"/>
          <w:lang w:eastAsia="zh-CN"/>
        </w:rPr>
        <w:t>https://caigou.chinatelecom.com.cn</w:t>
      </w:r>
      <w:r>
        <w:rPr>
          <w:rFonts w:hint="eastAsia" w:asciiTheme="minorEastAsia" w:hAnsiTheme="minorEastAsia" w:eastAsiaTheme="minorEastAsia"/>
          <w:highlight w:val="none"/>
        </w:rPr>
        <w:t>）后，通过“招投标-采购异议 -提出异议”模块提出。</w:t>
      </w:r>
    </w:p>
    <w:p w14:paraId="7786A284">
      <w:pPr>
        <w:spacing w:line="312" w:lineRule="auto"/>
        <w:jc w:val="right"/>
        <w:rPr>
          <w:rFonts w:hint="eastAsia" w:ascii="宋体" w:hAnsi="宋体" w:cs="宋体"/>
          <w:bCs/>
          <w:sz w:val="21"/>
          <w:szCs w:val="21"/>
          <w:highlight w:val="none"/>
        </w:rPr>
      </w:pPr>
    </w:p>
    <w:p w14:paraId="2F95DAC7">
      <w:pPr>
        <w:pStyle w:val="56"/>
        <w:spacing w:line="360" w:lineRule="auto"/>
        <w:ind w:left="425" w:right="279" w:firstLine="0" w:firstLineChars="0"/>
        <w:jc w:val="right"/>
        <w:rPr>
          <w:rFonts w:ascii="宋体" w:hAnsi="宋体"/>
          <w:szCs w:val="21"/>
          <w:highlight w:val="none"/>
        </w:rPr>
      </w:pPr>
      <w:r>
        <w:rPr>
          <w:rFonts w:hint="eastAsia" w:ascii="宋体" w:hAnsi="宋体"/>
          <w:szCs w:val="21"/>
          <w:highlight w:val="none"/>
        </w:rPr>
        <w:t>招标代理机构：</w:t>
      </w:r>
      <w:r>
        <w:rPr>
          <w:rFonts w:hint="eastAsia" w:ascii="宋体" w:hAnsi="宋体"/>
          <w:szCs w:val="21"/>
          <w:highlight w:val="none"/>
          <w:u w:val="single"/>
        </w:rPr>
        <w:t>湖北信通通信有限公司</w:t>
      </w:r>
      <w:r>
        <w:rPr>
          <w:rFonts w:hint="eastAsia" w:ascii="宋体" w:hAnsi="宋体"/>
          <w:szCs w:val="21"/>
          <w:highlight w:val="none"/>
        </w:rPr>
        <w:t>（盖单位公章）</w:t>
      </w:r>
    </w:p>
    <w:p w14:paraId="5DF6ACDD">
      <w:pPr>
        <w:pStyle w:val="56"/>
        <w:spacing w:line="400" w:lineRule="exact"/>
        <w:ind w:firstLine="3920" w:firstLineChars="1867"/>
        <w:rPr>
          <w:rFonts w:ascii="宋体" w:hAnsi="宋体"/>
          <w:szCs w:val="21"/>
          <w:highlight w:val="none"/>
        </w:rPr>
      </w:pPr>
      <w:r>
        <w:rPr>
          <w:rFonts w:hint="eastAsia" w:ascii="宋体" w:hAnsi="宋体"/>
          <w:szCs w:val="21"/>
          <w:highlight w:val="none"/>
        </w:rPr>
        <w:t>【</w:t>
      </w:r>
      <w:r>
        <w:rPr>
          <w:rFonts w:hint="eastAsia" w:ascii="宋体" w:hAnsi="宋体"/>
          <w:szCs w:val="21"/>
          <w:highlight w:val="none"/>
          <w:lang w:val="en-US" w:eastAsia="zh-CN"/>
        </w:rPr>
        <w:t>2024</w:t>
      </w:r>
      <w:r>
        <w:rPr>
          <w:rFonts w:hint="eastAsia" w:ascii="宋体" w:hAnsi="宋体"/>
          <w:szCs w:val="21"/>
          <w:highlight w:val="none"/>
        </w:rPr>
        <w:t>年</w:t>
      </w:r>
      <w:r>
        <w:rPr>
          <w:rFonts w:hint="eastAsia" w:ascii="宋体" w:hAnsi="宋体"/>
          <w:szCs w:val="21"/>
          <w:highlight w:val="none"/>
          <w:lang w:val="en-US" w:eastAsia="zh-CN"/>
        </w:rPr>
        <w:t>08</w:t>
      </w:r>
      <w:r>
        <w:rPr>
          <w:rFonts w:hint="eastAsia" w:ascii="宋体" w:hAnsi="宋体"/>
          <w:szCs w:val="21"/>
          <w:highlight w:val="none"/>
        </w:rPr>
        <w:t>月</w:t>
      </w:r>
      <w:r>
        <w:rPr>
          <w:rFonts w:hint="eastAsia" w:ascii="宋体" w:hAnsi="宋体"/>
          <w:szCs w:val="21"/>
          <w:highlight w:val="none"/>
          <w:lang w:val="en-US" w:eastAsia="zh-CN"/>
        </w:rPr>
        <w:t>05</w:t>
      </w:r>
      <w:r>
        <w:rPr>
          <w:rFonts w:hint="eastAsia" w:ascii="宋体" w:hAnsi="宋体"/>
          <w:szCs w:val="21"/>
          <w:highlight w:val="none"/>
        </w:rPr>
        <w:t>日】</w:t>
      </w:r>
    </w:p>
    <w:p w14:paraId="0EE6252B">
      <w:pPr>
        <w:widowControl/>
        <w:jc w:val="left"/>
        <w:rPr>
          <w:rFonts w:asciiTheme="minorEastAsia" w:hAnsiTheme="minorEastAsia" w:eastAsiaTheme="minorEastAsia"/>
          <w:szCs w:val="21"/>
          <w:highlight w:val="green"/>
        </w:rPr>
        <w:sectPr>
          <w:headerReference r:id="rId13" w:type="first"/>
          <w:headerReference r:id="rId11" w:type="default"/>
          <w:footerReference r:id="rId14" w:type="default"/>
          <w:headerReference r:id="rId12" w:type="even"/>
          <w:pgSz w:w="11906" w:h="16838"/>
          <w:pgMar w:top="1440" w:right="1800" w:bottom="1440" w:left="1800" w:header="851" w:footer="992" w:gutter="0"/>
          <w:pgNumType w:fmt="decimal" w:start="1"/>
          <w:cols w:space="425" w:num="1"/>
          <w:docGrid w:type="lines" w:linePitch="312" w:charSpace="0"/>
        </w:sectPr>
      </w:pPr>
    </w:p>
    <w:p w14:paraId="3D0B4DAF">
      <w:pPr>
        <w:pStyle w:val="55"/>
        <w:spacing w:before="240" w:after="120"/>
        <w:rPr>
          <w:rFonts w:ascii="宋体" w:hAnsi="宋体" w:eastAsia="宋体" w:cs="宋体"/>
          <w:b/>
          <w:sz w:val="28"/>
          <w:szCs w:val="28"/>
          <w:highlight w:val="none"/>
        </w:rPr>
      </w:pPr>
      <w:bookmarkStart w:id="14" w:name="_Toc25571"/>
      <w:bookmarkStart w:id="15" w:name="_Toc447265500"/>
      <w:bookmarkStart w:id="16" w:name="_Toc38007949"/>
      <w:bookmarkStart w:id="17" w:name="_Toc447188665"/>
      <w:bookmarkStart w:id="18" w:name="_Toc447265214"/>
      <w:r>
        <w:rPr>
          <w:rFonts w:hint="eastAsia" w:ascii="宋体" w:hAnsi="宋体" w:eastAsia="宋体" w:cs="宋体"/>
          <w:b/>
          <w:bCs w:val="0"/>
          <w:kern w:val="0"/>
          <w:sz w:val="28"/>
          <w:szCs w:val="28"/>
          <w:highlight w:val="none"/>
        </w:rPr>
        <w:t>第二章投标人须知</w:t>
      </w:r>
      <w:bookmarkEnd w:id="14"/>
      <w:bookmarkEnd w:id="15"/>
      <w:bookmarkEnd w:id="16"/>
      <w:bookmarkEnd w:id="17"/>
      <w:bookmarkEnd w:id="18"/>
    </w:p>
    <w:p w14:paraId="38873358">
      <w:pPr>
        <w:pStyle w:val="3"/>
        <w:snapToGrid w:val="0"/>
        <w:spacing w:before="240" w:after="120" w:line="240" w:lineRule="auto"/>
        <w:rPr>
          <w:rFonts w:ascii="宋体" w:hAnsi="宋体" w:eastAsia="宋体" w:cs="宋体"/>
          <w:sz w:val="24"/>
          <w:szCs w:val="24"/>
          <w:highlight w:val="none"/>
        </w:rPr>
      </w:pPr>
      <w:bookmarkStart w:id="19" w:name="_Toc14320"/>
      <w:bookmarkStart w:id="20" w:name="_Toc226969277"/>
      <w:bookmarkStart w:id="21" w:name="_Toc447265501"/>
      <w:bookmarkStart w:id="22" w:name="_Toc227057884"/>
      <w:bookmarkStart w:id="23" w:name="_Toc38007950"/>
      <w:bookmarkStart w:id="24" w:name="_Toc447188666"/>
      <w:bookmarkStart w:id="25" w:name="_Toc447265215"/>
      <w:r>
        <w:rPr>
          <w:rFonts w:hint="eastAsia" w:ascii="宋体" w:hAnsi="宋体" w:eastAsia="宋体" w:cs="宋体"/>
          <w:b w:val="0"/>
          <w:bCs w:val="0"/>
          <w:sz w:val="24"/>
          <w:szCs w:val="24"/>
          <w:highlight w:val="none"/>
        </w:rPr>
        <w:t>投标人须知前附表</w:t>
      </w:r>
      <w:bookmarkEnd w:id="19"/>
      <w:bookmarkEnd w:id="20"/>
      <w:bookmarkEnd w:id="21"/>
      <w:bookmarkEnd w:id="22"/>
      <w:bookmarkEnd w:id="23"/>
      <w:bookmarkEnd w:id="24"/>
      <w:bookmarkEnd w:id="25"/>
    </w:p>
    <w:p w14:paraId="618E180F">
      <w:pPr>
        <w:autoSpaceDE w:val="0"/>
        <w:autoSpaceDN w:val="0"/>
        <w:ind w:firstLine="420" w:firstLineChars="200"/>
        <w:rPr>
          <w:rFonts w:ascii="宋体" w:hAnsi="宋体" w:cs="宋体"/>
          <w:highlight w:val="none"/>
        </w:rPr>
      </w:pPr>
      <w:r>
        <w:rPr>
          <w:rFonts w:hint="eastAsia" w:ascii="宋体" w:hAnsi="宋体" w:cs="宋体"/>
          <w:szCs w:val="21"/>
          <w:highlight w:val="none"/>
        </w:rPr>
        <w:t>本投标人须知前附表是对投标人须知正文的具体补充和修改，如有矛盾，以本前附表为准。</w:t>
      </w:r>
    </w:p>
    <w:tbl>
      <w:tblPr>
        <w:tblStyle w:val="42"/>
        <w:tblW w:w="8301" w:type="dxa"/>
        <w:tblInd w:w="28"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28" w:type="dxa"/>
          <w:bottom w:w="0" w:type="dxa"/>
          <w:right w:w="28" w:type="dxa"/>
        </w:tblCellMar>
      </w:tblPr>
      <w:tblGrid>
        <w:gridCol w:w="840"/>
        <w:gridCol w:w="1666"/>
        <w:gridCol w:w="5795"/>
      </w:tblGrid>
      <w:tr w14:paraId="3963D06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90" w:hRule="atLeast"/>
          <w:tblHeader/>
        </w:trPr>
        <w:tc>
          <w:tcPr>
            <w:tcW w:w="840" w:type="dxa"/>
            <w:vAlign w:val="center"/>
          </w:tcPr>
          <w:p w14:paraId="18F902B8">
            <w:pPr>
              <w:autoSpaceDE w:val="0"/>
              <w:autoSpaceDN w:val="0"/>
              <w:jc w:val="center"/>
              <w:rPr>
                <w:rFonts w:ascii="宋体" w:hAnsi="宋体" w:cs="宋体"/>
                <w:b/>
                <w:szCs w:val="21"/>
                <w:highlight w:val="none"/>
              </w:rPr>
            </w:pPr>
            <w:r>
              <w:rPr>
                <w:rFonts w:hint="eastAsia" w:ascii="宋体" w:hAnsi="宋体" w:cs="宋体"/>
                <w:b/>
                <w:szCs w:val="21"/>
                <w:highlight w:val="none"/>
              </w:rPr>
              <w:t>条款号</w:t>
            </w:r>
          </w:p>
        </w:tc>
        <w:tc>
          <w:tcPr>
            <w:tcW w:w="1666" w:type="dxa"/>
            <w:vAlign w:val="center"/>
          </w:tcPr>
          <w:p w14:paraId="12950656">
            <w:pPr>
              <w:autoSpaceDE w:val="0"/>
              <w:autoSpaceDN w:val="0"/>
              <w:jc w:val="center"/>
              <w:rPr>
                <w:rFonts w:ascii="宋体" w:hAnsi="宋体" w:cs="宋体"/>
                <w:b/>
                <w:szCs w:val="21"/>
                <w:highlight w:val="none"/>
              </w:rPr>
            </w:pPr>
            <w:r>
              <w:rPr>
                <w:rFonts w:hint="eastAsia" w:ascii="宋体" w:hAnsi="宋体" w:cs="宋体"/>
                <w:b/>
                <w:szCs w:val="21"/>
                <w:highlight w:val="none"/>
              </w:rPr>
              <w:t>条款名称</w:t>
            </w:r>
          </w:p>
        </w:tc>
        <w:tc>
          <w:tcPr>
            <w:tcW w:w="5795" w:type="dxa"/>
            <w:vAlign w:val="center"/>
          </w:tcPr>
          <w:p w14:paraId="55A53E65">
            <w:pPr>
              <w:autoSpaceDE w:val="0"/>
              <w:autoSpaceDN w:val="0"/>
              <w:jc w:val="center"/>
              <w:rPr>
                <w:rFonts w:ascii="宋体" w:hAnsi="宋体" w:cs="宋体"/>
                <w:b/>
                <w:szCs w:val="21"/>
                <w:highlight w:val="none"/>
              </w:rPr>
            </w:pPr>
            <w:r>
              <w:rPr>
                <w:rFonts w:hint="eastAsia" w:ascii="宋体" w:hAnsi="宋体" w:cs="宋体"/>
                <w:b/>
                <w:szCs w:val="21"/>
                <w:highlight w:val="none"/>
              </w:rPr>
              <w:t>编列内容</w:t>
            </w:r>
          </w:p>
        </w:tc>
      </w:tr>
      <w:tr w14:paraId="41A70D8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092F614">
            <w:pPr>
              <w:autoSpaceDE w:val="0"/>
              <w:autoSpaceDN w:val="0"/>
              <w:jc w:val="center"/>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.1.</w:t>
            </w:r>
            <w:r>
              <w:rPr>
                <w:rFonts w:hint="eastAsia" w:ascii="宋体" w:hAnsi="宋体" w:cs="宋体"/>
                <w:szCs w:val="21"/>
                <w:highlight w:val="none"/>
              </w:rPr>
              <w:t>2</w:t>
            </w:r>
          </w:p>
        </w:tc>
        <w:tc>
          <w:tcPr>
            <w:tcW w:w="1666" w:type="dxa"/>
            <w:vAlign w:val="center"/>
          </w:tcPr>
          <w:p w14:paraId="35F35879">
            <w:pPr>
              <w:autoSpaceDE w:val="0"/>
              <w:autoSpaceDN w:val="0"/>
              <w:rPr>
                <w:rFonts w:ascii="宋体" w:hAnsi="宋体" w:cs="宋体"/>
                <w:szCs w:val="21"/>
                <w:highlight w:val="none"/>
              </w:rPr>
            </w:pPr>
            <w:r>
              <w:rPr>
                <w:rFonts w:hint="eastAsia" w:ascii="宋体" w:hAnsi="宋体" w:cs="宋体"/>
                <w:szCs w:val="21"/>
                <w:highlight w:val="none"/>
              </w:rPr>
              <w:t>招标人</w:t>
            </w:r>
          </w:p>
        </w:tc>
        <w:tc>
          <w:tcPr>
            <w:tcW w:w="5795" w:type="dxa"/>
            <w:vAlign w:val="center"/>
          </w:tcPr>
          <w:p w14:paraId="475B4E45">
            <w:pPr>
              <w:autoSpaceDE w:val="0"/>
              <w:autoSpaceDN w:val="0"/>
              <w:rPr>
                <w:rFonts w:hint="eastAsia" w:ascii="宋体" w:hAnsi="宋体" w:eastAsia="宋体" w:cs="宋体"/>
                <w:szCs w:val="21"/>
                <w:highlight w:val="none"/>
                <w:lang w:eastAsia="zh-CN"/>
              </w:rPr>
            </w:pPr>
            <w:r>
              <w:rPr>
                <w:rFonts w:hint="eastAsia" w:ascii="宋体" w:hAnsi="宋体" w:cs="宋体"/>
                <w:szCs w:val="21"/>
                <w:highlight w:val="none"/>
              </w:rPr>
              <w:t>招标人名称：</w:t>
            </w:r>
            <w:r>
              <w:rPr>
                <w:rFonts w:hint="eastAsia" w:ascii="宋体" w:hAnsi="宋体"/>
                <w:szCs w:val="21"/>
                <w:highlight w:val="none"/>
                <w:u w:val="single"/>
                <w:lang w:eastAsia="zh-CN"/>
              </w:rPr>
              <w:t>中国电信股份有限公司湖北分公司</w:t>
            </w:r>
          </w:p>
          <w:p w14:paraId="129F7BD4">
            <w:pPr>
              <w:autoSpaceDE w:val="0"/>
              <w:autoSpaceDN w:val="0"/>
              <w:rPr>
                <w:rFonts w:hint="eastAsia" w:ascii="宋体" w:hAnsi="宋体" w:eastAsia="宋体" w:cs="宋体"/>
                <w:szCs w:val="21"/>
                <w:highlight w:val="none"/>
                <w:lang w:eastAsia="zh-CN"/>
              </w:rPr>
            </w:pPr>
            <w:r>
              <w:rPr>
                <w:rFonts w:hint="eastAsia" w:ascii="宋体" w:hAnsi="宋体" w:cs="宋体"/>
                <w:szCs w:val="21"/>
                <w:highlight w:val="none"/>
              </w:rPr>
              <w:t>招标人地址：</w:t>
            </w:r>
            <w:r>
              <w:rPr>
                <w:rFonts w:hint="eastAsia" w:ascii="宋体" w:hAnsi="宋体"/>
                <w:szCs w:val="21"/>
                <w:highlight w:val="none"/>
                <w:u w:val="single"/>
                <w:lang w:eastAsia="zh-CN"/>
              </w:rPr>
              <w:t>湖北省武汉市常青路158号</w:t>
            </w:r>
          </w:p>
          <w:p w14:paraId="3AC3A91E">
            <w:pPr>
              <w:rPr>
                <w:rFonts w:hint="eastAsia" w:ascii="宋体" w:hAnsi="宋体" w:eastAsia="宋体" w:cs="宋体"/>
                <w:szCs w:val="21"/>
                <w:highlight w:val="none"/>
                <w:lang w:val="en-US" w:eastAsia="zh-CN"/>
              </w:rPr>
            </w:pPr>
            <w:r>
              <w:rPr>
                <w:rFonts w:hint="eastAsia" w:ascii="宋体" w:hAnsi="宋体" w:cs="宋体"/>
                <w:szCs w:val="21"/>
                <w:highlight w:val="none"/>
              </w:rPr>
              <w:t>招标人联系方式：</w:t>
            </w:r>
            <w:r>
              <w:rPr>
                <w:rFonts w:hint="eastAsia" w:ascii="宋体" w:hAnsi="宋体" w:cs="宋体"/>
                <w:szCs w:val="21"/>
                <w:highlight w:val="none"/>
                <w:lang w:val="en-US" w:eastAsia="zh-CN"/>
              </w:rPr>
              <w:t>/</w:t>
            </w:r>
          </w:p>
        </w:tc>
      </w:tr>
      <w:tr w14:paraId="4E1BF72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78FB480">
            <w:pPr>
              <w:autoSpaceDE w:val="0"/>
              <w:autoSpaceDN w:val="0"/>
              <w:jc w:val="center"/>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.1.</w:t>
            </w:r>
            <w:r>
              <w:rPr>
                <w:rFonts w:hint="eastAsia" w:ascii="宋体" w:hAnsi="宋体" w:cs="宋体"/>
                <w:szCs w:val="21"/>
                <w:highlight w:val="none"/>
              </w:rPr>
              <w:t>3</w:t>
            </w:r>
          </w:p>
        </w:tc>
        <w:tc>
          <w:tcPr>
            <w:tcW w:w="1666" w:type="dxa"/>
            <w:vAlign w:val="center"/>
          </w:tcPr>
          <w:p w14:paraId="3F3C4340">
            <w:pPr>
              <w:autoSpaceDE w:val="0"/>
              <w:autoSpaceDN w:val="0"/>
              <w:rPr>
                <w:rFonts w:ascii="宋体" w:hAnsi="宋体" w:cs="宋体"/>
                <w:szCs w:val="21"/>
                <w:highlight w:val="none"/>
              </w:rPr>
            </w:pPr>
            <w:r>
              <w:rPr>
                <w:rFonts w:hint="eastAsia" w:ascii="宋体" w:hAnsi="宋体" w:cs="宋体"/>
                <w:szCs w:val="21"/>
                <w:highlight w:val="none"/>
              </w:rPr>
              <w:t>招标项目名称</w:t>
            </w:r>
          </w:p>
        </w:tc>
        <w:tc>
          <w:tcPr>
            <w:tcW w:w="5795" w:type="dxa"/>
            <w:vAlign w:val="center"/>
          </w:tcPr>
          <w:p w14:paraId="5270DBBA">
            <w:pPr>
              <w:autoSpaceDE w:val="0"/>
              <w:autoSpaceDN w:val="0"/>
              <w:rPr>
                <w:rFonts w:hint="eastAsia" w:ascii="宋体" w:hAnsi="宋体" w:eastAsia="宋体" w:cs="宋体"/>
                <w:szCs w:val="21"/>
                <w:highlight w:val="none"/>
                <w:lang w:eastAsia="zh-CN"/>
              </w:rPr>
            </w:pPr>
            <w:r>
              <w:rPr>
                <w:rFonts w:hint="eastAsia" w:ascii="宋体" w:hAnsi="宋体" w:cs="宋体"/>
                <w:szCs w:val="21"/>
                <w:highlight w:val="none"/>
              </w:rPr>
              <w:t>项目名称：</w:t>
            </w:r>
            <w:r>
              <w:rPr>
                <w:rFonts w:hint="eastAsia" w:ascii="宋体" w:hAnsi="宋体"/>
                <w:szCs w:val="21"/>
                <w:highlight w:val="none"/>
                <w:u w:val="single"/>
                <w:lang w:eastAsia="zh-CN"/>
              </w:rPr>
              <w:t>2024年中国电信湖北公司采控中心技术研发项目（第二次）</w:t>
            </w:r>
          </w:p>
          <w:p w14:paraId="6E569F06">
            <w:pPr>
              <w:autoSpaceDE w:val="0"/>
              <w:autoSpaceDN w:val="0"/>
              <w:rPr>
                <w:rFonts w:hint="eastAsia" w:ascii="宋体" w:hAnsi="宋体" w:eastAsia="宋体" w:cs="宋体"/>
                <w:szCs w:val="21"/>
                <w:highlight w:val="none"/>
                <w:lang w:eastAsia="zh-CN"/>
              </w:rPr>
            </w:pPr>
            <w:r>
              <w:rPr>
                <w:rFonts w:hint="eastAsia" w:ascii="宋体" w:hAnsi="宋体" w:cs="宋体"/>
                <w:szCs w:val="21"/>
                <w:highlight w:val="none"/>
              </w:rPr>
              <w:t>招标编号：</w:t>
            </w:r>
            <w:r>
              <w:rPr>
                <w:rFonts w:hint="eastAsia" w:ascii="宋体" w:hAnsi="宋体"/>
                <w:szCs w:val="21"/>
                <w:highlight w:val="none"/>
                <w:u w:val="single"/>
                <w:lang w:eastAsia="zh-CN"/>
              </w:rPr>
              <w:t>HBXT-2024-12433</w:t>
            </w:r>
          </w:p>
        </w:tc>
      </w:tr>
      <w:tr w14:paraId="1B0317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73" w:hRule="atLeast"/>
        </w:trPr>
        <w:tc>
          <w:tcPr>
            <w:tcW w:w="840" w:type="dxa"/>
            <w:vAlign w:val="center"/>
          </w:tcPr>
          <w:p w14:paraId="21B40499">
            <w:pPr>
              <w:autoSpaceDE w:val="0"/>
              <w:autoSpaceDN w:val="0"/>
              <w:jc w:val="center"/>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w:t>
            </w:r>
            <w:r>
              <w:rPr>
                <w:rFonts w:hint="eastAsia" w:ascii="宋体" w:hAnsi="宋体" w:cs="宋体"/>
                <w:szCs w:val="21"/>
                <w:highlight w:val="none"/>
              </w:rPr>
              <w:t>2</w:t>
            </w:r>
          </w:p>
        </w:tc>
        <w:tc>
          <w:tcPr>
            <w:tcW w:w="1666" w:type="dxa"/>
            <w:vAlign w:val="center"/>
          </w:tcPr>
          <w:p w14:paraId="7F580F36">
            <w:pPr>
              <w:autoSpaceDE w:val="0"/>
              <w:autoSpaceDN w:val="0"/>
              <w:rPr>
                <w:rFonts w:ascii="宋体" w:hAnsi="宋体" w:cs="宋体"/>
                <w:szCs w:val="21"/>
                <w:highlight w:val="none"/>
              </w:rPr>
            </w:pPr>
            <w:r>
              <w:rPr>
                <w:rFonts w:hint="eastAsia" w:ascii="宋体" w:hAnsi="宋体" w:cs="宋体"/>
                <w:szCs w:val="21"/>
                <w:highlight w:val="none"/>
              </w:rPr>
              <w:t>资金来源</w:t>
            </w:r>
          </w:p>
        </w:tc>
        <w:tc>
          <w:tcPr>
            <w:tcW w:w="5795" w:type="dxa"/>
            <w:vAlign w:val="center"/>
          </w:tcPr>
          <w:p w14:paraId="2A26BF5D">
            <w:pPr>
              <w:autoSpaceDE w:val="0"/>
              <w:autoSpaceDN w:val="0"/>
              <w:rPr>
                <w:rFonts w:ascii="宋体" w:hAnsi="宋体" w:cs="宋体"/>
                <w:szCs w:val="21"/>
                <w:highlight w:val="none"/>
                <w:u w:val="single"/>
              </w:rPr>
            </w:pPr>
            <w:r>
              <w:rPr>
                <w:rFonts w:hint="eastAsia" w:ascii="宋体" w:hAnsi="宋体" w:cs="宋体"/>
                <w:szCs w:val="21"/>
                <w:highlight w:val="none"/>
              </w:rPr>
              <w:sym w:font="Wingdings 2" w:char="0052"/>
            </w:r>
            <w:r>
              <w:rPr>
                <w:rFonts w:hint="eastAsia" w:ascii="宋体" w:hAnsi="宋体" w:cs="宋体"/>
                <w:szCs w:val="21"/>
                <w:highlight w:val="none"/>
              </w:rPr>
              <w:t>招标人自筹</w:t>
            </w:r>
          </w:p>
        </w:tc>
      </w:tr>
      <w:tr w14:paraId="3B5BC6E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10" w:hRule="atLeast"/>
        </w:trPr>
        <w:tc>
          <w:tcPr>
            <w:tcW w:w="840" w:type="dxa"/>
            <w:vAlign w:val="center"/>
          </w:tcPr>
          <w:p w14:paraId="63BB204A">
            <w:pPr>
              <w:autoSpaceDE w:val="0"/>
              <w:autoSpaceDN w:val="0"/>
              <w:jc w:val="center"/>
              <w:rPr>
                <w:rFonts w:ascii="宋体" w:hAnsi="宋体" w:cs="宋体"/>
                <w:szCs w:val="21"/>
                <w:highlight w:val="none"/>
              </w:rPr>
            </w:pPr>
            <w:r>
              <w:rPr>
                <w:rFonts w:hint="eastAsia" w:ascii="宋体" w:hAnsi="宋体" w:cs="宋体"/>
                <w:szCs w:val="21"/>
                <w:highlight w:val="none"/>
              </w:rPr>
              <w:t>1.3</w:t>
            </w:r>
          </w:p>
        </w:tc>
        <w:tc>
          <w:tcPr>
            <w:tcW w:w="1666" w:type="dxa"/>
            <w:vAlign w:val="center"/>
          </w:tcPr>
          <w:p w14:paraId="0F444B68">
            <w:pPr>
              <w:autoSpaceDE w:val="0"/>
              <w:autoSpaceDN w:val="0"/>
              <w:rPr>
                <w:rFonts w:ascii="宋体" w:hAnsi="宋体" w:cs="宋体"/>
                <w:szCs w:val="21"/>
                <w:highlight w:val="none"/>
              </w:rPr>
            </w:pPr>
            <w:r>
              <w:rPr>
                <w:rFonts w:hint="eastAsia" w:ascii="宋体" w:hAnsi="宋体" w:cs="宋体"/>
                <w:szCs w:val="21"/>
                <w:highlight w:val="none"/>
              </w:rPr>
              <w:t>招标范围</w:t>
            </w:r>
          </w:p>
        </w:tc>
        <w:tc>
          <w:tcPr>
            <w:tcW w:w="5795" w:type="dxa"/>
            <w:vAlign w:val="center"/>
          </w:tcPr>
          <w:p w14:paraId="7FED1446">
            <w:pPr>
              <w:autoSpaceDE w:val="0"/>
              <w:autoSpaceDN w:val="0"/>
              <w:rPr>
                <w:rFonts w:ascii="宋体" w:hAnsi="宋体" w:cs="宋体"/>
                <w:szCs w:val="21"/>
                <w:highlight w:val="none"/>
              </w:rPr>
            </w:pPr>
            <w:r>
              <w:rPr>
                <w:rFonts w:hint="eastAsia" w:ascii="宋体" w:hAnsi="宋体"/>
                <w:szCs w:val="21"/>
                <w:highlight w:val="none"/>
              </w:rPr>
              <w:t>详见第一章</w:t>
            </w:r>
            <w:r>
              <w:rPr>
                <w:rFonts w:hint="default" w:ascii="宋体" w:hAnsi="宋体"/>
                <w:szCs w:val="21"/>
                <w:highlight w:val="none"/>
                <w:lang w:val="en-US" w:eastAsia="zh-CN"/>
              </w:rPr>
              <w:t>“</w:t>
            </w:r>
            <w:r>
              <w:rPr>
                <w:rFonts w:hint="eastAsia" w:ascii="宋体" w:hAnsi="宋体"/>
                <w:szCs w:val="21"/>
                <w:highlight w:val="none"/>
              </w:rPr>
              <w:t>招标公告</w:t>
            </w:r>
            <w:r>
              <w:rPr>
                <w:rFonts w:hint="default" w:ascii="宋体" w:hAnsi="宋体"/>
                <w:szCs w:val="21"/>
                <w:highlight w:val="none"/>
                <w:lang w:val="en-US" w:eastAsia="zh-CN"/>
              </w:rPr>
              <w:t>”</w:t>
            </w:r>
            <w:r>
              <w:rPr>
                <w:rFonts w:hint="eastAsia" w:ascii="宋体" w:hAnsi="宋体"/>
                <w:szCs w:val="21"/>
                <w:highlight w:val="none"/>
              </w:rPr>
              <w:t>。</w:t>
            </w:r>
          </w:p>
        </w:tc>
      </w:tr>
      <w:tr w14:paraId="236D3C3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48" w:hRule="atLeast"/>
        </w:trPr>
        <w:tc>
          <w:tcPr>
            <w:tcW w:w="840" w:type="dxa"/>
            <w:vAlign w:val="center"/>
          </w:tcPr>
          <w:p w14:paraId="146E2A1F">
            <w:pPr>
              <w:autoSpaceDE w:val="0"/>
              <w:autoSpaceDN w:val="0"/>
              <w:jc w:val="center"/>
              <w:rPr>
                <w:rFonts w:ascii="宋体" w:hAnsi="宋体" w:cs="宋体"/>
                <w:szCs w:val="21"/>
                <w:highlight w:val="none"/>
              </w:rPr>
            </w:pPr>
            <w:r>
              <w:rPr>
                <w:rFonts w:hint="eastAsia" w:ascii="宋体" w:hAnsi="宋体" w:cs="宋体"/>
                <w:szCs w:val="21"/>
                <w:highlight w:val="none"/>
              </w:rPr>
              <w:t>1.4</w:t>
            </w:r>
          </w:p>
        </w:tc>
        <w:tc>
          <w:tcPr>
            <w:tcW w:w="1666" w:type="dxa"/>
            <w:vAlign w:val="center"/>
          </w:tcPr>
          <w:p w14:paraId="18E84FBC">
            <w:pPr>
              <w:autoSpaceDE w:val="0"/>
              <w:autoSpaceDN w:val="0"/>
              <w:rPr>
                <w:rFonts w:ascii="宋体" w:hAnsi="宋体" w:cs="宋体"/>
                <w:szCs w:val="21"/>
                <w:highlight w:val="none"/>
              </w:rPr>
            </w:pPr>
            <w:r>
              <w:rPr>
                <w:rFonts w:hint="eastAsia" w:ascii="宋体" w:hAnsi="宋体" w:cs="宋体"/>
                <w:szCs w:val="21"/>
                <w:highlight w:val="none"/>
              </w:rPr>
              <w:t>标包划分</w:t>
            </w:r>
          </w:p>
        </w:tc>
        <w:tc>
          <w:tcPr>
            <w:tcW w:w="5795" w:type="dxa"/>
            <w:vAlign w:val="center"/>
          </w:tcPr>
          <w:p w14:paraId="757566F5">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不划分标包</w:t>
            </w:r>
          </w:p>
        </w:tc>
      </w:tr>
      <w:tr w14:paraId="0465C49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35" w:hRule="atLeast"/>
        </w:trPr>
        <w:tc>
          <w:tcPr>
            <w:tcW w:w="840" w:type="dxa"/>
            <w:vAlign w:val="center"/>
          </w:tcPr>
          <w:p w14:paraId="7E4451D1">
            <w:pPr>
              <w:autoSpaceDE w:val="0"/>
              <w:autoSpaceDN w:val="0"/>
              <w:jc w:val="center"/>
              <w:rPr>
                <w:rFonts w:ascii="宋体" w:hAnsi="宋体" w:cs="宋体"/>
                <w:szCs w:val="21"/>
                <w:highlight w:val="none"/>
              </w:rPr>
            </w:pPr>
            <w:r>
              <w:rPr>
                <w:rFonts w:hint="eastAsia" w:ascii="宋体" w:hAnsi="宋体" w:cs="宋体"/>
                <w:szCs w:val="21"/>
                <w:highlight w:val="none"/>
              </w:rPr>
              <w:t>1.5.1</w:t>
            </w:r>
          </w:p>
        </w:tc>
        <w:tc>
          <w:tcPr>
            <w:tcW w:w="1666" w:type="dxa"/>
            <w:vAlign w:val="center"/>
          </w:tcPr>
          <w:p w14:paraId="64CE03B5">
            <w:pPr>
              <w:autoSpaceDE w:val="0"/>
              <w:autoSpaceDN w:val="0"/>
              <w:rPr>
                <w:rFonts w:ascii="宋体" w:hAnsi="宋体" w:cs="宋体"/>
                <w:szCs w:val="21"/>
                <w:highlight w:val="none"/>
              </w:rPr>
            </w:pPr>
            <w:r>
              <w:rPr>
                <w:rFonts w:hint="eastAsia" w:ascii="宋体" w:hAnsi="宋体" w:cs="宋体"/>
                <w:szCs w:val="21"/>
                <w:highlight w:val="none"/>
              </w:rPr>
              <w:t>招标方式</w:t>
            </w:r>
          </w:p>
        </w:tc>
        <w:tc>
          <w:tcPr>
            <w:tcW w:w="5795" w:type="dxa"/>
            <w:vAlign w:val="center"/>
          </w:tcPr>
          <w:p w14:paraId="1655C0E0">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公开招标</w:t>
            </w:r>
          </w:p>
        </w:tc>
      </w:tr>
      <w:tr w14:paraId="349E956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384CA6B">
            <w:pPr>
              <w:autoSpaceDE w:val="0"/>
              <w:autoSpaceDN w:val="0"/>
              <w:jc w:val="center"/>
              <w:rPr>
                <w:rFonts w:ascii="宋体" w:hAnsi="宋体" w:cs="宋体"/>
                <w:szCs w:val="21"/>
                <w:highlight w:val="none"/>
              </w:rPr>
            </w:pPr>
            <w:r>
              <w:rPr>
                <w:rFonts w:hint="eastAsia" w:ascii="宋体" w:hAnsi="宋体" w:cs="宋体"/>
                <w:szCs w:val="21"/>
                <w:highlight w:val="none"/>
              </w:rPr>
              <w:t>1.6</w:t>
            </w:r>
          </w:p>
        </w:tc>
        <w:tc>
          <w:tcPr>
            <w:tcW w:w="1666" w:type="dxa"/>
            <w:vAlign w:val="center"/>
          </w:tcPr>
          <w:p w14:paraId="61064980">
            <w:pPr>
              <w:autoSpaceDE w:val="0"/>
              <w:autoSpaceDN w:val="0"/>
              <w:rPr>
                <w:rFonts w:ascii="宋体" w:hAnsi="宋体" w:cs="宋体"/>
                <w:szCs w:val="21"/>
                <w:highlight w:val="none"/>
              </w:rPr>
            </w:pPr>
            <w:r>
              <w:rPr>
                <w:rFonts w:hint="eastAsia" w:ascii="宋体" w:hAnsi="宋体" w:cs="宋体"/>
                <w:szCs w:val="21"/>
                <w:highlight w:val="none"/>
              </w:rPr>
              <w:t>招标组织形式</w:t>
            </w:r>
          </w:p>
        </w:tc>
        <w:tc>
          <w:tcPr>
            <w:tcW w:w="5795" w:type="dxa"/>
            <w:vAlign w:val="center"/>
          </w:tcPr>
          <w:p w14:paraId="51B098A9">
            <w:pPr>
              <w:keepNext w:val="0"/>
              <w:keepLines w:val="0"/>
              <w:pageBreakBefore w:val="0"/>
              <w:widowControl w:val="0"/>
              <w:kinsoku/>
              <w:wordWrap/>
              <w:overflowPunct/>
              <w:topLinePunct w:val="0"/>
              <w:autoSpaceDE w:val="0"/>
              <w:autoSpaceDN w:val="0"/>
              <w:bidi w:val="0"/>
              <w:adjustRightInd/>
              <w:snapToGrid/>
              <w:ind w:right="105" w:rightChars="50"/>
              <w:textAlignment w:val="auto"/>
              <w:rPr>
                <w:rFonts w:hint="eastAsia" w:ascii="宋体" w:hAnsi="宋体" w:cs="宋体"/>
                <w:sz w:val="21"/>
                <w:szCs w:val="21"/>
                <w:highlight w:val="none"/>
              </w:rPr>
            </w:pPr>
            <w:r>
              <w:rPr>
                <w:rFonts w:hint="eastAsia" w:ascii="宋体" w:hAnsi="宋体" w:cs="宋体"/>
                <w:sz w:val="21"/>
                <w:szCs w:val="21"/>
                <w:highlight w:val="none"/>
              </w:rPr>
              <w:sym w:font="Wingdings 2" w:char="0052"/>
            </w:r>
            <w:r>
              <w:rPr>
                <w:rFonts w:hint="eastAsia" w:ascii="宋体" w:hAnsi="宋体" w:cs="宋体"/>
                <w:sz w:val="21"/>
                <w:szCs w:val="21"/>
                <w:highlight w:val="none"/>
              </w:rPr>
              <w:t xml:space="preserve"> 委托招标代理机构代理招标</w:t>
            </w:r>
          </w:p>
          <w:p w14:paraId="6B8B3AB0">
            <w:pPr>
              <w:keepNext w:val="0"/>
              <w:keepLines w:val="0"/>
              <w:pageBreakBefore w:val="0"/>
              <w:widowControl w:val="0"/>
              <w:kinsoku/>
              <w:wordWrap/>
              <w:overflowPunct/>
              <w:topLinePunct w:val="0"/>
              <w:autoSpaceDE w:val="0"/>
              <w:autoSpaceDN w:val="0"/>
              <w:bidi w:val="0"/>
              <w:adjustRightInd/>
              <w:snapToGrid/>
              <w:ind w:right="105" w:rightChars="50"/>
              <w:textAlignment w:val="auto"/>
              <w:rPr>
                <w:rFonts w:hint="eastAsia" w:ascii="宋体" w:hAnsi="宋体" w:cs="宋体"/>
                <w:sz w:val="21"/>
                <w:szCs w:val="21"/>
                <w:highlight w:val="none"/>
              </w:rPr>
            </w:pPr>
            <w:r>
              <w:rPr>
                <w:rFonts w:hint="eastAsia" w:ascii="宋体" w:hAnsi="宋体" w:cs="宋体"/>
                <w:sz w:val="21"/>
                <w:szCs w:val="21"/>
                <w:highlight w:val="none"/>
              </w:rPr>
              <w:t>招标代理机构名称：湖北信通通信有限公司</w:t>
            </w:r>
          </w:p>
          <w:p w14:paraId="621278DC">
            <w:pPr>
              <w:keepNext w:val="0"/>
              <w:keepLines w:val="0"/>
              <w:pageBreakBefore w:val="0"/>
              <w:widowControl w:val="0"/>
              <w:kinsoku/>
              <w:wordWrap/>
              <w:overflowPunct/>
              <w:topLinePunct w:val="0"/>
              <w:autoSpaceDE w:val="0"/>
              <w:autoSpaceDN w:val="0"/>
              <w:bidi w:val="0"/>
              <w:adjustRightInd/>
              <w:snapToGrid/>
              <w:ind w:right="105" w:rightChars="50"/>
              <w:textAlignment w:val="auto"/>
              <w:rPr>
                <w:rFonts w:hint="eastAsia" w:ascii="宋体" w:hAnsi="宋体" w:cs="宋体"/>
                <w:sz w:val="21"/>
                <w:szCs w:val="21"/>
                <w:highlight w:val="none"/>
              </w:rPr>
            </w:pPr>
            <w:r>
              <w:rPr>
                <w:rFonts w:hint="eastAsia" w:ascii="宋体" w:hAnsi="宋体" w:cs="宋体"/>
                <w:sz w:val="21"/>
                <w:szCs w:val="21"/>
                <w:highlight w:val="none"/>
              </w:rPr>
              <w:t>招标代理机构地址：湖北省武汉市江岸区惠济路10号</w:t>
            </w:r>
          </w:p>
          <w:p w14:paraId="2D23AD5F">
            <w:pPr>
              <w:keepNext w:val="0"/>
              <w:keepLines w:val="0"/>
              <w:pageBreakBefore w:val="0"/>
              <w:widowControl w:val="0"/>
              <w:kinsoku/>
              <w:wordWrap/>
              <w:overflowPunct/>
              <w:topLinePunct w:val="0"/>
              <w:autoSpaceDE w:val="0"/>
              <w:autoSpaceDN w:val="0"/>
              <w:bidi w:val="0"/>
              <w:adjustRightInd/>
              <w:snapToGrid/>
              <w:ind w:right="105" w:rightChars="50"/>
              <w:textAlignment w:val="auto"/>
              <w:rPr>
                <w:rFonts w:hint="eastAsia" w:ascii="宋体" w:hAnsi="宋体" w:cs="宋体"/>
                <w:sz w:val="21"/>
                <w:szCs w:val="21"/>
                <w:highlight w:val="none"/>
              </w:rPr>
            </w:pPr>
            <w:r>
              <w:rPr>
                <w:rFonts w:hint="eastAsia" w:ascii="宋体" w:hAnsi="宋体" w:cs="宋体"/>
                <w:sz w:val="21"/>
                <w:szCs w:val="21"/>
                <w:highlight w:val="none"/>
              </w:rPr>
              <w:t>招标代理机构联系人</w:t>
            </w:r>
            <w:r>
              <w:rPr>
                <w:rFonts w:hint="eastAsia" w:ascii="宋体" w:hAnsi="宋体" w:cs="宋体"/>
                <w:sz w:val="21"/>
                <w:szCs w:val="21"/>
                <w:highlight w:val="none"/>
                <w:lang w:eastAsia="zh-CN"/>
              </w:rPr>
              <w:t>：</w:t>
            </w:r>
            <w:r>
              <w:rPr>
                <w:rFonts w:hint="eastAsia" w:ascii="宋体" w:hAnsi="宋体" w:cs="宋体"/>
                <w:sz w:val="21"/>
                <w:szCs w:val="21"/>
                <w:highlight w:val="none"/>
              </w:rPr>
              <w:t xml:space="preserve">梅娟、孙磊、刘昀                          </w:t>
            </w:r>
          </w:p>
          <w:p w14:paraId="411A2097">
            <w:pPr>
              <w:keepNext w:val="0"/>
              <w:keepLines w:val="0"/>
              <w:pageBreakBefore w:val="0"/>
              <w:widowControl w:val="0"/>
              <w:kinsoku/>
              <w:wordWrap/>
              <w:overflowPunct/>
              <w:topLinePunct w:val="0"/>
              <w:autoSpaceDE w:val="0"/>
              <w:autoSpaceDN w:val="0"/>
              <w:bidi w:val="0"/>
              <w:adjustRightInd/>
              <w:snapToGrid/>
              <w:textAlignment w:val="auto"/>
              <w:rPr>
                <w:rFonts w:ascii="宋体" w:hAnsi="宋体" w:cs="宋体"/>
                <w:szCs w:val="21"/>
                <w:highlight w:val="none"/>
              </w:rPr>
            </w:pPr>
            <w:r>
              <w:rPr>
                <w:rFonts w:hint="eastAsia" w:ascii="宋体" w:hAnsi="宋体" w:cs="宋体"/>
                <w:sz w:val="21"/>
                <w:szCs w:val="21"/>
                <w:highlight w:val="none"/>
              </w:rPr>
              <w:t>招标代理机构电话：18771012618</w:t>
            </w:r>
          </w:p>
        </w:tc>
      </w:tr>
      <w:tr w14:paraId="64F585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64047FC">
            <w:pPr>
              <w:autoSpaceDE w:val="0"/>
              <w:autoSpaceDN w:val="0"/>
              <w:jc w:val="center"/>
              <w:rPr>
                <w:rFonts w:ascii="宋体" w:hAnsi="宋体" w:cs="宋体"/>
                <w:szCs w:val="21"/>
                <w:highlight w:val="none"/>
              </w:rPr>
            </w:pPr>
            <w:r>
              <w:rPr>
                <w:rFonts w:hint="eastAsia" w:ascii="宋体" w:hAnsi="宋体" w:cs="宋体"/>
                <w:szCs w:val="21"/>
                <w:highlight w:val="none"/>
              </w:rPr>
              <w:t>1.7</w:t>
            </w:r>
          </w:p>
        </w:tc>
        <w:tc>
          <w:tcPr>
            <w:tcW w:w="1666" w:type="dxa"/>
            <w:vAlign w:val="center"/>
          </w:tcPr>
          <w:p w14:paraId="52715131">
            <w:pPr>
              <w:autoSpaceDE w:val="0"/>
              <w:autoSpaceDN w:val="0"/>
              <w:rPr>
                <w:rFonts w:ascii="宋体" w:hAnsi="宋体" w:cs="宋体"/>
                <w:szCs w:val="21"/>
                <w:highlight w:val="none"/>
              </w:rPr>
            </w:pPr>
            <w:r>
              <w:rPr>
                <w:rFonts w:hint="eastAsia" w:ascii="宋体" w:hAnsi="宋体" w:cs="宋体"/>
                <w:szCs w:val="21"/>
                <w:highlight w:val="none"/>
              </w:rPr>
              <w:t>资格审查方式</w:t>
            </w:r>
          </w:p>
        </w:tc>
        <w:tc>
          <w:tcPr>
            <w:tcW w:w="5795" w:type="dxa"/>
            <w:vAlign w:val="center"/>
          </w:tcPr>
          <w:p w14:paraId="798483C1">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ascii="宋体" w:hAnsi="宋体" w:cs="宋体"/>
                <w:szCs w:val="21"/>
                <w:highlight w:val="none"/>
              </w:rPr>
              <w:t>资格后审</w:t>
            </w:r>
            <w:r>
              <w:rPr>
                <w:rFonts w:hint="eastAsia" w:ascii="宋体" w:hAnsi="宋体" w:cs="宋体"/>
                <w:szCs w:val="21"/>
                <w:highlight w:val="none"/>
              </w:rPr>
              <w:t>，资格条件详见第一章</w:t>
            </w:r>
            <w:r>
              <w:rPr>
                <w:rFonts w:hint="default" w:ascii="宋体" w:hAnsi="宋体" w:cs="宋体"/>
                <w:szCs w:val="21"/>
                <w:highlight w:val="none"/>
                <w:lang w:val="en-US" w:eastAsia="zh-CN"/>
              </w:rPr>
              <w:t>“</w:t>
            </w:r>
            <w:r>
              <w:rPr>
                <w:rFonts w:hint="eastAsia" w:ascii="宋体" w:hAnsi="宋体"/>
                <w:szCs w:val="21"/>
                <w:highlight w:val="none"/>
              </w:rPr>
              <w:t>招标公告</w:t>
            </w:r>
            <w:r>
              <w:rPr>
                <w:rFonts w:hint="default" w:ascii="宋体" w:hAnsi="宋体"/>
                <w:szCs w:val="21"/>
                <w:highlight w:val="none"/>
                <w:lang w:val="en-US" w:eastAsia="zh-CN"/>
              </w:rPr>
              <w:t>”</w:t>
            </w:r>
            <w:r>
              <w:rPr>
                <w:rFonts w:hint="eastAsia" w:ascii="宋体" w:hAnsi="宋体" w:cs="宋体"/>
                <w:szCs w:val="21"/>
                <w:highlight w:val="none"/>
              </w:rPr>
              <w:t>。</w:t>
            </w:r>
          </w:p>
        </w:tc>
      </w:tr>
      <w:tr w14:paraId="0F72E44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E6A9BFC">
            <w:pPr>
              <w:autoSpaceDE w:val="0"/>
              <w:autoSpaceDN w:val="0"/>
              <w:jc w:val="center"/>
              <w:rPr>
                <w:rFonts w:ascii="宋体" w:hAnsi="宋体" w:cs="宋体"/>
                <w:szCs w:val="21"/>
                <w:highlight w:val="none"/>
              </w:rPr>
            </w:pPr>
            <w:r>
              <w:rPr>
                <w:rFonts w:hint="eastAsia" w:ascii="宋体" w:hAnsi="宋体" w:cs="宋体"/>
                <w:szCs w:val="21"/>
                <w:highlight w:val="none"/>
              </w:rPr>
              <w:t>1.8</w:t>
            </w:r>
            <w:r>
              <w:rPr>
                <w:rFonts w:ascii="宋体" w:hAnsi="宋体" w:cs="宋体"/>
                <w:szCs w:val="21"/>
                <w:highlight w:val="none"/>
              </w:rPr>
              <w:t>.1</w:t>
            </w:r>
          </w:p>
        </w:tc>
        <w:tc>
          <w:tcPr>
            <w:tcW w:w="1666" w:type="dxa"/>
            <w:vAlign w:val="center"/>
          </w:tcPr>
          <w:p w14:paraId="21A39D61">
            <w:pPr>
              <w:autoSpaceDE w:val="0"/>
              <w:autoSpaceDN w:val="0"/>
              <w:rPr>
                <w:rFonts w:ascii="宋体" w:hAnsi="宋体" w:cs="宋体"/>
                <w:szCs w:val="21"/>
                <w:highlight w:val="none"/>
              </w:rPr>
            </w:pPr>
            <w:r>
              <w:rPr>
                <w:rFonts w:hint="eastAsia" w:ascii="宋体" w:hAnsi="宋体" w:cs="宋体"/>
                <w:szCs w:val="21"/>
                <w:highlight w:val="none"/>
              </w:rPr>
              <w:t>投标人不得存在的情形</w:t>
            </w:r>
          </w:p>
        </w:tc>
        <w:tc>
          <w:tcPr>
            <w:tcW w:w="5795" w:type="dxa"/>
            <w:vAlign w:val="center"/>
          </w:tcPr>
          <w:p w14:paraId="774D2E49">
            <w:pPr>
              <w:tabs>
                <w:tab w:val="left" w:pos="585"/>
              </w:tabs>
              <w:spacing w:line="440" w:lineRule="exact"/>
              <w:ind w:left="18"/>
              <w:rPr>
                <w:rFonts w:ascii="宋体" w:hAnsi="宋体"/>
                <w:szCs w:val="21"/>
                <w:highlight w:val="none"/>
              </w:rPr>
            </w:pPr>
            <w:r>
              <w:rPr>
                <w:rFonts w:hint="eastAsia" w:ascii="宋体" w:hAnsi="宋体"/>
                <w:szCs w:val="21"/>
                <w:highlight w:val="none"/>
              </w:rPr>
              <w:t>本条款替换为：</w:t>
            </w:r>
          </w:p>
          <w:p w14:paraId="4BA9D003">
            <w:pPr>
              <w:tabs>
                <w:tab w:val="left" w:pos="585"/>
              </w:tabs>
              <w:ind w:left="18"/>
              <w:rPr>
                <w:rFonts w:ascii="宋体" w:hAnsi="宋体"/>
                <w:szCs w:val="21"/>
                <w:highlight w:val="none"/>
              </w:rPr>
            </w:pPr>
            <w:r>
              <w:rPr>
                <w:rFonts w:hint="eastAsia" w:ascii="宋体" w:hAnsi="宋体"/>
                <w:highlight w:val="none"/>
              </w:rPr>
              <w:t>详见</w:t>
            </w:r>
            <w:r>
              <w:rPr>
                <w:rFonts w:hint="eastAsia" w:ascii="宋体" w:hAnsi="宋体"/>
                <w:szCs w:val="21"/>
                <w:highlight w:val="none"/>
              </w:rPr>
              <w:t>第一章</w:t>
            </w:r>
            <w:r>
              <w:rPr>
                <w:rFonts w:hint="default" w:ascii="宋体" w:hAnsi="宋体"/>
                <w:szCs w:val="21"/>
                <w:highlight w:val="none"/>
                <w:lang w:val="en-US" w:eastAsia="zh-CN"/>
              </w:rPr>
              <w:t>“</w:t>
            </w:r>
            <w:r>
              <w:rPr>
                <w:rFonts w:hint="eastAsia" w:ascii="宋体" w:hAnsi="宋体"/>
                <w:szCs w:val="21"/>
                <w:highlight w:val="none"/>
              </w:rPr>
              <w:t>招标公告</w:t>
            </w:r>
            <w:r>
              <w:rPr>
                <w:rFonts w:hint="default" w:ascii="宋体" w:hAnsi="宋体"/>
                <w:szCs w:val="21"/>
                <w:highlight w:val="none"/>
                <w:lang w:val="en-US" w:eastAsia="zh-CN"/>
              </w:rPr>
              <w:t>”</w:t>
            </w:r>
            <w:r>
              <w:rPr>
                <w:rFonts w:hint="eastAsia" w:ascii="宋体" w:hAnsi="宋体"/>
                <w:szCs w:val="21"/>
                <w:highlight w:val="none"/>
              </w:rPr>
              <w:t>。</w:t>
            </w:r>
          </w:p>
        </w:tc>
      </w:tr>
      <w:tr w14:paraId="40AACB9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9901F00">
            <w:pPr>
              <w:autoSpaceDE w:val="0"/>
              <w:autoSpaceDN w:val="0"/>
              <w:jc w:val="center"/>
              <w:rPr>
                <w:rFonts w:ascii="宋体" w:hAnsi="宋体" w:cs="宋体"/>
                <w:szCs w:val="21"/>
                <w:highlight w:val="none"/>
              </w:rPr>
            </w:pPr>
            <w:r>
              <w:rPr>
                <w:rFonts w:hint="eastAsia" w:ascii="宋体" w:hAnsi="宋体" w:cs="宋体"/>
                <w:szCs w:val="21"/>
                <w:highlight w:val="none"/>
              </w:rPr>
              <w:t>2.1.1</w:t>
            </w:r>
          </w:p>
        </w:tc>
        <w:tc>
          <w:tcPr>
            <w:tcW w:w="1666" w:type="dxa"/>
            <w:vAlign w:val="center"/>
          </w:tcPr>
          <w:p w14:paraId="50E39F2F">
            <w:pPr>
              <w:autoSpaceDE w:val="0"/>
              <w:autoSpaceDN w:val="0"/>
              <w:rPr>
                <w:rFonts w:ascii="宋体" w:hAnsi="宋体" w:cs="宋体"/>
                <w:szCs w:val="21"/>
                <w:highlight w:val="none"/>
              </w:rPr>
            </w:pPr>
            <w:r>
              <w:rPr>
                <w:rFonts w:hint="eastAsia" w:ascii="宋体" w:hAnsi="宋体" w:cs="宋体"/>
                <w:szCs w:val="21"/>
                <w:highlight w:val="none"/>
              </w:rPr>
              <w:t>招标文件的组成</w:t>
            </w:r>
          </w:p>
        </w:tc>
        <w:tc>
          <w:tcPr>
            <w:tcW w:w="5795" w:type="dxa"/>
            <w:vAlign w:val="center"/>
          </w:tcPr>
          <w:p w14:paraId="67719661">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本条款替换为：</w:t>
            </w:r>
          </w:p>
          <w:p w14:paraId="0E00F3AB">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 xml:space="preserve">第一章 招标公告 </w:t>
            </w:r>
          </w:p>
          <w:p w14:paraId="571D14C7">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第二章 投标人须知</w:t>
            </w:r>
          </w:p>
          <w:p w14:paraId="23E8F9F2">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第三章 评标办法</w:t>
            </w:r>
          </w:p>
          <w:p w14:paraId="1E0312AD">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第四章 合同条款</w:t>
            </w:r>
          </w:p>
          <w:p w14:paraId="2BCA0CAE">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第五章 技术规范书</w:t>
            </w:r>
          </w:p>
          <w:p w14:paraId="5477972E">
            <w:pPr>
              <w:autoSpaceDE w:val="0"/>
              <w:autoSpaceDN w:val="0"/>
              <w:ind w:right="105" w:rightChars="50"/>
              <w:rPr>
                <w:rFonts w:hint="eastAsia" w:ascii="宋体" w:hAnsi="宋体" w:cs="宋体"/>
                <w:sz w:val="21"/>
                <w:szCs w:val="21"/>
                <w:highlight w:val="none"/>
              </w:rPr>
            </w:pPr>
            <w:r>
              <w:rPr>
                <w:rFonts w:hint="eastAsia" w:ascii="宋体" w:hAnsi="宋体" w:cs="宋体"/>
                <w:sz w:val="21"/>
                <w:szCs w:val="21"/>
                <w:highlight w:val="none"/>
              </w:rPr>
              <w:t>第六章 投标文件格式</w:t>
            </w:r>
          </w:p>
          <w:p w14:paraId="0459CA6E">
            <w:pPr>
              <w:autoSpaceDE w:val="0"/>
              <w:autoSpaceDN w:val="0"/>
              <w:rPr>
                <w:rFonts w:ascii="宋体" w:hAnsi="宋体" w:cs="宋体"/>
                <w:szCs w:val="21"/>
                <w:highlight w:val="none"/>
              </w:rPr>
            </w:pPr>
            <w:r>
              <w:rPr>
                <w:rFonts w:hint="eastAsia" w:ascii="宋体" w:hAnsi="宋体" w:cs="宋体"/>
                <w:sz w:val="21"/>
                <w:szCs w:val="21"/>
                <w:highlight w:val="none"/>
              </w:rPr>
              <w:t>第七章 其他</w:t>
            </w:r>
          </w:p>
        </w:tc>
      </w:tr>
      <w:tr w14:paraId="1AF0BD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5A92C19">
            <w:pPr>
              <w:autoSpaceDE w:val="0"/>
              <w:autoSpaceDN w:val="0"/>
              <w:jc w:val="center"/>
              <w:rPr>
                <w:rFonts w:ascii="宋体" w:hAnsi="宋体" w:cs="宋体"/>
                <w:szCs w:val="21"/>
                <w:highlight w:val="none"/>
              </w:rPr>
            </w:pPr>
            <w:r>
              <w:rPr>
                <w:rFonts w:hint="eastAsia" w:ascii="宋体" w:hAnsi="宋体" w:cs="宋体"/>
                <w:szCs w:val="21"/>
                <w:highlight w:val="none"/>
              </w:rPr>
              <w:t>2.1.3</w:t>
            </w:r>
          </w:p>
        </w:tc>
        <w:tc>
          <w:tcPr>
            <w:tcW w:w="1666" w:type="dxa"/>
            <w:vAlign w:val="center"/>
          </w:tcPr>
          <w:p w14:paraId="5462BBFD">
            <w:pPr>
              <w:autoSpaceDE w:val="0"/>
              <w:autoSpaceDN w:val="0"/>
              <w:rPr>
                <w:rFonts w:ascii="宋体" w:hAnsi="宋体" w:cs="宋体"/>
                <w:szCs w:val="21"/>
                <w:highlight w:val="none"/>
              </w:rPr>
            </w:pPr>
            <w:r>
              <w:rPr>
                <w:rFonts w:hint="eastAsia" w:ascii="宋体" w:hAnsi="宋体" w:cs="宋体"/>
                <w:szCs w:val="21"/>
                <w:highlight w:val="none"/>
              </w:rPr>
              <w:t>招标文件实质性要求的标识及非实质性要求的偏离要求</w:t>
            </w:r>
          </w:p>
        </w:tc>
        <w:tc>
          <w:tcPr>
            <w:tcW w:w="5795" w:type="dxa"/>
            <w:vAlign w:val="center"/>
          </w:tcPr>
          <w:p w14:paraId="11DAA491">
            <w:pPr>
              <w:autoSpaceDE w:val="0"/>
              <w:autoSpaceDN w:val="0"/>
              <w:rPr>
                <w:rFonts w:ascii="宋体" w:hAnsi="宋体" w:cs="宋体"/>
                <w:szCs w:val="21"/>
                <w:highlight w:val="none"/>
              </w:rPr>
            </w:pPr>
            <w:r>
              <w:rPr>
                <w:rFonts w:hint="eastAsia" w:ascii="宋体" w:hAnsi="宋体" w:cs="宋体"/>
                <w:szCs w:val="21"/>
                <w:highlight w:val="none"/>
              </w:rPr>
              <w:t>（1）招标文件中标识“</w:t>
            </w:r>
            <w:r>
              <w:rPr>
                <w:rFonts w:hint="eastAsia" w:ascii="宋体" w:hAnsi="宋体"/>
                <w:szCs w:val="21"/>
                <w:highlight w:val="none"/>
              </w:rPr>
              <w:t>★</w:t>
            </w:r>
            <w:r>
              <w:rPr>
                <w:rFonts w:hint="eastAsia" w:ascii="宋体" w:hAnsi="宋体" w:cs="宋体"/>
                <w:szCs w:val="21"/>
                <w:highlight w:val="none"/>
              </w:rPr>
              <w:t>”的条款，均为实质性条款，投标人任何不满足实质性条款的投标均将被否决。</w:t>
            </w:r>
          </w:p>
          <w:p w14:paraId="19DF7865">
            <w:pPr>
              <w:autoSpaceDE w:val="0"/>
              <w:autoSpaceDN w:val="0"/>
              <w:rPr>
                <w:rFonts w:ascii="宋体" w:hAnsi="宋体" w:cs="宋体"/>
                <w:szCs w:val="21"/>
                <w:highlight w:val="none"/>
              </w:rPr>
            </w:pPr>
            <w:r>
              <w:rPr>
                <w:rFonts w:hint="eastAsia" w:ascii="宋体" w:hAnsi="宋体" w:cs="宋体"/>
                <w:sz w:val="21"/>
                <w:szCs w:val="21"/>
                <w:highlight w:val="none"/>
              </w:rPr>
              <w:t>（2）非实质性要求的偏离要求：</w:t>
            </w:r>
            <w:r>
              <w:rPr>
                <w:rFonts w:hint="eastAsia" w:ascii="宋体" w:hAnsi="宋体" w:cs="宋体"/>
                <w:sz w:val="21"/>
                <w:szCs w:val="21"/>
                <w:highlight w:val="none"/>
                <w:u w:val="single"/>
              </w:rPr>
              <w:t xml:space="preserve">   /  </w:t>
            </w:r>
          </w:p>
        </w:tc>
      </w:tr>
      <w:tr w14:paraId="0F307FC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93A3F24">
            <w:pPr>
              <w:autoSpaceDE w:val="0"/>
              <w:autoSpaceDN w:val="0"/>
              <w:jc w:val="center"/>
              <w:rPr>
                <w:rFonts w:ascii="宋体" w:hAnsi="宋体" w:cs="宋体"/>
                <w:szCs w:val="21"/>
                <w:highlight w:val="none"/>
              </w:rPr>
            </w:pPr>
            <w:r>
              <w:rPr>
                <w:rFonts w:hint="eastAsia" w:ascii="宋体" w:hAnsi="宋体" w:cs="宋体"/>
                <w:szCs w:val="21"/>
                <w:highlight w:val="none"/>
              </w:rPr>
              <w:t>2.1.4</w:t>
            </w:r>
          </w:p>
        </w:tc>
        <w:tc>
          <w:tcPr>
            <w:tcW w:w="1666" w:type="dxa"/>
            <w:vAlign w:val="center"/>
          </w:tcPr>
          <w:p w14:paraId="4B8696A1">
            <w:pPr>
              <w:autoSpaceDE w:val="0"/>
              <w:autoSpaceDN w:val="0"/>
              <w:rPr>
                <w:rFonts w:ascii="宋体" w:hAnsi="宋体" w:cs="宋体"/>
                <w:szCs w:val="21"/>
                <w:highlight w:val="none"/>
              </w:rPr>
            </w:pPr>
            <w:r>
              <w:rPr>
                <w:rFonts w:hint="eastAsia" w:ascii="宋体" w:hAnsi="宋体" w:cs="宋体"/>
                <w:szCs w:val="21"/>
                <w:highlight w:val="none"/>
              </w:rPr>
              <w:t>是否以单项报价核定低于成本</w:t>
            </w:r>
          </w:p>
        </w:tc>
        <w:tc>
          <w:tcPr>
            <w:tcW w:w="5795" w:type="dxa"/>
            <w:vAlign w:val="center"/>
          </w:tcPr>
          <w:p w14:paraId="06C03078">
            <w:pPr>
              <w:autoSpaceDE w:val="0"/>
              <w:autoSpaceDN w:val="0"/>
              <w:rPr>
                <w:rFonts w:ascii="宋体" w:hAnsi="宋体" w:cs="宋体"/>
                <w:sz w:val="21"/>
                <w:szCs w:val="21"/>
                <w:highlight w:val="none"/>
              </w:rPr>
            </w:pPr>
            <w:r>
              <w:rPr>
                <w:rFonts w:hint="eastAsia" w:ascii="宋体" w:hAnsi="宋体" w:cs="宋体"/>
                <w:sz w:val="21"/>
                <w:szCs w:val="21"/>
                <w:highlight w:val="none"/>
              </w:rPr>
              <w:sym w:font="Wingdings 2" w:char="0052"/>
            </w:r>
            <w:r>
              <w:rPr>
                <w:rFonts w:hint="eastAsia" w:ascii="宋体" w:hAnsi="宋体" w:cs="宋体"/>
                <w:sz w:val="21"/>
                <w:szCs w:val="21"/>
                <w:highlight w:val="none"/>
              </w:rPr>
              <w:t xml:space="preserve"> 不要求</w:t>
            </w:r>
          </w:p>
        </w:tc>
      </w:tr>
      <w:tr w14:paraId="03545A7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AC579D1">
            <w:pPr>
              <w:autoSpaceDE w:val="0"/>
              <w:autoSpaceDN w:val="0"/>
              <w:jc w:val="center"/>
              <w:rPr>
                <w:rFonts w:ascii="宋体" w:hAnsi="宋体" w:cs="宋体"/>
                <w:szCs w:val="21"/>
                <w:highlight w:val="none"/>
              </w:rPr>
            </w:pPr>
            <w:r>
              <w:rPr>
                <w:rFonts w:hint="eastAsia" w:ascii="宋体" w:hAnsi="宋体" w:cs="宋体"/>
                <w:szCs w:val="21"/>
                <w:highlight w:val="none"/>
              </w:rPr>
              <w:t>2.2.1</w:t>
            </w:r>
          </w:p>
        </w:tc>
        <w:tc>
          <w:tcPr>
            <w:tcW w:w="1666" w:type="dxa"/>
            <w:vAlign w:val="center"/>
          </w:tcPr>
          <w:p w14:paraId="5723D5D1">
            <w:pPr>
              <w:autoSpaceDE w:val="0"/>
              <w:autoSpaceDN w:val="0"/>
              <w:rPr>
                <w:rFonts w:ascii="宋体" w:hAnsi="宋体" w:cs="宋体"/>
                <w:szCs w:val="21"/>
                <w:highlight w:val="none"/>
              </w:rPr>
            </w:pPr>
            <w:r>
              <w:rPr>
                <w:rFonts w:hint="eastAsia" w:ascii="宋体" w:hAnsi="宋体" w:cs="宋体"/>
                <w:szCs w:val="21"/>
                <w:highlight w:val="none"/>
              </w:rPr>
              <w:t>踏勘现场</w:t>
            </w:r>
          </w:p>
        </w:tc>
        <w:tc>
          <w:tcPr>
            <w:tcW w:w="5795" w:type="dxa"/>
            <w:vAlign w:val="center"/>
          </w:tcPr>
          <w:p w14:paraId="03E84A2D">
            <w:pPr>
              <w:autoSpaceDE w:val="0"/>
              <w:autoSpaceDN w:val="0"/>
              <w:rPr>
                <w:rFonts w:ascii="宋体" w:hAnsi="宋体" w:cs="宋体"/>
                <w:sz w:val="21"/>
                <w:szCs w:val="21"/>
                <w:highlight w:val="none"/>
              </w:rPr>
            </w:pPr>
            <w:r>
              <w:rPr>
                <w:rFonts w:hint="eastAsia" w:ascii="宋体" w:hAnsi="宋体" w:cs="宋体"/>
                <w:sz w:val="21"/>
                <w:szCs w:val="21"/>
                <w:highlight w:val="none"/>
              </w:rPr>
              <w:sym w:font="Wingdings 2" w:char="0052"/>
            </w:r>
            <w:r>
              <w:rPr>
                <w:rFonts w:hint="eastAsia" w:ascii="宋体" w:hAnsi="宋体" w:cs="宋体"/>
                <w:sz w:val="21"/>
                <w:szCs w:val="21"/>
                <w:highlight w:val="none"/>
              </w:rPr>
              <w:t xml:space="preserve"> 不组织</w:t>
            </w:r>
          </w:p>
        </w:tc>
      </w:tr>
      <w:tr w14:paraId="0828231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3E47CD1">
            <w:pPr>
              <w:autoSpaceDE w:val="0"/>
              <w:autoSpaceDN w:val="0"/>
              <w:jc w:val="center"/>
              <w:rPr>
                <w:rFonts w:ascii="宋体" w:hAnsi="宋体" w:cs="宋体"/>
                <w:szCs w:val="21"/>
                <w:highlight w:val="none"/>
              </w:rPr>
            </w:pPr>
            <w:r>
              <w:rPr>
                <w:rFonts w:hint="eastAsia" w:ascii="宋体" w:hAnsi="宋体" w:cs="宋体"/>
                <w:szCs w:val="21"/>
                <w:highlight w:val="none"/>
              </w:rPr>
              <w:t>2.3</w:t>
            </w:r>
          </w:p>
        </w:tc>
        <w:tc>
          <w:tcPr>
            <w:tcW w:w="1666" w:type="dxa"/>
            <w:vAlign w:val="center"/>
          </w:tcPr>
          <w:p w14:paraId="70774834">
            <w:pPr>
              <w:autoSpaceDE w:val="0"/>
              <w:autoSpaceDN w:val="0"/>
              <w:rPr>
                <w:rFonts w:ascii="宋体" w:hAnsi="宋体" w:cs="宋体"/>
                <w:szCs w:val="21"/>
                <w:highlight w:val="none"/>
              </w:rPr>
            </w:pPr>
            <w:r>
              <w:rPr>
                <w:rFonts w:hint="eastAsia" w:ascii="宋体" w:hAnsi="宋体" w:cs="宋体"/>
                <w:szCs w:val="21"/>
                <w:highlight w:val="none"/>
              </w:rPr>
              <w:t>投标预备会</w:t>
            </w:r>
          </w:p>
        </w:tc>
        <w:tc>
          <w:tcPr>
            <w:tcW w:w="5795" w:type="dxa"/>
            <w:vAlign w:val="center"/>
          </w:tcPr>
          <w:p w14:paraId="09558E7C">
            <w:pPr>
              <w:autoSpaceDE w:val="0"/>
              <w:autoSpaceDN w:val="0"/>
              <w:rPr>
                <w:rFonts w:ascii="宋体" w:hAnsi="宋体" w:cs="宋体"/>
                <w:sz w:val="21"/>
                <w:szCs w:val="21"/>
                <w:highlight w:val="none"/>
              </w:rPr>
            </w:pPr>
            <w:r>
              <w:rPr>
                <w:rFonts w:hint="eastAsia" w:ascii="宋体" w:hAnsi="宋体" w:cs="宋体"/>
                <w:sz w:val="21"/>
                <w:szCs w:val="21"/>
                <w:highlight w:val="none"/>
              </w:rPr>
              <w:sym w:font="Wingdings 2" w:char="0052"/>
            </w:r>
            <w:r>
              <w:rPr>
                <w:rFonts w:hint="eastAsia" w:ascii="宋体" w:hAnsi="宋体" w:cs="宋体"/>
                <w:sz w:val="21"/>
                <w:szCs w:val="21"/>
                <w:highlight w:val="none"/>
              </w:rPr>
              <w:t>不召开</w:t>
            </w:r>
          </w:p>
        </w:tc>
      </w:tr>
      <w:tr w14:paraId="6D119A7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BFEEBCB">
            <w:pPr>
              <w:autoSpaceDE w:val="0"/>
              <w:autoSpaceDN w:val="0"/>
              <w:jc w:val="center"/>
              <w:rPr>
                <w:rFonts w:ascii="宋体" w:hAnsi="宋体" w:cs="宋体"/>
                <w:szCs w:val="21"/>
                <w:highlight w:val="none"/>
              </w:rPr>
            </w:pPr>
            <w:r>
              <w:rPr>
                <w:rFonts w:hint="eastAsia" w:ascii="宋体" w:hAnsi="宋体" w:cs="宋体"/>
                <w:szCs w:val="21"/>
                <w:highlight w:val="none"/>
              </w:rPr>
              <w:t>2.4.1</w:t>
            </w:r>
          </w:p>
        </w:tc>
        <w:tc>
          <w:tcPr>
            <w:tcW w:w="1666" w:type="dxa"/>
            <w:vAlign w:val="center"/>
          </w:tcPr>
          <w:p w14:paraId="16D23B90">
            <w:pPr>
              <w:autoSpaceDE w:val="0"/>
              <w:autoSpaceDN w:val="0"/>
              <w:rPr>
                <w:rFonts w:ascii="宋体" w:hAnsi="宋体" w:cs="宋体"/>
                <w:szCs w:val="21"/>
                <w:highlight w:val="none"/>
              </w:rPr>
            </w:pPr>
            <w:r>
              <w:rPr>
                <w:rFonts w:hint="eastAsia" w:ascii="宋体" w:hAnsi="宋体" w:cs="宋体"/>
                <w:szCs w:val="21"/>
                <w:highlight w:val="none"/>
              </w:rPr>
              <w:t>投标人提出澄清问题的截止时间和方式</w:t>
            </w:r>
          </w:p>
        </w:tc>
        <w:tc>
          <w:tcPr>
            <w:tcW w:w="5795" w:type="dxa"/>
            <w:vAlign w:val="center"/>
          </w:tcPr>
          <w:p w14:paraId="0EA229C5">
            <w:pPr>
              <w:autoSpaceDE w:val="0"/>
              <w:autoSpaceDN w:val="0"/>
              <w:rPr>
                <w:rFonts w:ascii="宋体" w:hAnsi="宋体" w:cs="宋体"/>
                <w:szCs w:val="21"/>
                <w:highlight w:val="none"/>
              </w:rPr>
            </w:pPr>
            <w:r>
              <w:rPr>
                <w:rFonts w:hint="eastAsia" w:ascii="宋体" w:hAnsi="宋体" w:cs="宋体"/>
                <w:szCs w:val="21"/>
                <w:highlight w:val="none"/>
              </w:rPr>
              <w:t>截止时间：</w:t>
            </w:r>
            <w:r>
              <w:rPr>
                <w:rFonts w:hint="eastAsia" w:ascii="宋体" w:hAnsi="宋体"/>
                <w:szCs w:val="21"/>
                <w:highlight w:val="none"/>
                <w:u w:val="single"/>
              </w:rPr>
              <w:t>【</w:t>
            </w:r>
            <w:r>
              <w:rPr>
                <w:rFonts w:hint="eastAsia" w:ascii="宋体" w:hAnsi="宋体"/>
                <w:szCs w:val="21"/>
                <w:highlight w:val="none"/>
                <w:u w:val="single"/>
                <w:lang w:val="en-US" w:eastAsia="zh-CN"/>
              </w:rPr>
              <w:t>2024</w:t>
            </w:r>
            <w:r>
              <w:rPr>
                <w:rFonts w:hint="eastAsia" w:ascii="宋体" w:hAnsi="宋体"/>
                <w:szCs w:val="21"/>
                <w:highlight w:val="none"/>
                <w:u w:val="single"/>
              </w:rPr>
              <w:t>年</w:t>
            </w:r>
            <w:r>
              <w:rPr>
                <w:rFonts w:hint="eastAsia" w:ascii="宋体" w:hAnsi="宋体"/>
                <w:szCs w:val="21"/>
                <w:highlight w:val="none"/>
                <w:u w:val="single"/>
                <w:lang w:val="en-US" w:eastAsia="zh-CN"/>
              </w:rPr>
              <w:t>08</w:t>
            </w:r>
            <w:r>
              <w:rPr>
                <w:rFonts w:hint="eastAsia" w:ascii="宋体" w:hAnsi="宋体"/>
                <w:szCs w:val="21"/>
                <w:highlight w:val="none"/>
                <w:u w:val="single"/>
              </w:rPr>
              <w:t>月</w:t>
            </w:r>
            <w:r>
              <w:rPr>
                <w:rFonts w:hint="eastAsia" w:ascii="宋体" w:hAnsi="宋体"/>
                <w:szCs w:val="21"/>
                <w:highlight w:val="none"/>
                <w:u w:val="single"/>
                <w:lang w:val="en-US" w:eastAsia="zh-CN"/>
              </w:rPr>
              <w:t>14</w:t>
            </w:r>
            <w:r>
              <w:rPr>
                <w:rFonts w:hint="eastAsia" w:ascii="宋体" w:hAnsi="宋体"/>
                <w:szCs w:val="21"/>
                <w:highlight w:val="none"/>
                <w:u w:val="single"/>
              </w:rPr>
              <w:t>日</w:t>
            </w:r>
            <w:r>
              <w:rPr>
                <w:rFonts w:hint="eastAsia" w:ascii="宋体" w:hAnsi="宋体"/>
                <w:szCs w:val="21"/>
                <w:highlight w:val="none"/>
                <w:u w:val="single"/>
                <w:lang w:val="en-US" w:eastAsia="zh-CN"/>
              </w:rPr>
              <w:t>17</w:t>
            </w:r>
            <w:r>
              <w:rPr>
                <w:rFonts w:hint="eastAsia" w:ascii="宋体" w:hAnsi="宋体"/>
                <w:szCs w:val="21"/>
                <w:highlight w:val="none"/>
                <w:u w:val="single"/>
              </w:rPr>
              <w:t>时</w:t>
            </w:r>
            <w:r>
              <w:rPr>
                <w:rFonts w:hint="eastAsia" w:ascii="宋体" w:hAnsi="宋体"/>
                <w:szCs w:val="21"/>
                <w:highlight w:val="none"/>
                <w:u w:val="single"/>
                <w:lang w:val="en-US" w:eastAsia="zh-CN"/>
              </w:rPr>
              <w:t>00</w:t>
            </w:r>
            <w:r>
              <w:rPr>
                <w:rFonts w:hint="eastAsia" w:ascii="宋体" w:hAnsi="宋体"/>
                <w:szCs w:val="21"/>
                <w:highlight w:val="none"/>
                <w:u w:val="single"/>
              </w:rPr>
              <w:t>分】</w:t>
            </w:r>
          </w:p>
          <w:p w14:paraId="7CDF4642">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提出澄清的方式：</w:t>
            </w:r>
            <w:r>
              <w:rPr>
                <w:rFonts w:hint="eastAsia" w:asciiTheme="minorEastAsia" w:hAnsiTheme="minorEastAsia" w:eastAsiaTheme="minorEastAsia"/>
                <w:szCs w:val="21"/>
                <w:highlight w:val="none"/>
                <w:u w:val="single"/>
              </w:rPr>
              <w:t>【通过中国电信电子采购系统提出</w:t>
            </w:r>
            <w:r>
              <w:rPr>
                <w:rFonts w:asciiTheme="minorEastAsia" w:hAnsiTheme="minorEastAsia" w:eastAsiaTheme="minorEastAsia"/>
                <w:szCs w:val="21"/>
                <w:highlight w:val="none"/>
                <w:u w:val="single"/>
              </w:rPr>
              <w:t>】</w:t>
            </w:r>
          </w:p>
        </w:tc>
      </w:tr>
      <w:tr w14:paraId="5ACA6C8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E5CD3A5">
            <w:pPr>
              <w:autoSpaceDE w:val="0"/>
              <w:autoSpaceDN w:val="0"/>
              <w:jc w:val="center"/>
              <w:rPr>
                <w:rFonts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4.2</w:t>
            </w:r>
          </w:p>
        </w:tc>
        <w:tc>
          <w:tcPr>
            <w:tcW w:w="1666" w:type="dxa"/>
            <w:vAlign w:val="center"/>
          </w:tcPr>
          <w:p w14:paraId="72E5FF0A">
            <w:pPr>
              <w:autoSpaceDE w:val="0"/>
              <w:autoSpaceDN w:val="0"/>
              <w:rPr>
                <w:rFonts w:ascii="宋体" w:hAnsi="宋体" w:cs="宋体"/>
                <w:szCs w:val="21"/>
                <w:highlight w:val="none"/>
              </w:rPr>
            </w:pPr>
            <w:r>
              <w:rPr>
                <w:rFonts w:hint="eastAsia" w:ascii="宋体" w:hAnsi="宋体" w:cs="宋体"/>
                <w:szCs w:val="21"/>
                <w:highlight w:val="none"/>
              </w:rPr>
              <w:t>招标人发出招标文件澄清或者修改的截止时间和方式</w:t>
            </w:r>
          </w:p>
        </w:tc>
        <w:tc>
          <w:tcPr>
            <w:tcW w:w="5795" w:type="dxa"/>
            <w:vAlign w:val="center"/>
          </w:tcPr>
          <w:p w14:paraId="77825DE9">
            <w:pPr>
              <w:autoSpaceDE w:val="0"/>
              <w:autoSpaceDN w:val="0"/>
              <w:rPr>
                <w:rFonts w:ascii="宋体" w:hAnsi="宋体" w:cs="宋体"/>
                <w:szCs w:val="21"/>
                <w:highlight w:val="none"/>
              </w:rPr>
            </w:pPr>
            <w:r>
              <w:rPr>
                <w:rFonts w:hint="eastAsia" w:ascii="宋体" w:hAnsi="宋体" w:cs="宋体"/>
                <w:szCs w:val="21"/>
                <w:highlight w:val="none"/>
              </w:rPr>
              <w:t>截止时间：</w:t>
            </w:r>
            <w:r>
              <w:rPr>
                <w:rFonts w:hint="eastAsia" w:ascii="宋体" w:hAnsi="宋体"/>
                <w:szCs w:val="21"/>
                <w:highlight w:val="none"/>
                <w:u w:val="single"/>
              </w:rPr>
              <w:t>【</w:t>
            </w:r>
            <w:r>
              <w:rPr>
                <w:rFonts w:hint="eastAsia" w:ascii="宋体" w:hAnsi="宋体"/>
                <w:szCs w:val="21"/>
                <w:highlight w:val="none"/>
                <w:u w:val="single"/>
                <w:lang w:val="en-US" w:eastAsia="zh-CN"/>
              </w:rPr>
              <w:t>2024</w:t>
            </w:r>
            <w:r>
              <w:rPr>
                <w:rFonts w:hint="eastAsia" w:ascii="宋体" w:hAnsi="宋体"/>
                <w:szCs w:val="21"/>
                <w:highlight w:val="none"/>
                <w:u w:val="single"/>
              </w:rPr>
              <w:t>年</w:t>
            </w:r>
            <w:r>
              <w:rPr>
                <w:rFonts w:hint="eastAsia" w:ascii="宋体" w:hAnsi="宋体"/>
                <w:szCs w:val="21"/>
                <w:highlight w:val="none"/>
                <w:u w:val="single"/>
                <w:lang w:val="en-US" w:eastAsia="zh-CN"/>
              </w:rPr>
              <w:t>08</w:t>
            </w:r>
            <w:r>
              <w:rPr>
                <w:rFonts w:hint="eastAsia" w:ascii="宋体" w:hAnsi="宋体"/>
                <w:szCs w:val="21"/>
                <w:highlight w:val="none"/>
                <w:u w:val="single"/>
              </w:rPr>
              <w:t>月</w:t>
            </w:r>
            <w:r>
              <w:rPr>
                <w:rFonts w:hint="eastAsia" w:ascii="宋体" w:hAnsi="宋体"/>
                <w:szCs w:val="21"/>
                <w:highlight w:val="none"/>
                <w:u w:val="single"/>
                <w:lang w:val="en-US" w:eastAsia="zh-CN"/>
              </w:rPr>
              <w:t>15</w:t>
            </w:r>
            <w:bookmarkStart w:id="1188" w:name="_GoBack"/>
            <w:bookmarkEnd w:id="1188"/>
            <w:r>
              <w:rPr>
                <w:rFonts w:hint="eastAsia" w:ascii="宋体" w:hAnsi="宋体"/>
                <w:szCs w:val="21"/>
                <w:highlight w:val="none"/>
                <w:u w:val="single"/>
              </w:rPr>
              <w:t>日</w:t>
            </w:r>
            <w:r>
              <w:rPr>
                <w:rFonts w:hint="eastAsia" w:ascii="宋体" w:hAnsi="宋体"/>
                <w:szCs w:val="21"/>
                <w:highlight w:val="none"/>
                <w:u w:val="single"/>
                <w:lang w:val="en-US" w:eastAsia="zh-CN"/>
              </w:rPr>
              <w:t>17</w:t>
            </w:r>
            <w:r>
              <w:rPr>
                <w:rFonts w:hint="eastAsia" w:ascii="宋体" w:hAnsi="宋体"/>
                <w:szCs w:val="21"/>
                <w:highlight w:val="none"/>
                <w:u w:val="single"/>
              </w:rPr>
              <w:t>时</w:t>
            </w:r>
            <w:r>
              <w:rPr>
                <w:rFonts w:hint="eastAsia" w:ascii="宋体" w:hAnsi="宋体"/>
                <w:szCs w:val="21"/>
                <w:highlight w:val="none"/>
                <w:u w:val="single"/>
                <w:lang w:val="en-US" w:eastAsia="zh-CN"/>
              </w:rPr>
              <w:t>00</w:t>
            </w:r>
            <w:r>
              <w:rPr>
                <w:rFonts w:hint="eastAsia" w:ascii="宋体" w:hAnsi="宋体"/>
                <w:szCs w:val="21"/>
                <w:highlight w:val="none"/>
                <w:u w:val="single"/>
              </w:rPr>
              <w:t>分】</w:t>
            </w:r>
            <w:r>
              <w:rPr>
                <w:rFonts w:hint="eastAsia" w:ascii="宋体" w:hAnsi="宋体" w:cs="宋体"/>
                <w:szCs w:val="21"/>
                <w:highlight w:val="none"/>
              </w:rPr>
              <w:t>前</w:t>
            </w:r>
          </w:p>
          <w:p w14:paraId="757E4E65">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发出澄清或者修改的方式：</w:t>
            </w:r>
            <w:r>
              <w:rPr>
                <w:rFonts w:hint="eastAsia" w:asciiTheme="minorEastAsia" w:hAnsiTheme="minorEastAsia" w:eastAsiaTheme="minorEastAsia"/>
                <w:szCs w:val="21"/>
                <w:highlight w:val="none"/>
                <w:u w:val="single"/>
              </w:rPr>
              <w:t>【通过中国电信电子采购系统发出</w:t>
            </w:r>
            <w:r>
              <w:rPr>
                <w:rFonts w:asciiTheme="minorEastAsia" w:hAnsiTheme="minorEastAsia" w:eastAsiaTheme="minorEastAsia"/>
                <w:szCs w:val="21"/>
                <w:highlight w:val="none"/>
                <w:u w:val="single"/>
              </w:rPr>
              <w:t>】</w:t>
            </w:r>
          </w:p>
        </w:tc>
      </w:tr>
      <w:tr w14:paraId="10C3CF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C9418C9">
            <w:pPr>
              <w:autoSpaceDE w:val="0"/>
              <w:autoSpaceDN w:val="0"/>
              <w:jc w:val="center"/>
              <w:rPr>
                <w:rFonts w:ascii="宋体" w:hAnsi="宋体" w:cs="宋体"/>
                <w:szCs w:val="21"/>
                <w:highlight w:val="none"/>
              </w:rPr>
            </w:pPr>
            <w:r>
              <w:rPr>
                <w:rFonts w:hint="eastAsia" w:ascii="宋体" w:hAnsi="宋体" w:cs="宋体"/>
                <w:szCs w:val="21"/>
                <w:highlight w:val="none"/>
              </w:rPr>
              <w:t>2.4.4</w:t>
            </w:r>
          </w:p>
        </w:tc>
        <w:tc>
          <w:tcPr>
            <w:tcW w:w="1666" w:type="dxa"/>
            <w:vAlign w:val="center"/>
          </w:tcPr>
          <w:p w14:paraId="54CA2D1A">
            <w:pPr>
              <w:autoSpaceDE w:val="0"/>
              <w:autoSpaceDN w:val="0"/>
              <w:rPr>
                <w:rFonts w:ascii="宋体" w:hAnsi="宋体" w:cs="宋体"/>
                <w:szCs w:val="21"/>
                <w:highlight w:val="none"/>
              </w:rPr>
            </w:pPr>
            <w:r>
              <w:rPr>
                <w:rFonts w:hint="eastAsia" w:ascii="宋体" w:hAnsi="宋体" w:cs="宋体"/>
                <w:szCs w:val="21"/>
                <w:highlight w:val="none"/>
              </w:rPr>
              <w:t>投标人确认收到澄清或者修改的时间和方式</w:t>
            </w:r>
          </w:p>
        </w:tc>
        <w:tc>
          <w:tcPr>
            <w:tcW w:w="5795" w:type="dxa"/>
            <w:vAlign w:val="center"/>
          </w:tcPr>
          <w:p w14:paraId="110D9358">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投标人收到澄清或修改文件后1日内以</w:t>
            </w:r>
            <w:r>
              <w:rPr>
                <w:rFonts w:hint="eastAsia" w:asciiTheme="minorEastAsia" w:hAnsiTheme="minorEastAsia" w:eastAsiaTheme="minorEastAsia"/>
                <w:szCs w:val="21"/>
                <w:highlight w:val="none"/>
                <w:u w:val="single"/>
              </w:rPr>
              <w:t>书面方式确认（包括中国电信电子采购系统等形式）</w:t>
            </w:r>
          </w:p>
        </w:tc>
      </w:tr>
      <w:tr w14:paraId="7E1183A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16C019C">
            <w:pPr>
              <w:autoSpaceDE w:val="0"/>
              <w:autoSpaceDN w:val="0"/>
              <w:jc w:val="center"/>
              <w:rPr>
                <w:rFonts w:ascii="宋体" w:hAnsi="宋体" w:cs="宋体"/>
                <w:szCs w:val="21"/>
                <w:highlight w:val="none"/>
              </w:rPr>
            </w:pPr>
            <w:r>
              <w:rPr>
                <w:rFonts w:hint="eastAsia" w:ascii="宋体" w:hAnsi="宋体" w:cs="宋体"/>
                <w:szCs w:val="21"/>
                <w:highlight w:val="none"/>
              </w:rPr>
              <w:t>2.5</w:t>
            </w:r>
          </w:p>
        </w:tc>
        <w:tc>
          <w:tcPr>
            <w:tcW w:w="1666" w:type="dxa"/>
            <w:vAlign w:val="center"/>
          </w:tcPr>
          <w:p w14:paraId="1795D0F9">
            <w:pPr>
              <w:autoSpaceDE w:val="0"/>
              <w:autoSpaceDN w:val="0"/>
              <w:rPr>
                <w:rFonts w:ascii="宋体" w:hAnsi="宋体" w:cs="宋体"/>
                <w:szCs w:val="21"/>
                <w:highlight w:val="none"/>
              </w:rPr>
            </w:pPr>
            <w:r>
              <w:rPr>
                <w:rFonts w:hint="eastAsia" w:ascii="宋体" w:hAnsi="宋体" w:cs="宋体"/>
                <w:szCs w:val="21"/>
                <w:highlight w:val="none"/>
              </w:rPr>
              <w:t>招标文件的异议</w:t>
            </w:r>
          </w:p>
        </w:tc>
        <w:tc>
          <w:tcPr>
            <w:tcW w:w="5795" w:type="dxa"/>
            <w:vAlign w:val="center"/>
          </w:tcPr>
          <w:p w14:paraId="0326502D">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潜在投标人或者其他利害关系人对招标文件有异议的，应当在投标截止时间 10 日前【登录中国电信阳光采购网（https://caigou.chinatelecom.com.cn）后，通过“招投标-采购异议-提出异议”模块提出】。招标人将在收到异议之日起 3 日内作出答复；作出答复前，将暂停招标投标活动。已作出明确答复，且无新的事实证据，就同一事项反复提出异议的，不予受理。</w:t>
            </w:r>
          </w:p>
        </w:tc>
      </w:tr>
      <w:tr w14:paraId="593A4C3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DFE00CE">
            <w:pPr>
              <w:autoSpaceDE w:val="0"/>
              <w:autoSpaceDN w:val="0"/>
              <w:jc w:val="center"/>
              <w:rPr>
                <w:rFonts w:ascii="宋体" w:hAnsi="宋体" w:cs="宋体"/>
                <w:szCs w:val="21"/>
                <w:highlight w:val="none"/>
              </w:rPr>
            </w:pPr>
            <w:r>
              <w:rPr>
                <w:rFonts w:hint="eastAsia" w:ascii="宋体" w:hAnsi="宋体" w:cs="宋体"/>
                <w:szCs w:val="21"/>
                <w:highlight w:val="none"/>
              </w:rPr>
              <w:t>3.1</w:t>
            </w:r>
          </w:p>
        </w:tc>
        <w:tc>
          <w:tcPr>
            <w:tcW w:w="1666" w:type="dxa"/>
            <w:vAlign w:val="center"/>
          </w:tcPr>
          <w:p w14:paraId="11B7DC3B">
            <w:pPr>
              <w:autoSpaceDE w:val="0"/>
              <w:autoSpaceDN w:val="0"/>
              <w:rPr>
                <w:rFonts w:ascii="宋体" w:hAnsi="宋体" w:cs="宋体"/>
                <w:szCs w:val="21"/>
                <w:highlight w:val="none"/>
              </w:rPr>
            </w:pPr>
            <w:r>
              <w:rPr>
                <w:rFonts w:hint="eastAsia" w:ascii="宋体" w:hAnsi="宋体" w:cs="宋体"/>
                <w:szCs w:val="21"/>
                <w:highlight w:val="none"/>
              </w:rPr>
              <w:t>投标文件组成</w:t>
            </w:r>
          </w:p>
        </w:tc>
        <w:tc>
          <w:tcPr>
            <w:tcW w:w="5795" w:type="dxa"/>
            <w:vAlign w:val="center"/>
          </w:tcPr>
          <w:p w14:paraId="109D3DF2">
            <w:pPr>
              <w:autoSpaceDE w:val="0"/>
              <w:autoSpaceDN w:val="0"/>
              <w:rPr>
                <w:rFonts w:ascii="宋体" w:hAnsi="宋体" w:cs="宋体"/>
                <w:szCs w:val="21"/>
                <w:highlight w:val="none"/>
              </w:rPr>
            </w:pPr>
            <w:r>
              <w:rPr>
                <w:rFonts w:cs="宋体" w:asciiTheme="minorEastAsia" w:hAnsiTheme="minorEastAsia" w:eastAsiaTheme="minorEastAsia"/>
                <w:szCs w:val="21"/>
                <w:highlight w:val="none"/>
              </w:rPr>
              <w:t>详见第六章</w:t>
            </w:r>
            <w:r>
              <w:rPr>
                <w:rFonts w:hint="eastAsia" w:cs="宋体" w:asciiTheme="minorEastAsia" w:hAnsiTheme="minorEastAsia" w:eastAsiaTheme="minorEastAsia"/>
                <w:szCs w:val="21"/>
                <w:highlight w:val="none"/>
              </w:rPr>
              <w:t xml:space="preserve"> 投标文件格式</w:t>
            </w:r>
          </w:p>
        </w:tc>
      </w:tr>
      <w:tr w14:paraId="23DA625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E085ED6">
            <w:pPr>
              <w:autoSpaceDE w:val="0"/>
              <w:autoSpaceDN w:val="0"/>
              <w:jc w:val="center"/>
              <w:rPr>
                <w:rFonts w:ascii="宋体" w:hAnsi="宋体" w:cs="宋体"/>
                <w:szCs w:val="21"/>
                <w:highlight w:val="none"/>
              </w:rPr>
            </w:pPr>
            <w:r>
              <w:rPr>
                <w:rFonts w:hint="eastAsia" w:ascii="宋体" w:hAnsi="宋体" w:cs="宋体"/>
                <w:szCs w:val="21"/>
                <w:highlight w:val="none"/>
              </w:rPr>
              <w:t>3.2.2</w:t>
            </w:r>
          </w:p>
        </w:tc>
        <w:tc>
          <w:tcPr>
            <w:tcW w:w="1666" w:type="dxa"/>
            <w:vAlign w:val="center"/>
          </w:tcPr>
          <w:p w14:paraId="3700D445">
            <w:pPr>
              <w:autoSpaceDE w:val="0"/>
              <w:autoSpaceDN w:val="0"/>
              <w:rPr>
                <w:rFonts w:ascii="宋体" w:hAnsi="宋体" w:cs="宋体"/>
                <w:szCs w:val="21"/>
                <w:highlight w:val="none"/>
              </w:rPr>
            </w:pPr>
            <w:r>
              <w:rPr>
                <w:rFonts w:hint="eastAsia" w:ascii="宋体" w:hAnsi="宋体" w:cs="宋体"/>
                <w:szCs w:val="21"/>
                <w:highlight w:val="none"/>
              </w:rPr>
              <w:t>投标文件应答和编写</w:t>
            </w:r>
          </w:p>
        </w:tc>
        <w:tc>
          <w:tcPr>
            <w:tcW w:w="5795" w:type="dxa"/>
            <w:vAlign w:val="center"/>
          </w:tcPr>
          <w:p w14:paraId="6D9EBB51">
            <w:pPr>
              <w:autoSpaceDE w:val="0"/>
              <w:autoSpaceDN w:val="0"/>
              <w:rPr>
                <w:rFonts w:ascii="宋体" w:hAnsi="宋体" w:cs="宋体"/>
                <w:szCs w:val="21"/>
                <w:highlight w:val="none"/>
              </w:rPr>
            </w:pPr>
            <w:r>
              <w:rPr>
                <w:rFonts w:hint="eastAsia" w:ascii="宋体" w:hAnsi="宋体" w:cs="宋体"/>
                <w:color w:val="auto"/>
                <w:szCs w:val="21"/>
                <w:highlight w:val="none"/>
              </w:rPr>
              <w:t>本条款增加以下规定：</w:t>
            </w:r>
            <w:r>
              <w:rPr>
                <w:rFonts w:hint="eastAsia" w:asciiTheme="minorEastAsia" w:hAnsiTheme="minorEastAsia" w:eastAsiaTheme="minorEastAsia"/>
                <w:highlight w:val="none"/>
              </w:rPr>
              <w:t>投标人应认真阅读招标文件中所有的事项、格式、条款等。投标人没有按照招标文件要求提交全部资料，或者投标没有对招标文件在各方面都做出实质性响应是投标人的风险，并可能导致其投标被否决。</w:t>
            </w:r>
          </w:p>
        </w:tc>
      </w:tr>
      <w:tr w14:paraId="0B12C76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057E2D0">
            <w:pPr>
              <w:autoSpaceDE w:val="0"/>
              <w:autoSpaceDN w:val="0"/>
              <w:jc w:val="center"/>
              <w:rPr>
                <w:rFonts w:ascii="宋体" w:hAnsi="宋体" w:cs="宋体"/>
                <w:szCs w:val="21"/>
                <w:highlight w:val="none"/>
              </w:rPr>
            </w:pPr>
            <w:r>
              <w:rPr>
                <w:rFonts w:hint="eastAsia" w:ascii="宋体" w:hAnsi="宋体" w:cs="宋体"/>
                <w:szCs w:val="21"/>
                <w:highlight w:val="none"/>
              </w:rPr>
              <w:t>3.2.5</w:t>
            </w:r>
          </w:p>
        </w:tc>
        <w:tc>
          <w:tcPr>
            <w:tcW w:w="1666" w:type="dxa"/>
            <w:vAlign w:val="center"/>
          </w:tcPr>
          <w:p w14:paraId="3E63AEA4">
            <w:pPr>
              <w:autoSpaceDE w:val="0"/>
              <w:autoSpaceDN w:val="0"/>
              <w:rPr>
                <w:rFonts w:ascii="宋体" w:hAnsi="宋体" w:cs="宋体"/>
                <w:szCs w:val="21"/>
                <w:highlight w:val="none"/>
              </w:rPr>
            </w:pPr>
            <w:r>
              <w:rPr>
                <w:rFonts w:hint="eastAsia" w:ascii="宋体" w:hAnsi="宋体" w:cs="宋体"/>
                <w:szCs w:val="21"/>
                <w:highlight w:val="none"/>
              </w:rPr>
              <w:t>电子投标文件的编制</w:t>
            </w:r>
          </w:p>
        </w:tc>
        <w:tc>
          <w:tcPr>
            <w:tcW w:w="5795" w:type="dxa"/>
            <w:vAlign w:val="center"/>
          </w:tcPr>
          <w:p w14:paraId="22EE60C5">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投标人需按照如下要求编制电子投标文件：</w:t>
            </w:r>
          </w:p>
          <w:p w14:paraId="08E021CA">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（1）【电子投标文件需使用专用制作工具编制，投标人需通过中国电信阳光采购网“操作指引-电子采购-驱动和投标文件制作工具下载指引”模块，按指引下载并安装“中国电信投标文件制作工具”。】</w:t>
            </w:r>
          </w:p>
          <w:p w14:paraId="432AF3EB">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（2）投标文件需按照组成部分分别完成编制，单个组成部分大小不超过50Mb，总容量不超过500Mb。</w:t>
            </w:r>
          </w:p>
          <w:p w14:paraId="45CE3F0A">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（3）电子投标文件以及相关证明文件均须清晰可读，明确要求的内容不得遮盖、隐藏，否则视为未提供。</w:t>
            </w:r>
          </w:p>
          <w:p w14:paraId="013DD2E8">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 xml:space="preserve">（4）电子投标文件须使用投标人CA数字证书签章和加密，未按规定签章和加密的电子投标文件无法上传。 </w:t>
            </w:r>
          </w:p>
          <w:p w14:paraId="7E953D04">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（5）需投标人与其他第三方共同签字盖章的文件、需联合体各方签字盖章的文件，投标人与其他第三方均应按文件要求进行签字盖章，并上传扫描件，如制造商授权函、联合体协议书等；</w:t>
            </w:r>
          </w:p>
          <w:p w14:paraId="656FC32D">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仅需第三方签字盖章的文件，投标人应上传经第三方签字盖章后的扫描件，如要求制造商单独提供的供应商网络信息安全承诺书等；</w:t>
            </w:r>
          </w:p>
          <w:p w14:paraId="2E268543">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解密成功的投标文件中，仅需投标人签字盖章的文件，视为已按招标文件要求进行了签字盖章。</w:t>
            </w:r>
          </w:p>
          <w:p w14:paraId="07CA1203">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6）投标产品制造商注册地在中华人民共和国境外（与中华人民共和国有正常贸易与往来的国家或地区）及香港、澳门、台湾地区，必须使用代理商投标和签订销售合同且无法加盖单位公章的，投标文件中需制造商出具的文件应由有签署权的代表签字确认，并提供委托签署权的相关证明材料。</w:t>
            </w:r>
          </w:p>
          <w:p w14:paraId="6BE708CC">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7）投标保证金（如有）以支票、汇票、投标保函、保险等形式递交的，必须递交纸质原件（采用线上开具的情况除外，如：电子保险），且应密封装于独立的信封内，信封上标明“投标保证金”字样，并在封口处加盖单位公章或投标专用章的骑缝章。</w:t>
            </w:r>
          </w:p>
          <w:p w14:paraId="623CB127">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（8）如业绩等证明文件超出电子投标文件单个组成部分大小限制，须按下方操作：</w:t>
            </w:r>
          </w:p>
          <w:p w14:paraId="7E859251">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hAnsi="宋体"/>
                <w:highlight w:val="none"/>
              </w:rPr>
            </w:pPr>
            <w:r>
              <w:rPr>
                <w:rFonts w:hint="eastAsia" w:hAnsi="宋体"/>
                <w:highlight w:val="none"/>
              </w:rPr>
              <w:t>①投标人须在“中国电信投标文件制作工具”中对应文件位置上传业绩情况表及说明等文件，说明中必须包含“该证明文件超过50Mb，我方承诺在电子采购系统上递交的大附件为真实有效的文件”。</w:t>
            </w:r>
          </w:p>
          <w:p w14:paraId="23F077AC">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ascii="宋体" w:hAnsi="宋体"/>
                <w:szCs w:val="21"/>
                <w:highlight w:val="none"/>
              </w:rPr>
            </w:pPr>
            <w:r>
              <w:rPr>
                <w:rFonts w:hint="eastAsia" w:hAnsi="宋体"/>
                <w:highlight w:val="none"/>
              </w:rPr>
              <w:t>②该证明文件通过中国电信电子采购系统“投标文件递交-04大附件上传”进行提交。</w:t>
            </w:r>
          </w:p>
        </w:tc>
      </w:tr>
      <w:tr w14:paraId="0AB8082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7EDC976">
            <w:pPr>
              <w:autoSpaceDE w:val="0"/>
              <w:autoSpaceDN w:val="0"/>
              <w:jc w:val="center"/>
              <w:rPr>
                <w:rFonts w:ascii="宋体" w:hAnsi="宋体" w:cs="宋体"/>
                <w:szCs w:val="21"/>
                <w:highlight w:val="none"/>
              </w:rPr>
            </w:pPr>
            <w:r>
              <w:rPr>
                <w:rFonts w:hint="eastAsia" w:ascii="宋体" w:hAnsi="宋体" w:cs="宋体"/>
                <w:szCs w:val="21"/>
                <w:highlight w:val="none"/>
              </w:rPr>
              <w:t>3.3.3</w:t>
            </w:r>
          </w:p>
        </w:tc>
        <w:tc>
          <w:tcPr>
            <w:tcW w:w="1666" w:type="dxa"/>
            <w:vAlign w:val="center"/>
          </w:tcPr>
          <w:p w14:paraId="702D48F0">
            <w:pPr>
              <w:autoSpaceDE w:val="0"/>
              <w:autoSpaceDN w:val="0"/>
              <w:rPr>
                <w:rFonts w:ascii="宋体" w:hAnsi="宋体" w:cs="宋体"/>
                <w:szCs w:val="21"/>
                <w:highlight w:val="none"/>
              </w:rPr>
            </w:pPr>
            <w:r>
              <w:rPr>
                <w:rFonts w:hint="eastAsia" w:ascii="宋体" w:hAnsi="宋体"/>
                <w:highlight w:val="none"/>
              </w:rPr>
              <w:t>最高投标限价或者其计算方法</w:t>
            </w:r>
          </w:p>
        </w:tc>
        <w:tc>
          <w:tcPr>
            <w:tcW w:w="5795" w:type="dxa"/>
            <w:vAlign w:val="center"/>
          </w:tcPr>
          <w:p w14:paraId="44E28DF5">
            <w:pPr>
              <w:autoSpaceDE w:val="0"/>
              <w:autoSpaceDN w:val="0"/>
              <w:rPr>
                <w:rFonts w:hint="default" w:ascii="宋体" w:hAnsi="宋体" w:cs="宋体" w:eastAsiaTheme="minorEastAsia"/>
                <w:szCs w:val="21"/>
                <w:highlight w:val="none"/>
                <w:u w:val="single"/>
                <w:lang w:val="en-US" w:eastAsia="zh-CN"/>
              </w:rPr>
            </w:pPr>
            <w:r>
              <w:rPr>
                <w:rFonts w:hint="eastAsia" w:ascii="宋体" w:hAnsi="宋体" w:cs="宋体"/>
                <w:szCs w:val="21"/>
                <w:highlight w:val="none"/>
              </w:rPr>
              <w:sym w:font="Wingdings 2" w:char="0052"/>
            </w:r>
            <w:r>
              <w:rPr>
                <w:rFonts w:hint="eastAsia" w:cs="宋体" w:asciiTheme="minorEastAsia" w:hAnsiTheme="minorEastAsia" w:eastAsiaTheme="minorEastAsia"/>
                <w:szCs w:val="21"/>
                <w:highlight w:val="none"/>
              </w:rPr>
              <w:t>设置最高投标限价</w:t>
            </w:r>
            <w:r>
              <w:rPr>
                <w:rFonts w:hint="eastAsia" w:cs="宋体" w:asciiTheme="minorEastAsia" w:hAnsiTheme="minorEastAsia" w:eastAsiaTheme="minorEastAsia"/>
                <w:szCs w:val="21"/>
                <w:highlight w:val="none"/>
                <w:lang w:eastAsia="zh-CN"/>
              </w:rPr>
              <w:t>，</w:t>
            </w:r>
            <w:r>
              <w:rPr>
                <w:rFonts w:hint="eastAsia" w:cs="宋体" w:asciiTheme="minorEastAsia" w:hAnsiTheme="minorEastAsia" w:eastAsiaTheme="minorEastAsia"/>
                <w:szCs w:val="21"/>
                <w:highlight w:val="none"/>
              </w:rPr>
              <w:t>最高投标限价详见</w:t>
            </w: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招标公告”</w:t>
            </w:r>
          </w:p>
        </w:tc>
      </w:tr>
      <w:tr w14:paraId="34833C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228081E">
            <w:pPr>
              <w:autoSpaceDE w:val="0"/>
              <w:autoSpaceDN w:val="0"/>
              <w:jc w:val="center"/>
              <w:rPr>
                <w:rFonts w:ascii="宋体" w:hAnsi="宋体" w:cs="宋体"/>
                <w:szCs w:val="21"/>
                <w:highlight w:val="none"/>
              </w:rPr>
            </w:pPr>
            <w:r>
              <w:rPr>
                <w:rFonts w:hint="eastAsia" w:ascii="宋体" w:hAnsi="宋体" w:cs="宋体"/>
                <w:szCs w:val="21"/>
                <w:highlight w:val="none"/>
              </w:rPr>
              <w:t>3.3.5</w:t>
            </w:r>
          </w:p>
        </w:tc>
        <w:tc>
          <w:tcPr>
            <w:tcW w:w="1666" w:type="dxa"/>
            <w:vAlign w:val="center"/>
          </w:tcPr>
          <w:p w14:paraId="7556D726">
            <w:pPr>
              <w:autoSpaceDE w:val="0"/>
              <w:autoSpaceDN w:val="0"/>
              <w:rPr>
                <w:rFonts w:ascii="宋体" w:hAnsi="宋体" w:cs="宋体"/>
                <w:szCs w:val="21"/>
                <w:highlight w:val="none"/>
              </w:rPr>
            </w:pPr>
            <w:r>
              <w:rPr>
                <w:rFonts w:hint="eastAsia" w:ascii="宋体" w:hAnsi="宋体" w:cs="宋体"/>
                <w:szCs w:val="21"/>
                <w:highlight w:val="none"/>
              </w:rPr>
              <w:t>投标报价</w:t>
            </w:r>
            <w:r>
              <w:rPr>
                <w:rFonts w:hint="eastAsia" w:ascii="宋体" w:hAnsi="宋体"/>
                <w:highlight w:val="none"/>
              </w:rPr>
              <w:t>优惠条件</w:t>
            </w:r>
          </w:p>
        </w:tc>
        <w:tc>
          <w:tcPr>
            <w:tcW w:w="5795" w:type="dxa"/>
            <w:vAlign w:val="center"/>
          </w:tcPr>
          <w:p w14:paraId="08BB3F31">
            <w:pPr>
              <w:autoSpaceDE w:val="0"/>
              <w:autoSpaceDN w:val="0"/>
              <w:rPr>
                <w:rFonts w:ascii="宋体" w:hAnsi="宋体" w:cs="宋体"/>
                <w:szCs w:val="21"/>
                <w:highlight w:val="none"/>
                <w:u w:val="single"/>
              </w:rPr>
            </w:pPr>
            <w:r>
              <w:rPr>
                <w:rFonts w:hint="eastAsia" w:ascii="宋体" w:hAnsi="宋体" w:cs="宋体"/>
                <w:szCs w:val="21"/>
                <w:highlight w:val="none"/>
              </w:rPr>
              <w:sym w:font="Wingdings 2" w:char="0052"/>
            </w:r>
            <w:r>
              <w:rPr>
                <w:rFonts w:hint="eastAsia" w:ascii="宋体" w:hAnsi="宋体" w:cs="宋体"/>
                <w:szCs w:val="21"/>
                <w:highlight w:val="none"/>
              </w:rPr>
              <w:t>不接受报优惠价</w:t>
            </w:r>
          </w:p>
        </w:tc>
      </w:tr>
      <w:tr w14:paraId="78B6C14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5CFBF97">
            <w:pPr>
              <w:autoSpaceDE w:val="0"/>
              <w:autoSpaceDN w:val="0"/>
              <w:jc w:val="center"/>
              <w:rPr>
                <w:rFonts w:ascii="宋体" w:hAnsi="宋体" w:cs="宋体"/>
                <w:szCs w:val="21"/>
                <w:highlight w:val="none"/>
              </w:rPr>
            </w:pPr>
            <w:r>
              <w:rPr>
                <w:rFonts w:hint="eastAsia" w:ascii="宋体" w:hAnsi="宋体" w:cs="宋体"/>
                <w:szCs w:val="21"/>
                <w:highlight w:val="none"/>
              </w:rPr>
              <w:t>3.3.6</w:t>
            </w:r>
          </w:p>
        </w:tc>
        <w:tc>
          <w:tcPr>
            <w:tcW w:w="1666" w:type="dxa"/>
            <w:vAlign w:val="center"/>
          </w:tcPr>
          <w:p w14:paraId="5E8B7D6F">
            <w:pPr>
              <w:autoSpaceDE w:val="0"/>
              <w:autoSpaceDN w:val="0"/>
              <w:rPr>
                <w:rFonts w:ascii="宋体" w:hAnsi="宋体" w:cs="宋体"/>
                <w:szCs w:val="21"/>
                <w:highlight w:val="none"/>
              </w:rPr>
            </w:pPr>
            <w:r>
              <w:rPr>
                <w:rFonts w:hint="eastAsia" w:ascii="宋体" w:hAnsi="宋体" w:cs="宋体"/>
                <w:szCs w:val="21"/>
                <w:highlight w:val="none"/>
              </w:rPr>
              <w:t>投标报价具体要求</w:t>
            </w:r>
          </w:p>
        </w:tc>
        <w:tc>
          <w:tcPr>
            <w:tcW w:w="5795" w:type="dxa"/>
            <w:vAlign w:val="center"/>
          </w:tcPr>
          <w:p w14:paraId="73BDE494">
            <w:pPr>
              <w:autoSpaceDE w:val="0"/>
              <w:autoSpaceDN w:val="0"/>
              <w:rPr>
                <w:rFonts w:ascii="宋体" w:hAnsi="宋体" w:cs="宋体"/>
                <w:szCs w:val="21"/>
                <w:highlight w:val="none"/>
              </w:rPr>
            </w:pPr>
            <w:r>
              <w:rPr>
                <w:rFonts w:cs="宋体" w:asciiTheme="minorEastAsia" w:hAnsiTheme="minorEastAsia" w:eastAsiaTheme="minorEastAsia"/>
                <w:szCs w:val="21"/>
                <w:highlight w:val="none"/>
              </w:rPr>
              <w:t>详见投标一览表</w:t>
            </w:r>
            <w:r>
              <w:rPr>
                <w:rFonts w:hint="eastAsia" w:cs="宋体" w:asciiTheme="minorEastAsia" w:hAnsiTheme="minorEastAsia" w:eastAsiaTheme="minorEastAsia"/>
                <w:szCs w:val="21"/>
                <w:highlight w:val="none"/>
              </w:rPr>
              <w:t>及分项报价表。</w:t>
            </w:r>
          </w:p>
        </w:tc>
      </w:tr>
      <w:tr w14:paraId="48298D9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89D6549">
            <w:pPr>
              <w:autoSpaceDE w:val="0"/>
              <w:autoSpaceDN w:val="0"/>
              <w:jc w:val="center"/>
              <w:rPr>
                <w:rFonts w:ascii="宋体" w:hAnsi="宋体" w:cs="宋体"/>
                <w:szCs w:val="21"/>
                <w:highlight w:val="none"/>
              </w:rPr>
            </w:pPr>
            <w:r>
              <w:rPr>
                <w:rFonts w:hint="eastAsia" w:ascii="宋体" w:hAnsi="宋体" w:cs="宋体"/>
                <w:szCs w:val="21"/>
                <w:highlight w:val="none"/>
              </w:rPr>
              <w:t>3.4.1</w:t>
            </w:r>
          </w:p>
        </w:tc>
        <w:tc>
          <w:tcPr>
            <w:tcW w:w="1666" w:type="dxa"/>
            <w:vAlign w:val="center"/>
          </w:tcPr>
          <w:p w14:paraId="34B1D8B3">
            <w:pPr>
              <w:autoSpaceDE w:val="0"/>
              <w:autoSpaceDN w:val="0"/>
              <w:rPr>
                <w:rFonts w:ascii="宋体" w:hAnsi="宋体" w:cs="宋体"/>
                <w:szCs w:val="21"/>
                <w:highlight w:val="none"/>
              </w:rPr>
            </w:pPr>
            <w:r>
              <w:rPr>
                <w:rFonts w:hint="eastAsia" w:ascii="宋体" w:hAnsi="宋体" w:cs="宋体"/>
                <w:szCs w:val="21"/>
                <w:highlight w:val="none"/>
              </w:rPr>
              <w:t>投标有效期</w:t>
            </w:r>
          </w:p>
        </w:tc>
        <w:tc>
          <w:tcPr>
            <w:tcW w:w="5795" w:type="dxa"/>
            <w:vAlign w:val="center"/>
          </w:tcPr>
          <w:p w14:paraId="09A2D3EB">
            <w:pPr>
              <w:autoSpaceDE w:val="0"/>
              <w:autoSpaceDN w:val="0"/>
              <w:rPr>
                <w:rFonts w:ascii="宋体" w:hAnsi="宋体" w:cs="宋体"/>
                <w:szCs w:val="21"/>
                <w:highlight w:val="none"/>
              </w:rPr>
            </w:pPr>
            <w:r>
              <w:rPr>
                <w:rFonts w:hint="eastAsia" w:ascii="宋体" w:hAnsi="宋体" w:cs="宋体"/>
                <w:szCs w:val="21"/>
                <w:highlight w:val="none"/>
              </w:rPr>
              <w:t>投标有效期：</w:t>
            </w:r>
            <w:r>
              <w:rPr>
                <w:rFonts w:hint="eastAsia" w:ascii="宋体" w:hAnsi="宋体"/>
                <w:szCs w:val="21"/>
                <w:highlight w:val="none"/>
                <w:u w:val="single"/>
                <w:lang w:val="en-US" w:eastAsia="zh-CN"/>
              </w:rPr>
              <w:t>120</w:t>
            </w:r>
            <w:r>
              <w:rPr>
                <w:rFonts w:hint="eastAsia" w:ascii="宋体" w:hAnsi="宋体" w:cs="宋体"/>
                <w:szCs w:val="21"/>
                <w:highlight w:val="none"/>
              </w:rPr>
              <w:t>天</w:t>
            </w:r>
          </w:p>
        </w:tc>
      </w:tr>
      <w:tr w14:paraId="7B8B758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5FD586F">
            <w:pPr>
              <w:autoSpaceDE w:val="0"/>
              <w:autoSpaceDN w:val="0"/>
              <w:jc w:val="center"/>
              <w:rPr>
                <w:rFonts w:ascii="宋体" w:hAnsi="宋体" w:cs="宋体"/>
                <w:szCs w:val="21"/>
                <w:highlight w:val="none"/>
              </w:rPr>
            </w:pPr>
            <w:r>
              <w:rPr>
                <w:rFonts w:hint="eastAsia" w:ascii="宋体" w:hAnsi="宋体" w:cs="宋体"/>
                <w:szCs w:val="21"/>
                <w:highlight w:val="none"/>
              </w:rPr>
              <w:t>3.5.1</w:t>
            </w:r>
          </w:p>
        </w:tc>
        <w:tc>
          <w:tcPr>
            <w:tcW w:w="1666" w:type="dxa"/>
            <w:vAlign w:val="center"/>
          </w:tcPr>
          <w:p w14:paraId="31B291AC">
            <w:pPr>
              <w:autoSpaceDE w:val="0"/>
              <w:autoSpaceDN w:val="0"/>
              <w:rPr>
                <w:rFonts w:ascii="宋体" w:hAnsi="宋体" w:cs="宋体"/>
                <w:szCs w:val="21"/>
                <w:highlight w:val="none"/>
              </w:rPr>
            </w:pPr>
            <w:r>
              <w:rPr>
                <w:rFonts w:hint="eastAsia" w:ascii="宋体" w:hAnsi="宋体" w:cs="宋体"/>
                <w:szCs w:val="21"/>
                <w:highlight w:val="none"/>
              </w:rPr>
              <w:t>投标保证金</w:t>
            </w:r>
          </w:p>
        </w:tc>
        <w:tc>
          <w:tcPr>
            <w:tcW w:w="5795" w:type="dxa"/>
            <w:vAlign w:val="center"/>
          </w:tcPr>
          <w:p w14:paraId="437FA078">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要求递交投标保证金，投标保证金金额：</w:t>
            </w:r>
            <w:r>
              <w:rPr>
                <w:rFonts w:hint="eastAsia" w:ascii="宋体" w:hAnsi="宋体"/>
                <w:szCs w:val="21"/>
                <w:highlight w:val="none"/>
                <w:u w:val="single"/>
              </w:rPr>
              <w:t>【</w:t>
            </w:r>
            <w:r>
              <w:rPr>
                <w:rFonts w:hint="eastAsia" w:ascii="宋体" w:hAnsi="宋体" w:cs="宋体"/>
                <w:szCs w:val="21"/>
                <w:highlight w:val="none"/>
                <w:u w:val="single"/>
              </w:rPr>
              <w:t>人民币</w:t>
            </w:r>
            <w:r>
              <w:rPr>
                <w:rFonts w:hint="eastAsia" w:ascii="宋体" w:hAnsi="宋体" w:cs="宋体"/>
                <w:szCs w:val="21"/>
                <w:highlight w:val="none"/>
                <w:u w:val="single"/>
                <w:lang w:val="en-US" w:eastAsia="zh-CN"/>
              </w:rPr>
              <w:t>贰万捌仟元整</w:t>
            </w:r>
            <w:r>
              <w:rPr>
                <w:rFonts w:hint="eastAsia" w:ascii="宋体" w:hAnsi="宋体"/>
                <w:szCs w:val="21"/>
                <w:highlight w:val="none"/>
                <w:u w:val="single"/>
              </w:rPr>
              <w:t>】</w:t>
            </w:r>
          </w:p>
        </w:tc>
      </w:tr>
      <w:tr w14:paraId="240E24A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CCF2562">
            <w:pPr>
              <w:autoSpaceDE w:val="0"/>
              <w:autoSpaceDN w:val="0"/>
              <w:jc w:val="center"/>
              <w:rPr>
                <w:rFonts w:ascii="宋体" w:hAnsi="宋体" w:cs="宋体"/>
                <w:szCs w:val="21"/>
                <w:highlight w:val="none"/>
              </w:rPr>
            </w:pPr>
            <w:r>
              <w:rPr>
                <w:rFonts w:hint="eastAsia" w:ascii="宋体" w:hAnsi="宋体" w:cs="宋体"/>
                <w:szCs w:val="21"/>
                <w:highlight w:val="none"/>
              </w:rPr>
              <w:t>3.5</w:t>
            </w:r>
            <w:r>
              <w:rPr>
                <w:rFonts w:ascii="宋体" w:hAnsi="宋体" w:cs="宋体"/>
                <w:szCs w:val="21"/>
                <w:highlight w:val="none"/>
              </w:rPr>
              <w:t>.</w:t>
            </w:r>
            <w:r>
              <w:rPr>
                <w:rFonts w:hint="eastAsia" w:ascii="宋体" w:hAnsi="宋体" w:cs="宋体"/>
                <w:szCs w:val="21"/>
                <w:highlight w:val="none"/>
              </w:rPr>
              <w:t>2</w:t>
            </w:r>
          </w:p>
        </w:tc>
        <w:tc>
          <w:tcPr>
            <w:tcW w:w="1666" w:type="dxa"/>
            <w:vAlign w:val="center"/>
          </w:tcPr>
          <w:p w14:paraId="62E0B653">
            <w:pPr>
              <w:autoSpaceDE w:val="0"/>
              <w:autoSpaceDN w:val="0"/>
              <w:rPr>
                <w:rFonts w:ascii="宋体" w:hAnsi="宋体" w:cs="宋体"/>
                <w:szCs w:val="21"/>
                <w:highlight w:val="none"/>
              </w:rPr>
            </w:pPr>
            <w:r>
              <w:rPr>
                <w:rFonts w:hint="eastAsia" w:ascii="宋体" w:hAnsi="宋体" w:cs="宋体"/>
                <w:szCs w:val="21"/>
                <w:highlight w:val="none"/>
              </w:rPr>
              <w:t>投标保证金形式</w:t>
            </w:r>
          </w:p>
        </w:tc>
        <w:tc>
          <w:tcPr>
            <w:tcW w:w="5795" w:type="dxa"/>
            <w:vAlign w:val="center"/>
          </w:tcPr>
          <w:p w14:paraId="4DD02FCE">
            <w:pPr>
              <w:autoSpaceDE w:val="0"/>
              <w:autoSpaceDN w:val="0"/>
              <w:rPr>
                <w:rFonts w:cs="宋体" w:asciiTheme="minorEastAsia" w:hAnsiTheme="minorEastAsia" w:eastAsiaTheme="minorEastAsia"/>
                <w:szCs w:val="21"/>
                <w:highlight w:val="none"/>
              </w:rPr>
            </w:pPr>
            <w:r>
              <w:rPr>
                <w:rFonts w:hint="eastAsia" w:asciiTheme="minorEastAsia" w:hAnsiTheme="minorEastAsia" w:eastAsiaTheme="minorEastAsia"/>
                <w:highlight w:val="none"/>
              </w:rPr>
              <w:t>投标保证金形式包括在中国注册的银行出具的银行保函、银行汇款、支票、汇票以及其他在中国注册的机构依法出具的投标保函、保险等，以银行汇款、支票、汇票等形式提交的投标保证金应当从投标人账户转出（依法必须招标项目应当从投标人基本账户转出）</w:t>
            </w:r>
          </w:p>
          <w:p w14:paraId="2903D928">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以银行汇款等形式提交投标保证金的，投标保证金缴纳至如下账户：</w:t>
            </w:r>
          </w:p>
          <w:p w14:paraId="1BCC3A44">
            <w:pPr>
              <w:autoSpaceDE w:val="0"/>
              <w:autoSpaceDN w:val="0"/>
              <w:rPr>
                <w:rFonts w:ascii="宋体" w:hAnsi="宋体" w:cs="宋体"/>
                <w:sz w:val="21"/>
                <w:szCs w:val="21"/>
                <w:highlight w:val="none"/>
              </w:rPr>
            </w:pPr>
            <w:r>
              <w:rPr>
                <w:rFonts w:hint="eastAsia" w:ascii="宋体" w:hAnsi="宋体" w:cs="宋体"/>
                <w:sz w:val="21"/>
                <w:szCs w:val="21"/>
                <w:highlight w:val="none"/>
              </w:rPr>
              <w:t>开户行：中信银行武汉分行营业部</w:t>
            </w:r>
          </w:p>
          <w:p w14:paraId="44614C3B">
            <w:pPr>
              <w:autoSpaceDE w:val="0"/>
              <w:autoSpaceDN w:val="0"/>
              <w:rPr>
                <w:rFonts w:ascii="宋体" w:hAnsi="宋体" w:cs="宋体"/>
                <w:sz w:val="21"/>
                <w:szCs w:val="21"/>
                <w:highlight w:val="none"/>
              </w:rPr>
            </w:pPr>
            <w:r>
              <w:rPr>
                <w:rFonts w:hint="eastAsia" w:ascii="宋体" w:hAnsi="宋体" w:cs="宋体"/>
                <w:sz w:val="21"/>
                <w:szCs w:val="21"/>
                <w:highlight w:val="none"/>
              </w:rPr>
              <w:t>户名：湖北信通通信有限公司</w:t>
            </w:r>
          </w:p>
          <w:p w14:paraId="22E5E4E9">
            <w:pPr>
              <w:autoSpaceDE w:val="0"/>
              <w:autoSpaceDN w:val="0"/>
              <w:rPr>
                <w:rFonts w:ascii="宋体" w:hAnsi="宋体" w:cs="宋体"/>
                <w:szCs w:val="21"/>
                <w:highlight w:val="none"/>
              </w:rPr>
            </w:pPr>
            <w:r>
              <w:rPr>
                <w:rFonts w:hint="eastAsia" w:ascii="宋体" w:hAnsi="宋体" w:cs="宋体"/>
                <w:szCs w:val="21"/>
                <w:highlight w:val="none"/>
              </w:rPr>
              <w:t>账号：3111530018410013514</w:t>
            </w:r>
          </w:p>
          <w:p w14:paraId="489F2F76">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以银行保函、</w:t>
            </w:r>
            <w:r>
              <w:rPr>
                <w:rFonts w:hint="eastAsia" w:asciiTheme="minorEastAsia" w:hAnsiTheme="minorEastAsia" w:eastAsiaTheme="minorEastAsia"/>
                <w:highlight w:val="none"/>
              </w:rPr>
              <w:t>投标保函、保险</w:t>
            </w:r>
            <w:r>
              <w:rPr>
                <w:rFonts w:hint="eastAsia" w:cs="宋体" w:asciiTheme="minorEastAsia" w:hAnsiTheme="minorEastAsia" w:eastAsiaTheme="minorEastAsia"/>
                <w:szCs w:val="21"/>
                <w:highlight w:val="none"/>
              </w:rPr>
              <w:t>形式提交投标保证金的，保函、保险中应当写明受益人为[招标人]，担保项目为[招标项目名称]，担保有效期应覆盖投标有效期。保函、保险等原件应作为投标文件在投标截止时间前提交到：湖北省武汉市江岸区惠济路10号湖北信通通信有限公司，收件人：梅娟，18771012618</w:t>
            </w:r>
            <w:r>
              <w:rPr>
                <w:rFonts w:hint="eastAsia" w:ascii="宋体" w:hAnsi="宋体" w:cs="宋体"/>
                <w:szCs w:val="21"/>
                <w:highlight w:val="none"/>
              </w:rPr>
              <w:t>。</w:t>
            </w:r>
          </w:p>
        </w:tc>
      </w:tr>
      <w:tr w14:paraId="00B60A2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85249E7">
            <w:pPr>
              <w:autoSpaceDE w:val="0"/>
              <w:autoSpaceDN w:val="0"/>
              <w:jc w:val="center"/>
              <w:rPr>
                <w:rFonts w:ascii="宋体" w:hAnsi="宋体" w:cs="宋体"/>
                <w:szCs w:val="21"/>
                <w:highlight w:val="none"/>
              </w:rPr>
            </w:pPr>
            <w:r>
              <w:rPr>
                <w:rFonts w:hint="eastAsia" w:ascii="宋体" w:hAnsi="宋体" w:cs="宋体"/>
                <w:szCs w:val="21"/>
                <w:highlight w:val="none"/>
              </w:rPr>
              <w:t>3.5.4</w:t>
            </w:r>
          </w:p>
        </w:tc>
        <w:tc>
          <w:tcPr>
            <w:tcW w:w="1666" w:type="dxa"/>
            <w:vAlign w:val="center"/>
          </w:tcPr>
          <w:p w14:paraId="3BDB907C">
            <w:pPr>
              <w:autoSpaceDE w:val="0"/>
              <w:autoSpaceDN w:val="0"/>
              <w:rPr>
                <w:rFonts w:ascii="宋体" w:hAnsi="宋体" w:cs="宋体"/>
                <w:szCs w:val="21"/>
                <w:highlight w:val="none"/>
              </w:rPr>
            </w:pPr>
            <w:r>
              <w:rPr>
                <w:rFonts w:hint="eastAsia" w:ascii="宋体" w:hAnsi="宋体" w:cs="宋体"/>
                <w:szCs w:val="21"/>
                <w:highlight w:val="none"/>
              </w:rPr>
              <w:t>投标保证金不予退还的其他规定</w:t>
            </w:r>
          </w:p>
        </w:tc>
        <w:tc>
          <w:tcPr>
            <w:tcW w:w="5795" w:type="dxa"/>
            <w:vAlign w:val="center"/>
          </w:tcPr>
          <w:p w14:paraId="5EA1B3DD">
            <w:pPr>
              <w:autoSpaceDE w:val="0"/>
              <w:autoSpaceDN w:val="0"/>
              <w:rPr>
                <w:rFonts w:ascii="宋体" w:hAnsi="宋体" w:cs="宋体"/>
                <w:szCs w:val="21"/>
                <w:highlight w:val="none"/>
              </w:rPr>
            </w:pPr>
            <w:r>
              <w:rPr>
                <w:rFonts w:hint="eastAsia" w:ascii="宋体" w:hAnsi="宋体"/>
                <w:szCs w:val="21"/>
                <w:highlight w:val="none"/>
              </w:rPr>
              <w:t>无</w:t>
            </w:r>
          </w:p>
        </w:tc>
      </w:tr>
      <w:tr w14:paraId="2E95EF2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EEED003">
            <w:pPr>
              <w:autoSpaceDE w:val="0"/>
              <w:autoSpaceDN w:val="0"/>
              <w:jc w:val="center"/>
              <w:rPr>
                <w:rFonts w:ascii="宋体" w:hAnsi="宋体" w:cs="宋体"/>
                <w:szCs w:val="21"/>
                <w:highlight w:val="none"/>
              </w:rPr>
            </w:pPr>
            <w:r>
              <w:rPr>
                <w:rFonts w:hint="eastAsia" w:ascii="宋体" w:hAnsi="宋体" w:cs="宋体"/>
                <w:szCs w:val="21"/>
                <w:highlight w:val="none"/>
              </w:rPr>
              <w:t>3.6.1</w:t>
            </w:r>
          </w:p>
        </w:tc>
        <w:tc>
          <w:tcPr>
            <w:tcW w:w="1666" w:type="dxa"/>
            <w:vAlign w:val="center"/>
          </w:tcPr>
          <w:p w14:paraId="1E0ED12D">
            <w:pPr>
              <w:autoSpaceDE w:val="0"/>
              <w:autoSpaceDN w:val="0"/>
              <w:rPr>
                <w:rFonts w:ascii="宋体" w:hAnsi="宋体" w:cs="宋体"/>
                <w:szCs w:val="21"/>
                <w:highlight w:val="none"/>
              </w:rPr>
            </w:pPr>
            <w:r>
              <w:rPr>
                <w:rFonts w:hint="eastAsia" w:ascii="宋体" w:hAnsi="宋体" w:cs="宋体"/>
                <w:szCs w:val="21"/>
                <w:highlight w:val="none"/>
              </w:rPr>
              <w:t>备选投标方案</w:t>
            </w:r>
          </w:p>
        </w:tc>
        <w:tc>
          <w:tcPr>
            <w:tcW w:w="5795" w:type="dxa"/>
            <w:vAlign w:val="center"/>
          </w:tcPr>
          <w:p w14:paraId="48E826F3">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不允许</w:t>
            </w:r>
          </w:p>
        </w:tc>
      </w:tr>
      <w:tr w14:paraId="3FD22C9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F83B7F8">
            <w:pPr>
              <w:autoSpaceDE w:val="0"/>
              <w:autoSpaceDN w:val="0"/>
              <w:jc w:val="center"/>
              <w:rPr>
                <w:rFonts w:ascii="宋体" w:hAnsi="宋体" w:cs="宋体"/>
                <w:szCs w:val="21"/>
                <w:highlight w:val="none"/>
              </w:rPr>
            </w:pPr>
            <w:r>
              <w:rPr>
                <w:rFonts w:hint="eastAsia" w:ascii="宋体" w:hAnsi="宋体" w:cs="宋体"/>
                <w:szCs w:val="21"/>
                <w:highlight w:val="none"/>
              </w:rPr>
              <w:t>3.7.1</w:t>
            </w:r>
          </w:p>
        </w:tc>
        <w:tc>
          <w:tcPr>
            <w:tcW w:w="1666" w:type="dxa"/>
            <w:vAlign w:val="center"/>
          </w:tcPr>
          <w:p w14:paraId="74A4B84E">
            <w:pPr>
              <w:autoSpaceDE w:val="0"/>
              <w:autoSpaceDN w:val="0"/>
              <w:rPr>
                <w:rFonts w:ascii="宋体" w:hAnsi="宋体" w:cs="宋体"/>
                <w:szCs w:val="21"/>
                <w:highlight w:val="none"/>
              </w:rPr>
            </w:pPr>
            <w:r>
              <w:rPr>
                <w:rFonts w:hint="eastAsia" w:ascii="宋体" w:hAnsi="宋体" w:cs="宋体"/>
                <w:szCs w:val="21"/>
                <w:highlight w:val="none"/>
              </w:rPr>
              <w:t>投标文件份数</w:t>
            </w:r>
          </w:p>
        </w:tc>
        <w:tc>
          <w:tcPr>
            <w:tcW w:w="5795" w:type="dxa"/>
            <w:vAlign w:val="center"/>
          </w:tcPr>
          <w:p w14:paraId="011A6C20">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投标文件形式和份数：经</w:t>
            </w:r>
            <w:r>
              <w:rPr>
                <w:rFonts w:hint="eastAsia" w:asciiTheme="minorEastAsia" w:hAnsiTheme="minorEastAsia" w:eastAsiaTheme="minorEastAsia"/>
                <w:highlight w:val="none"/>
              </w:rPr>
              <w:t>电子采购系统</w:t>
            </w:r>
            <w:r>
              <w:rPr>
                <w:rFonts w:hint="eastAsia" w:cs="宋体" w:asciiTheme="minorEastAsia" w:hAnsiTheme="minorEastAsia" w:eastAsiaTheme="minorEastAsia"/>
                <w:szCs w:val="21"/>
                <w:highlight w:val="none"/>
              </w:rPr>
              <w:t>成功上传的加密电子投标文件一份。</w:t>
            </w:r>
          </w:p>
        </w:tc>
      </w:tr>
      <w:tr w14:paraId="128E26E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F1F6818">
            <w:pPr>
              <w:autoSpaceDE w:val="0"/>
              <w:autoSpaceDN w:val="0"/>
              <w:jc w:val="center"/>
              <w:rPr>
                <w:rFonts w:ascii="宋体" w:hAnsi="宋体" w:cs="宋体"/>
                <w:szCs w:val="21"/>
                <w:highlight w:val="none"/>
              </w:rPr>
            </w:pPr>
            <w:r>
              <w:rPr>
                <w:rFonts w:hint="eastAsia" w:ascii="宋体" w:hAnsi="宋体" w:cs="宋体"/>
                <w:szCs w:val="21"/>
                <w:highlight w:val="none"/>
              </w:rPr>
              <w:t>3.8</w:t>
            </w:r>
          </w:p>
        </w:tc>
        <w:tc>
          <w:tcPr>
            <w:tcW w:w="1666" w:type="dxa"/>
            <w:vAlign w:val="center"/>
          </w:tcPr>
          <w:p w14:paraId="0994746D">
            <w:pPr>
              <w:autoSpaceDE w:val="0"/>
              <w:autoSpaceDN w:val="0"/>
              <w:rPr>
                <w:rFonts w:ascii="宋体" w:hAnsi="宋体" w:cs="宋体"/>
                <w:szCs w:val="21"/>
                <w:highlight w:val="none"/>
              </w:rPr>
            </w:pPr>
            <w:r>
              <w:rPr>
                <w:rFonts w:hint="eastAsia" w:ascii="宋体" w:hAnsi="宋体" w:cs="宋体"/>
                <w:szCs w:val="21"/>
                <w:highlight w:val="none"/>
              </w:rPr>
              <w:t>电子招标的投标文件上传形式</w:t>
            </w:r>
          </w:p>
        </w:tc>
        <w:tc>
          <w:tcPr>
            <w:tcW w:w="5795" w:type="dxa"/>
            <w:vAlign w:val="center"/>
          </w:tcPr>
          <w:p w14:paraId="26CF5D70">
            <w:pPr>
              <w:rPr>
                <w:rFonts w:ascii="宋体" w:hAnsi="宋体" w:cs="宋体"/>
                <w:szCs w:val="21"/>
                <w:highlight w:val="none"/>
              </w:rPr>
            </w:pPr>
            <w:r>
              <w:rPr>
                <w:rFonts w:hint="eastAsia" w:asciiTheme="minorEastAsia" w:hAnsiTheme="minorEastAsia" w:eastAsiaTheme="minorEastAsia"/>
                <w:highlight w:val="none"/>
              </w:rPr>
              <w:t>投标人</w:t>
            </w:r>
            <w:r>
              <w:rPr>
                <w:rFonts w:hint="eastAsia" w:asciiTheme="minorEastAsia" w:hAnsiTheme="minorEastAsia" w:eastAsiaTheme="minorEastAsia"/>
                <w:kern w:val="0"/>
                <w:highlight w:val="none"/>
              </w:rPr>
              <w:t>须</w:t>
            </w:r>
            <w:r>
              <w:rPr>
                <w:rFonts w:hint="eastAsia" w:asciiTheme="minorEastAsia" w:hAnsiTheme="minorEastAsia" w:eastAsiaTheme="minorEastAsia"/>
                <w:highlight w:val="none"/>
              </w:rPr>
              <w:t>进入【</w:t>
            </w:r>
            <w:r>
              <w:rPr>
                <w:rFonts w:hint="eastAsia" w:asciiTheme="minorEastAsia" w:hAnsiTheme="minorEastAsia" w:eastAsiaTheme="minorEastAsia"/>
                <w:szCs w:val="21"/>
                <w:highlight w:val="none"/>
                <w:u w:val="single"/>
              </w:rPr>
              <w:t>中国电信电子采购系统】</w:t>
            </w:r>
            <w:r>
              <w:rPr>
                <w:rFonts w:hint="eastAsia" w:asciiTheme="minorEastAsia" w:hAnsiTheme="minorEastAsia" w:eastAsiaTheme="minorEastAsia"/>
                <w:highlight w:val="none"/>
              </w:rPr>
              <w:t>在投标截止时间前上传加密电子投标文件。投标人可进入电子采购系统查看电子投标文件上传结果，同时可在开标前进行</w:t>
            </w:r>
            <w:r>
              <w:rPr>
                <w:rFonts w:asciiTheme="minorEastAsia" w:hAnsiTheme="minorEastAsia" w:eastAsiaTheme="minorEastAsia"/>
                <w:highlight w:val="none"/>
              </w:rPr>
              <w:t>CA证书</w:t>
            </w:r>
            <w:r>
              <w:rPr>
                <w:rFonts w:hint="eastAsia" w:asciiTheme="minorEastAsia" w:hAnsiTheme="minorEastAsia" w:eastAsiaTheme="minorEastAsia"/>
                <w:highlight w:val="none"/>
              </w:rPr>
              <w:t>匹配验证。</w:t>
            </w:r>
          </w:p>
        </w:tc>
      </w:tr>
      <w:tr w14:paraId="38F4EF5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7E6008F">
            <w:pPr>
              <w:autoSpaceDE w:val="0"/>
              <w:autoSpaceDN w:val="0"/>
              <w:jc w:val="center"/>
              <w:rPr>
                <w:rFonts w:ascii="宋体" w:hAnsi="宋体" w:cs="宋体"/>
                <w:szCs w:val="21"/>
                <w:highlight w:val="none"/>
              </w:rPr>
            </w:pPr>
            <w:r>
              <w:rPr>
                <w:rFonts w:hint="eastAsia" w:ascii="宋体" w:hAnsi="宋体" w:cs="宋体"/>
                <w:szCs w:val="21"/>
                <w:highlight w:val="none"/>
              </w:rPr>
              <w:t>4.1.1</w:t>
            </w:r>
          </w:p>
        </w:tc>
        <w:tc>
          <w:tcPr>
            <w:tcW w:w="1666" w:type="dxa"/>
            <w:vAlign w:val="center"/>
          </w:tcPr>
          <w:p w14:paraId="0CD99772">
            <w:pPr>
              <w:autoSpaceDE w:val="0"/>
              <w:autoSpaceDN w:val="0"/>
              <w:rPr>
                <w:rFonts w:ascii="宋体" w:hAnsi="宋体" w:cs="宋体"/>
                <w:sz w:val="21"/>
                <w:szCs w:val="21"/>
                <w:highlight w:val="none"/>
              </w:rPr>
            </w:pPr>
            <w:r>
              <w:rPr>
                <w:rFonts w:hint="eastAsia" w:ascii="宋体" w:hAnsi="宋体"/>
                <w:sz w:val="21"/>
                <w:szCs w:val="21"/>
                <w:highlight w:val="none"/>
              </w:rPr>
              <w:t>投标文件递交截止时间</w:t>
            </w:r>
          </w:p>
        </w:tc>
        <w:tc>
          <w:tcPr>
            <w:tcW w:w="5795" w:type="dxa"/>
            <w:vAlign w:val="center"/>
          </w:tcPr>
          <w:p w14:paraId="1D33C937">
            <w:pPr>
              <w:autoSpaceDE w:val="0"/>
              <w:autoSpaceDN w:val="0"/>
              <w:rPr>
                <w:rFonts w:ascii="宋体" w:hAnsi="宋体" w:cs="宋体"/>
                <w:sz w:val="21"/>
                <w:szCs w:val="21"/>
                <w:highlight w:val="none"/>
              </w:rPr>
            </w:pPr>
            <w:r>
              <w:rPr>
                <w:rFonts w:hint="eastAsia" w:ascii="宋体" w:hAnsi="宋体" w:cs="宋体"/>
                <w:sz w:val="21"/>
                <w:szCs w:val="21"/>
                <w:highlight w:val="none"/>
                <w:u w:val="single"/>
              </w:rPr>
              <w:t>详见招标公告</w:t>
            </w:r>
          </w:p>
        </w:tc>
      </w:tr>
      <w:tr w14:paraId="3504F10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16F78C3">
            <w:pPr>
              <w:autoSpaceDE w:val="0"/>
              <w:autoSpaceDN w:val="0"/>
              <w:jc w:val="center"/>
              <w:rPr>
                <w:rFonts w:ascii="宋体" w:hAnsi="宋体" w:cs="宋体"/>
                <w:szCs w:val="21"/>
                <w:highlight w:val="none"/>
              </w:rPr>
            </w:pPr>
            <w:r>
              <w:rPr>
                <w:rFonts w:hint="eastAsia" w:ascii="宋体" w:hAnsi="宋体" w:cs="宋体"/>
                <w:szCs w:val="21"/>
                <w:highlight w:val="none"/>
              </w:rPr>
              <w:t>4.1.2</w:t>
            </w:r>
          </w:p>
        </w:tc>
        <w:tc>
          <w:tcPr>
            <w:tcW w:w="1666" w:type="dxa"/>
            <w:vAlign w:val="center"/>
          </w:tcPr>
          <w:p w14:paraId="5DBF4F22">
            <w:pPr>
              <w:autoSpaceDE w:val="0"/>
              <w:autoSpaceDN w:val="0"/>
              <w:rPr>
                <w:rFonts w:ascii="宋体" w:hAnsi="宋体"/>
                <w:highlight w:val="none"/>
              </w:rPr>
            </w:pPr>
            <w:r>
              <w:rPr>
                <w:rFonts w:hint="eastAsia" w:ascii="宋体" w:hAnsi="宋体"/>
                <w:highlight w:val="none"/>
              </w:rPr>
              <w:t>投标文件递交地点</w:t>
            </w:r>
          </w:p>
        </w:tc>
        <w:tc>
          <w:tcPr>
            <w:tcW w:w="5795" w:type="dxa"/>
            <w:vAlign w:val="center"/>
          </w:tcPr>
          <w:p w14:paraId="0E4AFABE">
            <w:pPr>
              <w:autoSpaceDE w:val="0"/>
              <w:autoSpaceDN w:val="0"/>
              <w:rPr>
                <w:rFonts w:ascii="宋体" w:hAnsi="宋体" w:cs="宋体"/>
                <w:szCs w:val="21"/>
                <w:highlight w:val="none"/>
              </w:rPr>
            </w:pPr>
            <w:r>
              <w:rPr>
                <w:rFonts w:hint="eastAsia" w:asciiTheme="minorEastAsia" w:hAnsiTheme="minorEastAsia" w:eastAsiaTheme="minorEastAsia"/>
                <w:szCs w:val="21"/>
                <w:highlight w:val="none"/>
                <w:u w:val="single"/>
              </w:rPr>
              <w:t>【通过中国电信电子采购系统递交】</w:t>
            </w:r>
          </w:p>
        </w:tc>
      </w:tr>
      <w:tr w14:paraId="68C17D3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9B3DE59">
            <w:pPr>
              <w:autoSpaceDE w:val="0"/>
              <w:autoSpaceDN w:val="0"/>
              <w:jc w:val="center"/>
              <w:rPr>
                <w:rFonts w:cs="宋体" w:asciiTheme="majorEastAsia" w:hAnsiTheme="majorEastAsia" w:eastAsiaTheme="majorEastAsia"/>
                <w:szCs w:val="21"/>
                <w:highlight w:val="none"/>
              </w:rPr>
            </w:pPr>
            <w:r>
              <w:rPr>
                <w:rFonts w:hint="eastAsia" w:cs="宋体" w:asciiTheme="majorEastAsia" w:hAnsiTheme="majorEastAsia" w:eastAsiaTheme="majorEastAsia"/>
                <w:szCs w:val="21"/>
                <w:highlight w:val="none"/>
              </w:rPr>
              <w:t>4.1.3</w:t>
            </w:r>
          </w:p>
        </w:tc>
        <w:tc>
          <w:tcPr>
            <w:tcW w:w="1666" w:type="dxa"/>
            <w:vAlign w:val="center"/>
          </w:tcPr>
          <w:p w14:paraId="6526399D">
            <w:pPr>
              <w:rPr>
                <w:rFonts w:asciiTheme="majorEastAsia" w:hAnsiTheme="majorEastAsia" w:eastAsiaTheme="majorEastAsia"/>
                <w:highlight w:val="none"/>
              </w:rPr>
            </w:pPr>
            <w:r>
              <w:rPr>
                <w:rFonts w:hint="eastAsia" w:asciiTheme="majorEastAsia" w:hAnsiTheme="majorEastAsia" w:eastAsiaTheme="majorEastAsia"/>
                <w:highlight w:val="none"/>
              </w:rPr>
              <w:t>投标文件签收凭证</w:t>
            </w:r>
          </w:p>
        </w:tc>
        <w:tc>
          <w:tcPr>
            <w:tcW w:w="5795" w:type="dxa"/>
            <w:vAlign w:val="center"/>
          </w:tcPr>
          <w:p w14:paraId="06F87A64">
            <w:pPr>
              <w:autoSpaceDE w:val="0"/>
              <w:autoSpaceDN w:val="0"/>
              <w:rPr>
                <w:rFonts w:asciiTheme="majorEastAsia" w:hAnsiTheme="majorEastAsia" w:eastAsiaTheme="majorEastAsia"/>
                <w:szCs w:val="21"/>
                <w:highlight w:val="none"/>
                <w:u w:val="single"/>
              </w:rPr>
            </w:pPr>
            <w:r>
              <w:rPr>
                <w:rFonts w:hint="eastAsia" w:asciiTheme="minorEastAsia" w:hAnsiTheme="minorEastAsia" w:eastAsiaTheme="minorEastAsia"/>
                <w:szCs w:val="21"/>
                <w:highlight w:val="none"/>
                <w:u w:val="single"/>
              </w:rPr>
              <w:t>【投标人通过电子采购系统上传加密电子投标文件后，</w:t>
            </w:r>
            <w:r>
              <w:rPr>
                <w:rFonts w:hint="eastAsia" w:asciiTheme="minorEastAsia" w:hAnsiTheme="minorEastAsia" w:eastAsiaTheme="minorEastAsia"/>
                <w:highlight w:val="none"/>
                <w:u w:val="single"/>
              </w:rPr>
              <w:t>电子采购系统</w:t>
            </w:r>
            <w:r>
              <w:rPr>
                <w:rFonts w:hint="eastAsia" w:asciiTheme="minorEastAsia" w:hAnsiTheme="minorEastAsia" w:eastAsiaTheme="minorEastAsia"/>
                <w:szCs w:val="21"/>
                <w:highlight w:val="none"/>
                <w:u w:val="single"/>
              </w:rPr>
              <w:t>反馈投标文件上传结果】</w:t>
            </w:r>
          </w:p>
        </w:tc>
      </w:tr>
      <w:tr w14:paraId="3DE741B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F43C958">
            <w:pPr>
              <w:autoSpaceDE w:val="0"/>
              <w:autoSpaceDN w:val="0"/>
              <w:jc w:val="center"/>
              <w:rPr>
                <w:rFonts w:ascii="宋体" w:hAnsi="宋体" w:cs="宋体"/>
                <w:szCs w:val="21"/>
                <w:highlight w:val="none"/>
              </w:rPr>
            </w:pPr>
            <w:r>
              <w:rPr>
                <w:rFonts w:hint="eastAsia" w:ascii="宋体" w:hAnsi="宋体" w:cs="宋体"/>
                <w:szCs w:val="21"/>
                <w:highlight w:val="none"/>
              </w:rPr>
              <w:t>4.1.4</w:t>
            </w:r>
          </w:p>
        </w:tc>
        <w:tc>
          <w:tcPr>
            <w:tcW w:w="1666" w:type="dxa"/>
            <w:vAlign w:val="center"/>
          </w:tcPr>
          <w:p w14:paraId="17466686">
            <w:pPr>
              <w:autoSpaceDE w:val="0"/>
              <w:autoSpaceDN w:val="0"/>
              <w:rPr>
                <w:rFonts w:ascii="宋体" w:hAnsi="宋体"/>
                <w:highlight w:val="none"/>
              </w:rPr>
            </w:pPr>
            <w:r>
              <w:rPr>
                <w:rFonts w:hint="eastAsia" w:ascii="宋体" w:hAnsi="宋体"/>
                <w:highlight w:val="none"/>
              </w:rPr>
              <w:t>投标文件退还</w:t>
            </w:r>
          </w:p>
        </w:tc>
        <w:tc>
          <w:tcPr>
            <w:tcW w:w="5795" w:type="dxa"/>
            <w:vAlign w:val="center"/>
          </w:tcPr>
          <w:p w14:paraId="6D378894">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不退还</w:t>
            </w:r>
          </w:p>
        </w:tc>
      </w:tr>
      <w:tr w14:paraId="40BC3B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60EC8B6">
            <w:pPr>
              <w:autoSpaceDE w:val="0"/>
              <w:autoSpaceDN w:val="0"/>
              <w:jc w:val="center"/>
              <w:rPr>
                <w:rFonts w:ascii="宋体" w:hAnsi="宋体" w:cs="宋体"/>
                <w:szCs w:val="21"/>
                <w:highlight w:val="none"/>
              </w:rPr>
            </w:pPr>
            <w:r>
              <w:rPr>
                <w:rFonts w:hint="eastAsia" w:cs="宋体" w:asciiTheme="minorEastAsia" w:hAnsiTheme="minorEastAsia" w:eastAsiaTheme="minorEastAsia"/>
                <w:szCs w:val="21"/>
                <w:highlight w:val="none"/>
              </w:rPr>
              <w:t>4.1.6</w:t>
            </w:r>
          </w:p>
        </w:tc>
        <w:tc>
          <w:tcPr>
            <w:tcW w:w="1666" w:type="dxa"/>
            <w:vAlign w:val="center"/>
          </w:tcPr>
          <w:p w14:paraId="35C9F925">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电子招标投标文件递交异常的处理方式</w:t>
            </w:r>
          </w:p>
        </w:tc>
        <w:tc>
          <w:tcPr>
            <w:tcW w:w="5795" w:type="dxa"/>
            <w:vAlign w:val="center"/>
          </w:tcPr>
          <w:p w14:paraId="3AE8FAF8">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投标人应当在投标截止时间前完成投标文件的上传，并可以补充、修改或者撤回投标文件。投标截止时间前未完成投标文件上传的，视为撤回投标文件。投标截止时间后送达的投标文件，中国电信电子采购系统应当拒收。</w:t>
            </w:r>
          </w:p>
        </w:tc>
      </w:tr>
      <w:tr w14:paraId="02BFD25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CB1BB33">
            <w:pPr>
              <w:autoSpaceDE w:val="0"/>
              <w:autoSpaceDN w:val="0"/>
              <w:jc w:val="center"/>
              <w:rPr>
                <w:rFonts w:ascii="宋体" w:hAnsi="宋体" w:cs="宋体"/>
                <w:szCs w:val="21"/>
                <w:highlight w:val="none"/>
              </w:rPr>
            </w:pPr>
            <w:r>
              <w:rPr>
                <w:rFonts w:hint="eastAsia" w:cs="宋体" w:asciiTheme="minorEastAsia" w:hAnsiTheme="minorEastAsia" w:eastAsiaTheme="minorEastAsia"/>
                <w:szCs w:val="21"/>
                <w:highlight w:val="none"/>
              </w:rPr>
              <w:t>4.2.1</w:t>
            </w:r>
          </w:p>
        </w:tc>
        <w:tc>
          <w:tcPr>
            <w:tcW w:w="1666" w:type="dxa"/>
            <w:vAlign w:val="center"/>
          </w:tcPr>
          <w:p w14:paraId="05237FF8">
            <w:pPr>
              <w:autoSpaceDE w:val="0"/>
              <w:autoSpaceDN w:val="0"/>
              <w:rPr>
                <w:rFonts w:ascii="宋体" w:hAnsi="宋体" w:cs="宋体"/>
                <w:szCs w:val="21"/>
                <w:highlight w:val="none"/>
              </w:rPr>
            </w:pPr>
            <w:r>
              <w:rPr>
                <w:rFonts w:hint="eastAsia" w:asciiTheme="minorEastAsia" w:hAnsiTheme="minorEastAsia" w:eastAsiaTheme="minorEastAsia"/>
                <w:highlight w:val="none"/>
              </w:rPr>
              <w:t>已递交的投标文件的修改或者撤回</w:t>
            </w:r>
          </w:p>
        </w:tc>
        <w:tc>
          <w:tcPr>
            <w:tcW w:w="5795" w:type="dxa"/>
            <w:vAlign w:val="center"/>
          </w:tcPr>
          <w:p w14:paraId="461DE3BB">
            <w:pPr>
              <w:autoSpaceDE w:val="0"/>
              <w:autoSpaceDN w:val="0"/>
              <w:rPr>
                <w:rFonts w:ascii="宋体" w:hAnsi="宋体"/>
                <w:szCs w:val="21"/>
                <w:highlight w:val="none"/>
              </w:rPr>
            </w:pPr>
            <w:r>
              <w:rPr>
                <w:rFonts w:hint="eastAsia" w:asciiTheme="minorEastAsia" w:hAnsiTheme="minorEastAsia" w:eastAsiaTheme="minorEastAsia"/>
                <w:szCs w:val="21"/>
                <w:highlight w:val="none"/>
              </w:rPr>
              <w:t>投标人可以自行进入</w:t>
            </w:r>
            <w:r>
              <w:rPr>
                <w:rFonts w:hint="eastAsia" w:asciiTheme="minorEastAsia" w:hAnsiTheme="minorEastAsia" w:eastAsiaTheme="minorEastAsia"/>
                <w:highlight w:val="none"/>
              </w:rPr>
              <w:t>电子采购系统</w:t>
            </w:r>
            <w:r>
              <w:rPr>
                <w:rFonts w:hint="eastAsia" w:asciiTheme="minorEastAsia" w:hAnsiTheme="minorEastAsia" w:eastAsiaTheme="minorEastAsia"/>
                <w:szCs w:val="21"/>
                <w:highlight w:val="none"/>
              </w:rPr>
              <w:t>撤回电子投标文件，</w:t>
            </w:r>
            <w:r>
              <w:rPr>
                <w:rFonts w:hint="eastAsia" w:asciiTheme="minorEastAsia" w:hAnsiTheme="minorEastAsia" w:eastAsiaTheme="minorEastAsia"/>
                <w:highlight w:val="none"/>
              </w:rPr>
              <w:t>电子采购系统</w:t>
            </w:r>
            <w:r>
              <w:rPr>
                <w:rFonts w:hint="eastAsia" w:asciiTheme="minorEastAsia" w:hAnsiTheme="minorEastAsia" w:eastAsiaTheme="minorEastAsia"/>
                <w:szCs w:val="21"/>
                <w:highlight w:val="none"/>
              </w:rPr>
              <w:t>将已上传电子投标文件删除，投标人可重新上传电子投标文件。</w:t>
            </w:r>
          </w:p>
        </w:tc>
      </w:tr>
      <w:tr w14:paraId="29FDB77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9EEE064">
            <w:pPr>
              <w:autoSpaceDE w:val="0"/>
              <w:autoSpaceDN w:val="0"/>
              <w:jc w:val="center"/>
              <w:rPr>
                <w:rFonts w:ascii="宋体" w:hAnsi="宋体" w:cs="宋体"/>
                <w:szCs w:val="21"/>
                <w:highlight w:val="none"/>
              </w:rPr>
            </w:pPr>
            <w:r>
              <w:rPr>
                <w:rFonts w:hint="eastAsia" w:cs="宋体" w:asciiTheme="minorEastAsia" w:hAnsiTheme="minorEastAsia" w:eastAsiaTheme="minorEastAsia"/>
                <w:szCs w:val="21"/>
                <w:highlight w:val="none"/>
              </w:rPr>
              <w:t>5.1</w:t>
            </w:r>
          </w:p>
        </w:tc>
        <w:tc>
          <w:tcPr>
            <w:tcW w:w="1666" w:type="dxa"/>
            <w:vAlign w:val="center"/>
          </w:tcPr>
          <w:p w14:paraId="2B33A43E">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开标时间和地点</w:t>
            </w:r>
          </w:p>
        </w:tc>
        <w:tc>
          <w:tcPr>
            <w:tcW w:w="5795" w:type="dxa"/>
            <w:vAlign w:val="center"/>
          </w:tcPr>
          <w:p w14:paraId="561AF3A9">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投标文件递交截止同一时间通过中国电信电子采购系统开标</w:t>
            </w:r>
          </w:p>
        </w:tc>
      </w:tr>
      <w:tr w14:paraId="359BA62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F2A1130">
            <w:pPr>
              <w:autoSpaceDE w:val="0"/>
              <w:autoSpaceDN w:val="0"/>
              <w:jc w:val="center"/>
              <w:rPr>
                <w:rFonts w:hint="eastAsia" w:ascii="宋体" w:hAnsi="宋体" w:cs="宋体"/>
                <w:szCs w:val="21"/>
                <w:highlight w:val="none"/>
              </w:rPr>
            </w:pPr>
            <w:r>
              <w:rPr>
                <w:rFonts w:hint="eastAsia" w:cs="宋体" w:asciiTheme="minorEastAsia" w:hAnsiTheme="minorEastAsia" w:eastAsiaTheme="minorEastAsia"/>
                <w:szCs w:val="21"/>
                <w:highlight w:val="none"/>
              </w:rPr>
              <w:t>5.3</w:t>
            </w:r>
          </w:p>
        </w:tc>
        <w:tc>
          <w:tcPr>
            <w:tcW w:w="1666" w:type="dxa"/>
            <w:vAlign w:val="center"/>
          </w:tcPr>
          <w:p w14:paraId="671D9EF1">
            <w:pPr>
              <w:autoSpaceDE w:val="0"/>
              <w:autoSpaceDN w:val="0"/>
              <w:rPr>
                <w:rFonts w:hint="eastAsia" w:ascii="宋体" w:hAnsi="宋体" w:cs="宋体"/>
                <w:szCs w:val="21"/>
                <w:highlight w:val="none"/>
              </w:rPr>
            </w:pPr>
            <w:r>
              <w:rPr>
                <w:rFonts w:hint="eastAsia" w:cs="宋体" w:asciiTheme="minorEastAsia" w:hAnsiTheme="minorEastAsia" w:eastAsiaTheme="minorEastAsia"/>
                <w:szCs w:val="21"/>
                <w:highlight w:val="none"/>
              </w:rPr>
              <w:t>开标现场的异议</w:t>
            </w:r>
          </w:p>
        </w:tc>
        <w:tc>
          <w:tcPr>
            <w:tcW w:w="5795" w:type="dxa"/>
            <w:vAlign w:val="center"/>
          </w:tcPr>
          <w:p w14:paraId="60C0B317">
            <w:pPr>
              <w:autoSpaceDE w:val="0"/>
              <w:autoSpaceDN w:val="0"/>
              <w:rPr>
                <w:rFonts w:hint="eastAsia" w:ascii="宋体" w:hAnsi="宋体" w:cs="宋体"/>
                <w:szCs w:val="21"/>
                <w:highlight w:val="none"/>
              </w:rPr>
            </w:pPr>
            <w:r>
              <w:rPr>
                <w:rFonts w:hint="eastAsia" w:cs="宋体" w:asciiTheme="minorEastAsia" w:hAnsiTheme="minorEastAsia" w:eastAsiaTheme="minorEastAsia"/>
                <w:szCs w:val="21"/>
                <w:highlight w:val="none"/>
              </w:rPr>
              <w:t>在开标时通过中国电信电子采购系统开标大厅“提出异议”模块提出</w:t>
            </w:r>
          </w:p>
        </w:tc>
      </w:tr>
      <w:tr w14:paraId="523B92D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BCF1BD9">
            <w:pPr>
              <w:autoSpaceDE w:val="0"/>
              <w:autoSpaceDN w:val="0"/>
              <w:jc w:val="center"/>
              <w:rPr>
                <w:rFonts w:ascii="宋体" w:hAnsi="宋体" w:cs="宋体"/>
                <w:szCs w:val="21"/>
                <w:highlight w:val="none"/>
              </w:rPr>
            </w:pPr>
            <w:r>
              <w:rPr>
                <w:rFonts w:hint="eastAsia" w:cs="宋体" w:asciiTheme="minorEastAsia" w:hAnsiTheme="minorEastAsia" w:eastAsiaTheme="minorEastAsia"/>
                <w:szCs w:val="21"/>
                <w:highlight w:val="none"/>
              </w:rPr>
              <w:t>5.4</w:t>
            </w:r>
          </w:p>
        </w:tc>
        <w:tc>
          <w:tcPr>
            <w:tcW w:w="1666" w:type="dxa"/>
            <w:vAlign w:val="center"/>
          </w:tcPr>
          <w:p w14:paraId="3CE7D4BD">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电子招标开标的其他要求及异常处理</w:t>
            </w:r>
          </w:p>
        </w:tc>
        <w:tc>
          <w:tcPr>
            <w:tcW w:w="5795" w:type="dxa"/>
            <w:vAlign w:val="center"/>
          </w:tcPr>
          <w:p w14:paraId="052051FD">
            <w:pPr>
              <w:autoSpaceDE w:val="0"/>
              <w:autoSpaceDN w:val="0"/>
              <w:rPr>
                <w:rFonts w:ascii="宋体" w:hAnsi="宋体" w:cs="宋体"/>
                <w:szCs w:val="21"/>
                <w:highlight w:val="none"/>
              </w:rPr>
            </w:pPr>
            <w:r>
              <w:rPr>
                <w:rFonts w:hint="eastAsia" w:asciiTheme="minorEastAsia" w:hAnsiTheme="minorEastAsia" w:eastAsiaTheme="minorEastAsia"/>
                <w:szCs w:val="21"/>
                <w:highlight w:val="none"/>
              </w:rPr>
              <w:t>电子投标文件由</w:t>
            </w:r>
            <w:r>
              <w:rPr>
                <w:rFonts w:hint="eastAsia" w:cs="宋体" w:asciiTheme="minorEastAsia" w:hAnsiTheme="minorEastAsia" w:eastAsiaTheme="minorEastAsia"/>
                <w:szCs w:val="21"/>
                <w:highlight w:val="none"/>
              </w:rPr>
              <w:t>招标人/招标代理机构在递交截止时间后统一解密，投标人无需进行解密操作。因投标人原因造成投标文件未解密的，视为撤销其投标文件；因投标人之外的原因造成投标文件未解密的，视为撤回其投标文件。部分投标人的投标文件未解密的，其他投标人的投标文件的开标可以继续进行。</w:t>
            </w:r>
          </w:p>
        </w:tc>
      </w:tr>
      <w:tr w14:paraId="6357E08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DAAF0D5">
            <w:pPr>
              <w:autoSpaceDE w:val="0"/>
              <w:autoSpaceDN w:val="0"/>
              <w:jc w:val="center"/>
              <w:rPr>
                <w:rFonts w:ascii="宋体" w:hAnsi="宋体" w:cs="宋体"/>
                <w:szCs w:val="21"/>
                <w:highlight w:val="none"/>
              </w:rPr>
            </w:pPr>
            <w:r>
              <w:rPr>
                <w:rFonts w:hint="eastAsia" w:ascii="宋体" w:hAnsi="宋体" w:cs="宋体"/>
                <w:szCs w:val="21"/>
                <w:highlight w:val="none"/>
              </w:rPr>
              <w:t>6.1.1</w:t>
            </w:r>
          </w:p>
        </w:tc>
        <w:tc>
          <w:tcPr>
            <w:tcW w:w="1666" w:type="dxa"/>
            <w:vAlign w:val="center"/>
          </w:tcPr>
          <w:p w14:paraId="0D84D9F5">
            <w:pPr>
              <w:autoSpaceDE w:val="0"/>
              <w:autoSpaceDN w:val="0"/>
              <w:rPr>
                <w:rFonts w:ascii="宋体" w:hAnsi="宋体" w:cs="宋体"/>
                <w:szCs w:val="21"/>
                <w:highlight w:val="none"/>
              </w:rPr>
            </w:pPr>
            <w:r>
              <w:rPr>
                <w:rFonts w:hint="eastAsia" w:ascii="宋体" w:hAnsi="宋体" w:cs="宋体"/>
                <w:szCs w:val="21"/>
                <w:highlight w:val="none"/>
              </w:rPr>
              <w:t>评标委员会组成人数</w:t>
            </w:r>
          </w:p>
        </w:tc>
        <w:tc>
          <w:tcPr>
            <w:tcW w:w="5795" w:type="dxa"/>
            <w:vAlign w:val="center"/>
          </w:tcPr>
          <w:p w14:paraId="0782AD91">
            <w:pPr>
              <w:autoSpaceDE w:val="0"/>
              <w:autoSpaceDN w:val="0"/>
              <w:rPr>
                <w:rFonts w:ascii="宋体" w:hAnsi="宋体" w:cs="宋体"/>
                <w:szCs w:val="21"/>
                <w:highlight w:val="none"/>
              </w:rPr>
            </w:pPr>
            <w:r>
              <w:rPr>
                <w:rFonts w:hint="eastAsia" w:ascii="宋体" w:hAnsi="宋体"/>
                <w:szCs w:val="21"/>
                <w:highlight w:val="none"/>
                <w:u w:val="single"/>
                <w:lang w:val="en-US" w:eastAsia="zh-CN"/>
              </w:rPr>
              <w:t>5</w:t>
            </w:r>
            <w:r>
              <w:rPr>
                <w:rFonts w:hint="eastAsia" w:ascii="宋体" w:hAnsi="宋体" w:cs="宋体"/>
                <w:szCs w:val="21"/>
                <w:highlight w:val="none"/>
              </w:rPr>
              <w:t>人</w:t>
            </w:r>
          </w:p>
        </w:tc>
      </w:tr>
      <w:tr w14:paraId="32DDB4A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B1D4A74">
            <w:pPr>
              <w:autoSpaceDE w:val="0"/>
              <w:autoSpaceDN w:val="0"/>
              <w:jc w:val="center"/>
              <w:rPr>
                <w:rFonts w:ascii="宋体" w:hAnsi="宋体" w:cs="宋体"/>
                <w:szCs w:val="21"/>
                <w:highlight w:val="none"/>
              </w:rPr>
            </w:pPr>
            <w:r>
              <w:rPr>
                <w:rFonts w:hint="eastAsia" w:ascii="宋体" w:hAnsi="宋体" w:cs="宋体"/>
                <w:szCs w:val="21"/>
                <w:highlight w:val="none"/>
              </w:rPr>
              <w:t>6.3</w:t>
            </w:r>
          </w:p>
        </w:tc>
        <w:tc>
          <w:tcPr>
            <w:tcW w:w="1666" w:type="dxa"/>
            <w:vAlign w:val="center"/>
          </w:tcPr>
          <w:p w14:paraId="2CFA5379">
            <w:pPr>
              <w:autoSpaceDE w:val="0"/>
              <w:autoSpaceDN w:val="0"/>
              <w:rPr>
                <w:rFonts w:ascii="宋体" w:hAnsi="宋体" w:cs="宋体"/>
                <w:szCs w:val="21"/>
                <w:highlight w:val="none"/>
              </w:rPr>
            </w:pPr>
            <w:r>
              <w:rPr>
                <w:rFonts w:hint="eastAsia" w:ascii="宋体" w:hAnsi="宋体" w:cs="宋体"/>
                <w:szCs w:val="21"/>
                <w:highlight w:val="none"/>
              </w:rPr>
              <w:t>评标方法</w:t>
            </w:r>
          </w:p>
        </w:tc>
        <w:tc>
          <w:tcPr>
            <w:tcW w:w="5795" w:type="dxa"/>
            <w:vAlign w:val="center"/>
          </w:tcPr>
          <w:p w14:paraId="1A184172">
            <w:pPr>
              <w:autoSpaceDE w:val="0"/>
              <w:autoSpaceDN w:val="0"/>
              <w:rPr>
                <w:rFonts w:ascii="宋体" w:hAnsi="宋体" w:cs="宋体"/>
                <w:szCs w:val="21"/>
                <w:highlight w:val="none"/>
                <w:u w:val="single"/>
              </w:rPr>
            </w:pPr>
            <w:r>
              <w:rPr>
                <w:rFonts w:hint="eastAsia" w:ascii="宋体" w:hAnsi="宋体" w:cs="宋体"/>
                <w:szCs w:val="21"/>
                <w:highlight w:val="none"/>
              </w:rPr>
              <w:sym w:font="Wingdings 2" w:char="0052"/>
            </w:r>
            <w:r>
              <w:rPr>
                <w:rFonts w:hint="eastAsia" w:ascii="宋体" w:hAnsi="宋体" w:cs="宋体"/>
                <w:szCs w:val="21"/>
                <w:highlight w:val="none"/>
              </w:rPr>
              <w:t>综合评估法</w:t>
            </w:r>
          </w:p>
        </w:tc>
      </w:tr>
      <w:tr w14:paraId="7D80179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957FB3A">
            <w:pPr>
              <w:autoSpaceDE w:val="0"/>
              <w:autoSpaceDN w:val="0"/>
              <w:jc w:val="center"/>
              <w:rPr>
                <w:rFonts w:ascii="宋体" w:hAnsi="宋体" w:cs="宋体"/>
                <w:szCs w:val="21"/>
                <w:highlight w:val="none"/>
              </w:rPr>
            </w:pPr>
            <w:r>
              <w:rPr>
                <w:rFonts w:hint="eastAsia" w:ascii="宋体" w:hAnsi="宋体" w:cs="宋体"/>
                <w:szCs w:val="21"/>
                <w:highlight w:val="none"/>
              </w:rPr>
              <w:t xml:space="preserve">6.4 </w:t>
            </w:r>
          </w:p>
        </w:tc>
        <w:tc>
          <w:tcPr>
            <w:tcW w:w="1666" w:type="dxa"/>
            <w:vAlign w:val="center"/>
          </w:tcPr>
          <w:p w14:paraId="7A98C6E6">
            <w:pPr>
              <w:autoSpaceDE w:val="0"/>
              <w:autoSpaceDN w:val="0"/>
              <w:rPr>
                <w:rFonts w:ascii="宋体" w:hAnsi="宋体" w:cs="宋体"/>
                <w:szCs w:val="21"/>
                <w:highlight w:val="none"/>
              </w:rPr>
            </w:pPr>
            <w:r>
              <w:rPr>
                <w:rFonts w:hint="eastAsia" w:ascii="宋体" w:hAnsi="宋体" w:cs="宋体"/>
                <w:szCs w:val="21"/>
                <w:highlight w:val="none"/>
              </w:rPr>
              <w:t>中标候选人推荐原则</w:t>
            </w:r>
          </w:p>
        </w:tc>
        <w:tc>
          <w:tcPr>
            <w:tcW w:w="5795" w:type="dxa"/>
            <w:vAlign w:val="center"/>
          </w:tcPr>
          <w:p w14:paraId="290E1A27">
            <w:pPr>
              <w:autoSpaceDE w:val="0"/>
              <w:autoSpaceDN w:val="0"/>
              <w:rPr>
                <w:rFonts w:hint="eastAsia"/>
                <w:highlight w:val="none"/>
              </w:rPr>
            </w:pPr>
            <w:bookmarkStart w:id="26" w:name="_Toc346159396"/>
            <w:r>
              <w:rPr>
                <w:rFonts w:hint="eastAsia"/>
                <w:highlight w:val="none"/>
              </w:rPr>
              <w:t>6.4.1评标委员会依据综合打分结果进行排序，综合得分相同的，价格得分高者排名优先；价格得分相同的，技术得分高者排名优先。</w:t>
            </w:r>
            <w:bookmarkEnd w:id="26"/>
          </w:p>
          <w:p w14:paraId="56F7E1DE">
            <w:pPr>
              <w:autoSpaceDE w:val="0"/>
              <w:autoSpaceDN w:val="0"/>
              <w:spacing w:line="240" w:lineRule="auto"/>
              <w:rPr>
                <w:rFonts w:hint="eastAsia"/>
                <w:highlight w:val="none"/>
                <w:lang w:val="en-US" w:eastAsia="zh-CN"/>
              </w:rPr>
            </w:pPr>
            <w:r>
              <w:rPr>
                <w:rFonts w:hint="eastAsia"/>
                <w:highlight w:val="none"/>
              </w:rPr>
              <w:t>6.4.2评标委员会根据综合打分排名由高到低顺序</w:t>
            </w:r>
            <w:r>
              <w:rPr>
                <w:rFonts w:hint="eastAsia"/>
                <w:highlight w:val="none"/>
                <w:lang w:val="en-US" w:eastAsia="zh-CN"/>
              </w:rPr>
              <w:t>推荐综合排名前二名为中标候选人</w:t>
            </w:r>
            <w:r>
              <w:rPr>
                <w:rFonts w:hint="eastAsia"/>
                <w:highlight w:val="none"/>
              </w:rPr>
              <w:t>。</w:t>
            </w:r>
          </w:p>
        </w:tc>
      </w:tr>
      <w:tr w14:paraId="6244552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8C57C3E">
            <w:pPr>
              <w:autoSpaceDE w:val="0"/>
              <w:autoSpaceDN w:val="0"/>
              <w:jc w:val="center"/>
              <w:rPr>
                <w:rFonts w:ascii="宋体" w:hAnsi="宋体" w:cs="宋体"/>
                <w:szCs w:val="21"/>
                <w:highlight w:val="none"/>
              </w:rPr>
            </w:pPr>
            <w:r>
              <w:rPr>
                <w:rFonts w:hint="eastAsia" w:ascii="宋体" w:hAnsi="宋体" w:cs="宋体"/>
                <w:szCs w:val="21"/>
                <w:highlight w:val="none"/>
              </w:rPr>
              <w:t>7.1.2</w:t>
            </w:r>
          </w:p>
        </w:tc>
        <w:tc>
          <w:tcPr>
            <w:tcW w:w="1666" w:type="dxa"/>
            <w:vAlign w:val="center"/>
          </w:tcPr>
          <w:p w14:paraId="2E2F11CB">
            <w:pPr>
              <w:autoSpaceDE w:val="0"/>
              <w:autoSpaceDN w:val="0"/>
              <w:rPr>
                <w:rFonts w:ascii="宋体" w:hAnsi="宋体" w:cs="宋体"/>
                <w:szCs w:val="21"/>
                <w:highlight w:val="none"/>
              </w:rPr>
            </w:pPr>
            <w:r>
              <w:rPr>
                <w:rFonts w:hint="eastAsia" w:ascii="宋体" w:hAnsi="宋体" w:cs="宋体"/>
                <w:szCs w:val="21"/>
                <w:highlight w:val="none"/>
              </w:rPr>
              <w:t>邀请招标中标候选人公示的其他媒体</w:t>
            </w:r>
          </w:p>
        </w:tc>
        <w:tc>
          <w:tcPr>
            <w:tcW w:w="5795" w:type="dxa"/>
            <w:vAlign w:val="center"/>
          </w:tcPr>
          <w:p w14:paraId="7628B78B">
            <w:pPr>
              <w:autoSpaceDE w:val="0"/>
              <w:autoSpaceDN w:val="0"/>
              <w:rPr>
                <w:rFonts w:ascii="宋体" w:hAnsi="宋体" w:cs="宋体"/>
                <w:szCs w:val="21"/>
                <w:highlight w:val="none"/>
              </w:rPr>
            </w:pPr>
            <w:r>
              <w:rPr>
                <w:rFonts w:hint="eastAsia" w:ascii="宋体" w:hAnsi="宋体" w:cs="宋体"/>
                <w:szCs w:val="21"/>
                <w:highlight w:val="none"/>
              </w:rPr>
              <w:t>无</w:t>
            </w:r>
          </w:p>
        </w:tc>
      </w:tr>
      <w:tr w14:paraId="24F5154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EBC0C5C">
            <w:pPr>
              <w:autoSpaceDE w:val="0"/>
              <w:autoSpaceDN w:val="0"/>
              <w:jc w:val="center"/>
              <w:rPr>
                <w:rFonts w:hint="eastAsia" w:ascii="宋体" w:hAnsi="宋体" w:cs="宋体"/>
                <w:szCs w:val="21"/>
                <w:highlight w:val="none"/>
              </w:rPr>
            </w:pPr>
            <w:r>
              <w:rPr>
                <w:rFonts w:hint="eastAsia" w:cs="宋体" w:asciiTheme="minorEastAsia" w:hAnsiTheme="minorEastAsia" w:eastAsiaTheme="minorEastAsia"/>
                <w:szCs w:val="21"/>
                <w:highlight w:val="none"/>
              </w:rPr>
              <w:t>7.1.3</w:t>
            </w:r>
          </w:p>
        </w:tc>
        <w:tc>
          <w:tcPr>
            <w:tcW w:w="1666" w:type="dxa"/>
            <w:vAlign w:val="center"/>
          </w:tcPr>
          <w:p w14:paraId="4B8ACD10">
            <w:pPr>
              <w:autoSpaceDE w:val="0"/>
              <w:autoSpaceDN w:val="0"/>
              <w:rPr>
                <w:rFonts w:hint="eastAsia" w:ascii="宋体" w:hAnsi="宋体" w:cs="宋体"/>
                <w:szCs w:val="21"/>
                <w:highlight w:val="none"/>
              </w:rPr>
            </w:pPr>
            <w:r>
              <w:rPr>
                <w:rFonts w:hint="eastAsia" w:cs="宋体" w:asciiTheme="minorEastAsia" w:hAnsiTheme="minorEastAsia" w:eastAsiaTheme="minorEastAsia"/>
                <w:szCs w:val="21"/>
                <w:highlight w:val="none"/>
              </w:rPr>
              <w:t>中标结果的异议</w:t>
            </w:r>
          </w:p>
        </w:tc>
        <w:tc>
          <w:tcPr>
            <w:tcW w:w="5795" w:type="dxa"/>
            <w:vAlign w:val="center"/>
          </w:tcPr>
          <w:p w14:paraId="3DDDDEDE">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cs="宋体"/>
                <w:szCs w:val="21"/>
                <w:highlight w:val="none"/>
              </w:rPr>
            </w:pPr>
            <w:r>
              <w:rPr>
                <w:rFonts w:hint="eastAsia" w:asciiTheme="minorEastAsia" w:hAnsiTheme="minorEastAsia" w:eastAsiaTheme="minorEastAsia"/>
                <w:highlight w:val="none"/>
              </w:rPr>
              <w:t>投标人或者其他利害关系人对评标结果有异议的，应当【在中标候选人公示期内[依法必须进行招标的项目]】【登录中国电信阳光采购网（https://caigou.chinatelecom.com.cn）后，通过“招投标-采购异议-提出异议”模块提出。】招标人将在收到异议之日起3日内作出答复；作出答复前，将暂停招标投标活动。已作出明确答复，且无新的事实证据，就同一事项反复提出异议的，不予受理。</w:t>
            </w:r>
          </w:p>
        </w:tc>
      </w:tr>
      <w:tr w14:paraId="66915A8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A7E2481">
            <w:pPr>
              <w:autoSpaceDE w:val="0"/>
              <w:autoSpaceDN w:val="0"/>
              <w:jc w:val="center"/>
              <w:rPr>
                <w:rFonts w:ascii="宋体" w:hAnsi="宋体" w:cs="宋体"/>
                <w:szCs w:val="21"/>
                <w:highlight w:val="none"/>
              </w:rPr>
            </w:pPr>
            <w:r>
              <w:rPr>
                <w:rFonts w:hint="eastAsia" w:ascii="宋体" w:hAnsi="宋体" w:cs="宋体"/>
                <w:szCs w:val="21"/>
                <w:highlight w:val="none"/>
              </w:rPr>
              <w:t>7.2.1</w:t>
            </w:r>
          </w:p>
        </w:tc>
        <w:tc>
          <w:tcPr>
            <w:tcW w:w="1666" w:type="dxa"/>
            <w:vAlign w:val="center"/>
          </w:tcPr>
          <w:p w14:paraId="46FCA489">
            <w:pPr>
              <w:autoSpaceDE w:val="0"/>
              <w:autoSpaceDN w:val="0"/>
              <w:rPr>
                <w:rFonts w:ascii="宋体" w:hAnsi="宋体" w:cs="宋体"/>
                <w:szCs w:val="21"/>
                <w:highlight w:val="none"/>
              </w:rPr>
            </w:pPr>
            <w:r>
              <w:rPr>
                <w:rFonts w:hint="eastAsia" w:ascii="宋体" w:hAnsi="宋体" w:cs="宋体"/>
                <w:szCs w:val="21"/>
                <w:highlight w:val="none"/>
              </w:rPr>
              <w:t>中标人确定</w:t>
            </w:r>
          </w:p>
        </w:tc>
        <w:tc>
          <w:tcPr>
            <w:tcW w:w="5795" w:type="dxa"/>
            <w:vAlign w:val="center"/>
          </w:tcPr>
          <w:p w14:paraId="52AB3AC5">
            <w:pPr>
              <w:autoSpaceDE w:val="0"/>
              <w:autoSpaceDN w:val="0"/>
              <w:rPr>
                <w:rFonts w:ascii="宋体" w:hAnsi="宋体" w:cs="宋体"/>
                <w:szCs w:val="21"/>
                <w:highlight w:val="none"/>
              </w:rPr>
            </w:pPr>
            <w:r>
              <w:rPr>
                <w:rFonts w:hint="eastAsia" w:ascii="宋体" w:hAnsi="宋体" w:cs="宋体"/>
                <w:szCs w:val="21"/>
                <w:highlight w:val="none"/>
              </w:rPr>
              <w:sym w:font="Wingdings 2" w:char="0052"/>
            </w:r>
            <w:r>
              <w:rPr>
                <w:rFonts w:hint="eastAsia" w:ascii="宋体" w:hAnsi="宋体" w:cs="宋体"/>
                <w:szCs w:val="21"/>
                <w:highlight w:val="none"/>
              </w:rPr>
              <w:t>招标人确定中标人，</w:t>
            </w:r>
            <w:r>
              <w:rPr>
                <w:rFonts w:hint="eastAsia" w:ascii="宋体" w:hAnsi="宋体"/>
                <w:highlight w:val="none"/>
              </w:rPr>
              <w:t>中标人数量：</w:t>
            </w:r>
            <w:r>
              <w:rPr>
                <w:rFonts w:hint="eastAsia" w:ascii="宋体" w:hAnsi="宋体"/>
                <w:szCs w:val="21"/>
                <w:highlight w:val="none"/>
              </w:rPr>
              <w:t>【</w:t>
            </w:r>
            <w:r>
              <w:rPr>
                <w:rFonts w:hint="eastAsia" w:ascii="宋体" w:hAnsi="宋体"/>
                <w:szCs w:val="21"/>
                <w:highlight w:val="none"/>
                <w:u w:val="single"/>
                <w:lang w:val="en-US" w:eastAsia="zh-CN"/>
              </w:rPr>
              <w:t>1</w:t>
            </w:r>
            <w:r>
              <w:rPr>
                <w:rFonts w:hint="eastAsia" w:ascii="宋体" w:hAnsi="宋体"/>
                <w:szCs w:val="21"/>
                <w:highlight w:val="none"/>
              </w:rPr>
              <w:t>】</w:t>
            </w:r>
            <w:r>
              <w:rPr>
                <w:rFonts w:hint="eastAsia" w:ascii="宋体" w:hAnsi="宋体" w:cs="宋体"/>
                <w:szCs w:val="21"/>
                <w:highlight w:val="none"/>
              </w:rPr>
              <w:t>个</w:t>
            </w:r>
          </w:p>
        </w:tc>
      </w:tr>
      <w:tr w14:paraId="03FB385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7000BCE">
            <w:pPr>
              <w:autoSpaceDE w:val="0"/>
              <w:autoSpaceDN w:val="0"/>
              <w:jc w:val="center"/>
              <w:rPr>
                <w:rFonts w:ascii="宋体" w:hAnsi="宋体" w:cs="宋体"/>
                <w:szCs w:val="21"/>
                <w:highlight w:val="none"/>
              </w:rPr>
            </w:pPr>
            <w:r>
              <w:rPr>
                <w:rFonts w:hint="eastAsia" w:ascii="宋体" w:hAnsi="宋体" w:cs="宋体"/>
                <w:szCs w:val="21"/>
                <w:highlight w:val="none"/>
              </w:rPr>
              <w:t>7.2.2</w:t>
            </w:r>
          </w:p>
        </w:tc>
        <w:tc>
          <w:tcPr>
            <w:tcW w:w="1666" w:type="dxa"/>
            <w:vAlign w:val="center"/>
          </w:tcPr>
          <w:p w14:paraId="59938A21">
            <w:pPr>
              <w:autoSpaceDE w:val="0"/>
              <w:autoSpaceDN w:val="0"/>
              <w:rPr>
                <w:rFonts w:ascii="宋体" w:hAnsi="宋体" w:cs="宋体"/>
                <w:szCs w:val="21"/>
                <w:highlight w:val="none"/>
              </w:rPr>
            </w:pPr>
            <w:r>
              <w:rPr>
                <w:rFonts w:hint="eastAsia" w:ascii="宋体" w:hAnsi="宋体" w:cs="宋体"/>
                <w:szCs w:val="21"/>
                <w:highlight w:val="none"/>
              </w:rPr>
              <w:t>中标原则</w:t>
            </w:r>
          </w:p>
        </w:tc>
        <w:tc>
          <w:tcPr>
            <w:tcW w:w="5795" w:type="dxa"/>
            <w:vAlign w:val="center"/>
          </w:tcPr>
          <w:p w14:paraId="04FBBB80">
            <w:pPr>
              <w:autoSpaceDE w:val="0"/>
              <w:autoSpaceDN w:val="0"/>
              <w:rPr>
                <w:rFonts w:hint="default" w:ascii="Arial" w:hAnsi="Arial" w:eastAsia="宋体" w:cs="Arial"/>
                <w:color w:val="333333"/>
                <w:szCs w:val="21"/>
                <w:highlight w:val="none"/>
                <w:lang w:val="en-US" w:eastAsia="zh-CN"/>
              </w:rPr>
            </w:pPr>
            <w:r>
              <w:rPr>
                <w:rFonts w:hint="eastAsia" w:ascii="宋体" w:hAnsi="宋体"/>
                <w:szCs w:val="21"/>
                <w:highlight w:val="none"/>
              </w:rPr>
              <w:t>招标人根据评标委员会推荐的中标候选人确定综合评分由高到低</w:t>
            </w:r>
            <w:r>
              <w:rPr>
                <w:rFonts w:hint="eastAsia"/>
                <w:highlight w:val="none"/>
              </w:rPr>
              <w:t>排名</w:t>
            </w:r>
            <w:r>
              <w:rPr>
                <w:rFonts w:hint="eastAsia"/>
                <w:highlight w:val="none"/>
                <w:lang w:val="en-US" w:eastAsia="zh-CN"/>
              </w:rPr>
              <w:t>第一</w:t>
            </w:r>
            <w:r>
              <w:rPr>
                <w:rFonts w:hint="eastAsia"/>
                <w:highlight w:val="none"/>
              </w:rPr>
              <w:t>的中标候选人为中标人，</w:t>
            </w:r>
            <w:r>
              <w:rPr>
                <w:rFonts w:hint="eastAsia"/>
                <w:highlight w:val="none"/>
                <w:lang w:val="en-US" w:eastAsia="zh-CN"/>
              </w:rPr>
              <w:t>中标份额100%</w:t>
            </w:r>
          </w:p>
        </w:tc>
      </w:tr>
      <w:tr w14:paraId="3B6BC11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0FC3FB1">
            <w:pPr>
              <w:autoSpaceDE w:val="0"/>
              <w:autoSpaceDN w:val="0"/>
              <w:jc w:val="center"/>
              <w:rPr>
                <w:rFonts w:ascii="宋体" w:hAnsi="宋体" w:cs="宋体"/>
                <w:szCs w:val="21"/>
                <w:highlight w:val="none"/>
              </w:rPr>
            </w:pPr>
            <w:r>
              <w:rPr>
                <w:rFonts w:hint="eastAsia" w:ascii="宋体" w:hAnsi="宋体" w:cs="宋体"/>
                <w:szCs w:val="21"/>
                <w:highlight w:val="none"/>
              </w:rPr>
              <w:t>7.2.3</w:t>
            </w:r>
          </w:p>
        </w:tc>
        <w:tc>
          <w:tcPr>
            <w:tcW w:w="1666" w:type="dxa"/>
            <w:vAlign w:val="center"/>
          </w:tcPr>
          <w:p w14:paraId="3EA80E9A">
            <w:pPr>
              <w:autoSpaceDE w:val="0"/>
              <w:autoSpaceDN w:val="0"/>
              <w:rPr>
                <w:rFonts w:ascii="宋体" w:hAnsi="宋体" w:cs="宋体"/>
                <w:szCs w:val="21"/>
                <w:highlight w:val="none"/>
              </w:rPr>
            </w:pPr>
            <w:r>
              <w:rPr>
                <w:rFonts w:hint="eastAsia" w:ascii="宋体" w:hAnsi="宋体" w:cs="宋体"/>
                <w:szCs w:val="21"/>
                <w:highlight w:val="none"/>
              </w:rPr>
              <w:t>确定中标人的特殊情形</w:t>
            </w:r>
          </w:p>
        </w:tc>
        <w:tc>
          <w:tcPr>
            <w:tcW w:w="5795" w:type="dxa"/>
            <w:vAlign w:val="center"/>
          </w:tcPr>
          <w:p w14:paraId="0F1596F7">
            <w:pPr>
              <w:autoSpaceDE w:val="0"/>
              <w:autoSpaceDN w:val="0"/>
              <w:rPr>
                <w:rFonts w:ascii="宋体" w:hAnsi="宋体"/>
                <w:szCs w:val="21"/>
                <w:highlight w:val="none"/>
              </w:rPr>
            </w:pPr>
            <w:r>
              <w:rPr>
                <w:rFonts w:hint="eastAsia" w:asciiTheme="minorEastAsia" w:hAnsiTheme="minorEastAsia" w:eastAsiaTheme="minorEastAsia"/>
                <w:highlight w:val="none"/>
              </w:rPr>
              <w:t>在签订合同之前，中标人</w:t>
            </w:r>
            <w:r>
              <w:rPr>
                <w:rFonts w:cs="Arial" w:asciiTheme="minorEastAsia" w:hAnsiTheme="minorEastAsia" w:eastAsiaTheme="minorEastAsia"/>
                <w:color w:val="333333"/>
                <w:szCs w:val="21"/>
                <w:highlight w:val="none"/>
              </w:rPr>
              <w:t>放弃中标、因不可抗力不能履行合同、不按照招标文件要求提交履约保证金</w:t>
            </w:r>
            <w:r>
              <w:rPr>
                <w:rFonts w:hint="eastAsia" w:cs="Arial" w:asciiTheme="minorEastAsia" w:hAnsiTheme="minorEastAsia" w:eastAsiaTheme="minorEastAsia"/>
                <w:color w:val="333333"/>
                <w:szCs w:val="21"/>
                <w:highlight w:val="none"/>
              </w:rPr>
              <w:t>、</w:t>
            </w:r>
            <w:r>
              <w:rPr>
                <w:rFonts w:cs="Arial" w:asciiTheme="minorEastAsia" w:hAnsiTheme="minorEastAsia" w:eastAsiaTheme="minorEastAsia"/>
                <w:color w:val="333333"/>
                <w:szCs w:val="21"/>
                <w:highlight w:val="none"/>
              </w:rPr>
              <w:t>被查实存在影响中标结果的违法行为</w:t>
            </w:r>
            <w:r>
              <w:rPr>
                <w:rFonts w:hint="eastAsia" w:cs="Arial" w:asciiTheme="minorEastAsia" w:hAnsiTheme="minorEastAsia" w:eastAsiaTheme="minorEastAsia"/>
                <w:color w:val="333333"/>
                <w:szCs w:val="21"/>
                <w:highlight w:val="none"/>
              </w:rPr>
              <w:t>、按照《中国电信供应商不良行为管理规则》及处理结果应对投标人及产品品类在本项目中执行禁止采购处理措施</w:t>
            </w:r>
            <w:r>
              <w:rPr>
                <w:rFonts w:hint="eastAsia" w:asciiTheme="minorEastAsia" w:hAnsiTheme="minorEastAsia" w:eastAsiaTheme="minorEastAsia"/>
                <w:szCs w:val="21"/>
                <w:highlight w:val="none"/>
              </w:rPr>
              <w:t>、</w:t>
            </w:r>
            <w:r>
              <w:rPr>
                <w:rFonts w:hint="eastAsia" w:cs="Arial" w:asciiTheme="minorEastAsia" w:hAnsiTheme="minorEastAsia" w:eastAsiaTheme="minorEastAsia"/>
                <w:color w:val="333333"/>
                <w:szCs w:val="21"/>
                <w:highlight w:val="none"/>
              </w:rPr>
              <w:t>或未通过</w:t>
            </w:r>
            <w:r>
              <w:rPr>
                <w:rFonts w:hint="eastAsia" w:cs="Helvetica" w:asciiTheme="minorEastAsia" w:hAnsiTheme="minorEastAsia" w:eastAsiaTheme="minorEastAsia"/>
                <w:color w:val="333333"/>
                <w:szCs w:val="21"/>
                <w:highlight w:val="none"/>
              </w:rPr>
              <w:t>网络安全审查</w:t>
            </w:r>
            <w:r>
              <w:rPr>
                <w:rFonts w:hint="eastAsia" w:asciiTheme="minorEastAsia" w:hAnsiTheme="minorEastAsia" w:eastAsiaTheme="minorEastAsia"/>
                <w:kern w:val="0"/>
                <w:highlight w:val="none"/>
              </w:rPr>
              <w:t>等情形</w:t>
            </w:r>
            <w:r>
              <w:rPr>
                <w:rFonts w:hint="eastAsia" w:cs="Helvetica" w:asciiTheme="minorEastAsia" w:hAnsiTheme="minorEastAsia" w:eastAsiaTheme="minorEastAsia"/>
                <w:color w:val="333333"/>
                <w:szCs w:val="21"/>
                <w:highlight w:val="none"/>
              </w:rPr>
              <w:t>的</w:t>
            </w:r>
            <w:r>
              <w:rPr>
                <w:rFonts w:cs="Arial" w:asciiTheme="minorEastAsia" w:hAnsiTheme="minorEastAsia" w:eastAsiaTheme="minorEastAsia"/>
                <w:color w:val="333333"/>
                <w:szCs w:val="21"/>
                <w:highlight w:val="none"/>
              </w:rPr>
              <w:t>，招标人按照评标委员会提出的中标候选人名单排序依次确定其他中标候选人为中标人</w:t>
            </w:r>
            <w:r>
              <w:rPr>
                <w:rFonts w:hint="eastAsia" w:cs="Arial" w:asciiTheme="minorEastAsia" w:hAnsiTheme="minorEastAsia" w:eastAsiaTheme="minorEastAsia"/>
                <w:color w:val="333333"/>
                <w:szCs w:val="21"/>
                <w:highlight w:val="none"/>
              </w:rPr>
              <w:t>，也可以重新招标。</w:t>
            </w:r>
          </w:p>
        </w:tc>
      </w:tr>
      <w:tr w14:paraId="01BD69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23" w:hRule="atLeast"/>
        </w:trPr>
        <w:tc>
          <w:tcPr>
            <w:tcW w:w="840" w:type="dxa"/>
            <w:vAlign w:val="center"/>
          </w:tcPr>
          <w:p w14:paraId="40821FE8">
            <w:pPr>
              <w:autoSpaceDE w:val="0"/>
              <w:autoSpaceDN w:val="0"/>
              <w:jc w:val="center"/>
              <w:rPr>
                <w:rFonts w:hint="eastAsia" w:ascii="宋体" w:hAnsi="宋体" w:cs="宋体"/>
                <w:szCs w:val="21"/>
                <w:highlight w:val="none"/>
              </w:rPr>
            </w:pPr>
            <w:r>
              <w:rPr>
                <w:rFonts w:hint="eastAsia" w:cs="宋体" w:asciiTheme="minorEastAsia" w:hAnsiTheme="minorEastAsia" w:eastAsiaTheme="minorEastAsia"/>
                <w:szCs w:val="21"/>
                <w:highlight w:val="none"/>
              </w:rPr>
              <w:t>7.2.4</w:t>
            </w:r>
          </w:p>
        </w:tc>
        <w:tc>
          <w:tcPr>
            <w:tcW w:w="1666" w:type="dxa"/>
            <w:vAlign w:val="center"/>
          </w:tcPr>
          <w:p w14:paraId="44C2F0EA">
            <w:pPr>
              <w:autoSpaceDE w:val="0"/>
              <w:autoSpaceDN w:val="0"/>
              <w:rPr>
                <w:rFonts w:hint="eastAsia" w:ascii="宋体" w:hAnsi="宋体" w:cs="宋体"/>
                <w:szCs w:val="21"/>
                <w:highlight w:val="none"/>
              </w:rPr>
            </w:pPr>
            <w:r>
              <w:rPr>
                <w:rFonts w:hint="eastAsia" w:cs="宋体" w:asciiTheme="minorEastAsia" w:hAnsiTheme="minorEastAsia" w:eastAsiaTheme="minorEastAsia"/>
                <w:szCs w:val="21"/>
                <w:highlight w:val="none"/>
              </w:rPr>
              <w:t>中标人公示</w:t>
            </w:r>
          </w:p>
        </w:tc>
        <w:tc>
          <w:tcPr>
            <w:tcW w:w="5795" w:type="dxa"/>
            <w:vAlign w:val="center"/>
          </w:tcPr>
          <w:p w14:paraId="22C8BA18">
            <w:pPr>
              <w:autoSpaceDE w:val="0"/>
              <w:autoSpaceDN w:val="0"/>
              <w:rPr>
                <w:rFonts w:hint="eastAsia" w:ascii="宋体" w:hAnsi="宋体" w:cs="宋体"/>
                <w:szCs w:val="21"/>
                <w:highlight w:val="none"/>
              </w:rPr>
            </w:pPr>
            <w:r>
              <w:rPr>
                <w:rFonts w:hint="eastAsia" w:asciiTheme="minorEastAsia" w:hAnsiTheme="minorEastAsia" w:eastAsiaTheme="minorEastAsia"/>
                <w:szCs w:val="21"/>
                <w:highlight w:val="none"/>
              </w:rPr>
              <w:t>采用公开招标方式的，招标人可以在“资格预审公告”或者“招标公告”发布媒介公示全部中标人，公示期不少于3日。</w:t>
            </w:r>
          </w:p>
        </w:tc>
      </w:tr>
      <w:tr w14:paraId="533B8ED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23" w:hRule="atLeast"/>
        </w:trPr>
        <w:tc>
          <w:tcPr>
            <w:tcW w:w="840" w:type="dxa"/>
            <w:vAlign w:val="center"/>
          </w:tcPr>
          <w:p w14:paraId="56DA2B5F">
            <w:pPr>
              <w:autoSpaceDE w:val="0"/>
              <w:autoSpaceDN w:val="0"/>
              <w:jc w:val="center"/>
              <w:rPr>
                <w:rFonts w:ascii="宋体" w:hAnsi="宋体" w:cs="宋体"/>
                <w:szCs w:val="21"/>
                <w:highlight w:val="none"/>
              </w:rPr>
            </w:pPr>
            <w:r>
              <w:rPr>
                <w:rFonts w:hint="eastAsia" w:ascii="宋体" w:hAnsi="宋体" w:cs="宋体"/>
                <w:szCs w:val="21"/>
                <w:highlight w:val="none"/>
              </w:rPr>
              <w:t>8.1.</w:t>
            </w:r>
            <w:r>
              <w:rPr>
                <w:rFonts w:ascii="宋体" w:hAnsi="宋体" w:cs="宋体"/>
                <w:szCs w:val="21"/>
                <w:highlight w:val="none"/>
              </w:rPr>
              <w:t>1</w:t>
            </w:r>
          </w:p>
        </w:tc>
        <w:tc>
          <w:tcPr>
            <w:tcW w:w="1666" w:type="dxa"/>
            <w:vAlign w:val="center"/>
          </w:tcPr>
          <w:p w14:paraId="6D2EB84D">
            <w:pPr>
              <w:autoSpaceDE w:val="0"/>
              <w:autoSpaceDN w:val="0"/>
              <w:jc w:val="left"/>
              <w:rPr>
                <w:rFonts w:ascii="宋体" w:hAnsi="宋体" w:cs="宋体"/>
                <w:szCs w:val="21"/>
                <w:highlight w:val="none"/>
              </w:rPr>
            </w:pPr>
            <w:r>
              <w:rPr>
                <w:rFonts w:hint="eastAsia" w:ascii="宋体" w:hAnsi="宋体" w:cs="宋体"/>
                <w:szCs w:val="21"/>
                <w:highlight w:val="none"/>
              </w:rPr>
              <w:t>履约保证金金额和形式</w:t>
            </w:r>
          </w:p>
        </w:tc>
        <w:tc>
          <w:tcPr>
            <w:tcW w:w="5795" w:type="dxa"/>
            <w:vAlign w:val="center"/>
          </w:tcPr>
          <w:p w14:paraId="5AC43829">
            <w:pPr>
              <w:autoSpaceDE w:val="0"/>
              <w:autoSpaceDN w:val="0"/>
              <w:jc w:val="left"/>
              <w:rPr>
                <w:rFonts w:hint="eastAsia" w:ascii="宋体" w:hAnsi="宋体" w:cs="宋体" w:eastAsiaTheme="minorEastAsia"/>
                <w:szCs w:val="21"/>
                <w:highlight w:val="none"/>
                <w:lang w:val="en-US" w:eastAsia="zh-CN"/>
              </w:rPr>
            </w:pPr>
            <w:r>
              <w:rPr>
                <w:rFonts w:hint="eastAsia" w:asciiTheme="minorEastAsia" w:hAnsiTheme="minorEastAsia" w:eastAsiaTheme="minorEastAsia"/>
                <w:szCs w:val="21"/>
                <w:highlight w:val="none"/>
                <w:lang w:val="en-US" w:eastAsia="zh-CN"/>
              </w:rPr>
              <w:t>不</w:t>
            </w:r>
            <w:r>
              <w:rPr>
                <w:rFonts w:hint="eastAsia" w:asciiTheme="minorEastAsia" w:hAnsiTheme="minorEastAsia" w:eastAsiaTheme="minorEastAsia"/>
                <w:szCs w:val="21"/>
                <w:highlight w:val="none"/>
              </w:rPr>
              <w:t>收取履约保证金</w:t>
            </w:r>
          </w:p>
        </w:tc>
      </w:tr>
      <w:tr w14:paraId="6AE62B8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7DAB170">
            <w:pPr>
              <w:autoSpaceDE w:val="0"/>
              <w:autoSpaceDN w:val="0"/>
              <w:jc w:val="center"/>
              <w:rPr>
                <w:rFonts w:ascii="宋体" w:hAnsi="宋体" w:cs="宋体"/>
                <w:szCs w:val="21"/>
                <w:highlight w:val="none"/>
              </w:rPr>
            </w:pPr>
            <w:r>
              <w:rPr>
                <w:rFonts w:hint="eastAsia" w:ascii="宋体" w:hAnsi="宋体" w:cs="宋体"/>
                <w:szCs w:val="21"/>
                <w:highlight w:val="none"/>
              </w:rPr>
              <w:t>9</w:t>
            </w:r>
          </w:p>
        </w:tc>
        <w:tc>
          <w:tcPr>
            <w:tcW w:w="1666" w:type="dxa"/>
            <w:vAlign w:val="center"/>
          </w:tcPr>
          <w:p w14:paraId="30060AD5">
            <w:pPr>
              <w:autoSpaceDE w:val="0"/>
              <w:autoSpaceDN w:val="0"/>
              <w:rPr>
                <w:rFonts w:ascii="宋体" w:hAnsi="宋体" w:cs="宋体"/>
                <w:szCs w:val="21"/>
                <w:highlight w:val="none"/>
              </w:rPr>
            </w:pPr>
            <w:r>
              <w:rPr>
                <w:rFonts w:hint="eastAsia" w:ascii="宋体" w:hAnsi="宋体" w:cs="宋体"/>
                <w:szCs w:val="21"/>
                <w:highlight w:val="none"/>
              </w:rPr>
              <w:t>招标代理服务费金额、交纳方式和时限</w:t>
            </w:r>
          </w:p>
        </w:tc>
        <w:tc>
          <w:tcPr>
            <w:tcW w:w="5795" w:type="dxa"/>
            <w:vAlign w:val="center"/>
          </w:tcPr>
          <w:p w14:paraId="28613078">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本条款增加如下规定：</w:t>
            </w:r>
          </w:p>
          <w:p w14:paraId="43C4F456">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9.1招标代理服务费采用</w:t>
            </w:r>
            <w:r>
              <w:rPr>
                <w:rFonts w:cs="宋体" w:asciiTheme="minorEastAsia" w:hAnsiTheme="minorEastAsia" w:eastAsiaTheme="minorEastAsia"/>
                <w:szCs w:val="21"/>
                <w:highlight w:val="none"/>
              </w:rPr>
              <w:t>差额定率累进</w:t>
            </w:r>
            <w:r>
              <w:rPr>
                <w:rFonts w:hint="eastAsia" w:cs="宋体" w:asciiTheme="minorEastAsia" w:hAnsiTheme="minorEastAsia" w:eastAsiaTheme="minorEastAsia"/>
                <w:szCs w:val="21"/>
                <w:highlight w:val="none"/>
              </w:rPr>
              <w:t>法根据中标金额按照下表中的服务</w:t>
            </w:r>
            <w:r>
              <w:rPr>
                <w:rFonts w:hint="eastAsia" w:ascii="宋体" w:hAnsi="宋体" w:cs="宋体"/>
                <w:szCs w:val="21"/>
                <w:highlight w:val="none"/>
              </w:rPr>
              <w:t>招标</w:t>
            </w:r>
            <w:r>
              <w:rPr>
                <w:rFonts w:hint="eastAsia" w:cs="宋体" w:asciiTheme="minorEastAsia" w:hAnsiTheme="minorEastAsia" w:eastAsiaTheme="minorEastAsia"/>
                <w:szCs w:val="21"/>
                <w:highlight w:val="none"/>
              </w:rPr>
              <w:t>费率的7</w:t>
            </w:r>
            <w:r>
              <w:rPr>
                <w:rFonts w:cs="宋体" w:asciiTheme="minorEastAsia" w:hAnsiTheme="minorEastAsia" w:eastAsiaTheme="minorEastAsia"/>
                <w:szCs w:val="21"/>
                <w:highlight w:val="none"/>
              </w:rPr>
              <w:t>0%</w:t>
            </w:r>
            <w:r>
              <w:rPr>
                <w:rFonts w:hint="eastAsia" w:cs="宋体" w:asciiTheme="minorEastAsia" w:hAnsiTheme="minorEastAsia" w:eastAsiaTheme="minorEastAsia"/>
                <w:szCs w:val="21"/>
                <w:highlight w:val="none"/>
              </w:rPr>
              <w:t>进行计算：</w:t>
            </w:r>
          </w:p>
          <w:tbl>
            <w:tblPr>
              <w:tblStyle w:val="42"/>
              <w:tblW w:w="557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1276"/>
              <w:gridCol w:w="1134"/>
              <w:gridCol w:w="1134"/>
            </w:tblGrid>
            <w:tr w14:paraId="0846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033" w:type="dxa"/>
                  <w:shd w:val="clear" w:color="auto" w:fill="auto"/>
                </w:tcPr>
                <w:p w14:paraId="7779FE83">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 xml:space="preserve">          费率</w:t>
                  </w:r>
                </w:p>
                <w:p w14:paraId="3A49680B">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中标金额</w:t>
                  </w:r>
                </w:p>
              </w:tc>
              <w:tc>
                <w:tcPr>
                  <w:tcW w:w="1276" w:type="dxa"/>
                  <w:shd w:val="clear" w:color="auto" w:fill="auto"/>
                  <w:vAlign w:val="center"/>
                </w:tcPr>
                <w:p w14:paraId="09AE6BD5">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货物招标</w:t>
                  </w:r>
                </w:p>
              </w:tc>
              <w:tc>
                <w:tcPr>
                  <w:tcW w:w="1134" w:type="dxa"/>
                  <w:shd w:val="clear" w:color="auto" w:fill="auto"/>
                  <w:vAlign w:val="center"/>
                </w:tcPr>
                <w:p w14:paraId="2553BF04">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服务招标</w:t>
                  </w:r>
                </w:p>
              </w:tc>
              <w:tc>
                <w:tcPr>
                  <w:tcW w:w="1134" w:type="dxa"/>
                  <w:shd w:val="clear" w:color="auto" w:fill="auto"/>
                  <w:vAlign w:val="center"/>
                </w:tcPr>
                <w:p w14:paraId="5EA5C223">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工程招标</w:t>
                  </w:r>
                </w:p>
              </w:tc>
            </w:tr>
            <w:tr w14:paraId="3156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14:paraId="27F435F4">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100万元以下</w:t>
                  </w:r>
                </w:p>
              </w:tc>
              <w:tc>
                <w:tcPr>
                  <w:tcW w:w="1276" w:type="dxa"/>
                  <w:shd w:val="clear" w:color="auto" w:fill="auto"/>
                </w:tcPr>
                <w:p w14:paraId="26247B62">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1.5%</w:t>
                  </w:r>
                </w:p>
              </w:tc>
              <w:tc>
                <w:tcPr>
                  <w:tcW w:w="1134" w:type="dxa"/>
                  <w:shd w:val="clear" w:color="auto" w:fill="auto"/>
                </w:tcPr>
                <w:p w14:paraId="0E7DFC90">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1.5%</w:t>
                  </w:r>
                </w:p>
              </w:tc>
              <w:tc>
                <w:tcPr>
                  <w:tcW w:w="1134" w:type="dxa"/>
                  <w:shd w:val="clear" w:color="auto" w:fill="auto"/>
                </w:tcPr>
                <w:p w14:paraId="3DB943FE">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w:t>
                  </w:r>
                </w:p>
              </w:tc>
            </w:tr>
            <w:tr w14:paraId="6331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2033" w:type="dxa"/>
                  <w:shd w:val="clear" w:color="auto" w:fill="auto"/>
                </w:tcPr>
                <w:p w14:paraId="6D0451C1">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100～500万元</w:t>
                  </w:r>
                </w:p>
              </w:tc>
              <w:tc>
                <w:tcPr>
                  <w:tcW w:w="1276" w:type="dxa"/>
                  <w:shd w:val="clear" w:color="auto" w:fill="auto"/>
                </w:tcPr>
                <w:p w14:paraId="7ACF3258">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1.1%</w:t>
                  </w:r>
                </w:p>
              </w:tc>
              <w:tc>
                <w:tcPr>
                  <w:tcW w:w="1134" w:type="dxa"/>
                  <w:shd w:val="clear" w:color="auto" w:fill="auto"/>
                </w:tcPr>
                <w:p w14:paraId="00D80B23">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0.8%</w:t>
                  </w:r>
                </w:p>
              </w:tc>
              <w:tc>
                <w:tcPr>
                  <w:tcW w:w="1134" w:type="dxa"/>
                  <w:shd w:val="clear" w:color="auto" w:fill="auto"/>
                </w:tcPr>
                <w:p w14:paraId="2A930040">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0.7%</w:t>
                  </w:r>
                </w:p>
              </w:tc>
            </w:tr>
            <w:tr w14:paraId="3BF8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2033" w:type="dxa"/>
                  <w:shd w:val="clear" w:color="auto" w:fill="auto"/>
                </w:tcPr>
                <w:p w14:paraId="0843C03F">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500～1000万元</w:t>
                  </w:r>
                </w:p>
              </w:tc>
              <w:tc>
                <w:tcPr>
                  <w:tcW w:w="1276" w:type="dxa"/>
                  <w:shd w:val="clear" w:color="auto" w:fill="auto"/>
                </w:tcPr>
                <w:p w14:paraId="5F0C7803">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0.8%</w:t>
                  </w:r>
                </w:p>
              </w:tc>
              <w:tc>
                <w:tcPr>
                  <w:tcW w:w="1134" w:type="dxa"/>
                  <w:shd w:val="clear" w:color="auto" w:fill="auto"/>
                </w:tcPr>
                <w:p w14:paraId="0D1E7E3D">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0.45%</w:t>
                  </w:r>
                </w:p>
              </w:tc>
              <w:tc>
                <w:tcPr>
                  <w:tcW w:w="1134" w:type="dxa"/>
                  <w:shd w:val="clear" w:color="auto" w:fill="auto"/>
                </w:tcPr>
                <w:p w14:paraId="305DD5DC">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0.55%</w:t>
                  </w:r>
                </w:p>
              </w:tc>
            </w:tr>
            <w:tr w14:paraId="7076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33" w:type="dxa"/>
                  <w:shd w:val="clear" w:color="auto" w:fill="auto"/>
                </w:tcPr>
                <w:p w14:paraId="5C5BB9A7">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1000～5000万元</w:t>
                  </w:r>
                </w:p>
              </w:tc>
              <w:tc>
                <w:tcPr>
                  <w:tcW w:w="1276" w:type="dxa"/>
                  <w:shd w:val="clear" w:color="auto" w:fill="auto"/>
                </w:tcPr>
                <w:p w14:paraId="4AB057E0">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0.5%</w:t>
                  </w:r>
                </w:p>
              </w:tc>
              <w:tc>
                <w:tcPr>
                  <w:tcW w:w="1134" w:type="dxa"/>
                  <w:shd w:val="clear" w:color="auto" w:fill="auto"/>
                </w:tcPr>
                <w:p w14:paraId="07D1A34C">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0.25%</w:t>
                  </w:r>
                </w:p>
              </w:tc>
              <w:tc>
                <w:tcPr>
                  <w:tcW w:w="1134" w:type="dxa"/>
                  <w:shd w:val="clear" w:color="auto" w:fill="auto"/>
                </w:tcPr>
                <w:p w14:paraId="5B8DF448">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0.35%</w:t>
                  </w:r>
                </w:p>
              </w:tc>
            </w:tr>
            <w:tr w14:paraId="080B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2033" w:type="dxa"/>
                  <w:shd w:val="clear" w:color="auto" w:fill="auto"/>
                </w:tcPr>
                <w:p w14:paraId="76C9F143">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5000万元～1亿元</w:t>
                  </w:r>
                </w:p>
              </w:tc>
              <w:tc>
                <w:tcPr>
                  <w:tcW w:w="1276" w:type="dxa"/>
                  <w:shd w:val="clear" w:color="auto" w:fill="auto"/>
                </w:tcPr>
                <w:p w14:paraId="6A4521A3">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0.25%</w:t>
                  </w:r>
                </w:p>
              </w:tc>
              <w:tc>
                <w:tcPr>
                  <w:tcW w:w="1134" w:type="dxa"/>
                  <w:shd w:val="clear" w:color="auto" w:fill="auto"/>
                </w:tcPr>
                <w:p w14:paraId="0D06553F">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0.1%</w:t>
                  </w:r>
                </w:p>
              </w:tc>
              <w:tc>
                <w:tcPr>
                  <w:tcW w:w="1134" w:type="dxa"/>
                  <w:shd w:val="clear" w:color="auto" w:fill="auto"/>
                </w:tcPr>
                <w:p w14:paraId="653FE27E">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0.2%</w:t>
                  </w:r>
                </w:p>
              </w:tc>
            </w:tr>
            <w:tr w14:paraId="6217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033" w:type="dxa"/>
                  <w:shd w:val="clear" w:color="auto" w:fill="auto"/>
                </w:tcPr>
                <w:p w14:paraId="742802A9">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1～5亿元</w:t>
                  </w:r>
                </w:p>
              </w:tc>
              <w:tc>
                <w:tcPr>
                  <w:tcW w:w="1276" w:type="dxa"/>
                  <w:shd w:val="clear" w:color="auto" w:fill="auto"/>
                </w:tcPr>
                <w:p w14:paraId="44ED97E4">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0.05%</w:t>
                  </w:r>
                </w:p>
              </w:tc>
              <w:tc>
                <w:tcPr>
                  <w:tcW w:w="1134" w:type="dxa"/>
                  <w:shd w:val="clear" w:color="auto" w:fill="auto"/>
                </w:tcPr>
                <w:p w14:paraId="74E236BD">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0.05%</w:t>
                  </w:r>
                </w:p>
              </w:tc>
              <w:tc>
                <w:tcPr>
                  <w:tcW w:w="1134" w:type="dxa"/>
                  <w:shd w:val="clear" w:color="auto" w:fill="auto"/>
                </w:tcPr>
                <w:p w14:paraId="78567E20">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0.05%</w:t>
                  </w:r>
                </w:p>
              </w:tc>
            </w:tr>
            <w:tr w14:paraId="7C88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033" w:type="dxa"/>
                  <w:shd w:val="clear" w:color="auto" w:fill="auto"/>
                </w:tcPr>
                <w:p w14:paraId="03A527F2">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5～10亿元</w:t>
                  </w:r>
                </w:p>
              </w:tc>
              <w:tc>
                <w:tcPr>
                  <w:tcW w:w="1276" w:type="dxa"/>
                  <w:shd w:val="clear" w:color="auto" w:fill="auto"/>
                </w:tcPr>
                <w:p w14:paraId="4CE21273">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0.035%</w:t>
                  </w:r>
                </w:p>
              </w:tc>
              <w:tc>
                <w:tcPr>
                  <w:tcW w:w="1134" w:type="dxa"/>
                  <w:shd w:val="clear" w:color="auto" w:fill="auto"/>
                </w:tcPr>
                <w:p w14:paraId="359E727B">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0.035%</w:t>
                  </w:r>
                </w:p>
              </w:tc>
              <w:tc>
                <w:tcPr>
                  <w:tcW w:w="1134" w:type="dxa"/>
                  <w:shd w:val="clear" w:color="auto" w:fill="auto"/>
                </w:tcPr>
                <w:p w14:paraId="5B412613">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0.035%</w:t>
                  </w:r>
                </w:p>
              </w:tc>
            </w:tr>
            <w:tr w14:paraId="449B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033" w:type="dxa"/>
                  <w:shd w:val="clear" w:color="auto" w:fill="auto"/>
                </w:tcPr>
                <w:p w14:paraId="66140351">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10～50亿元</w:t>
                  </w:r>
                </w:p>
              </w:tc>
              <w:tc>
                <w:tcPr>
                  <w:tcW w:w="1276" w:type="dxa"/>
                  <w:shd w:val="clear" w:color="auto" w:fill="auto"/>
                </w:tcPr>
                <w:p w14:paraId="4079E1A4">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0.008%</w:t>
                  </w:r>
                </w:p>
              </w:tc>
              <w:tc>
                <w:tcPr>
                  <w:tcW w:w="1134" w:type="dxa"/>
                  <w:shd w:val="clear" w:color="auto" w:fill="auto"/>
                </w:tcPr>
                <w:p w14:paraId="6E8BC42F">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0.008%</w:t>
                  </w:r>
                </w:p>
              </w:tc>
              <w:tc>
                <w:tcPr>
                  <w:tcW w:w="1134" w:type="dxa"/>
                  <w:shd w:val="clear" w:color="auto" w:fill="auto"/>
                </w:tcPr>
                <w:p w14:paraId="5E9193C2">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0.008%</w:t>
                  </w:r>
                </w:p>
              </w:tc>
            </w:tr>
            <w:tr w14:paraId="0361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14:paraId="51E15204">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50～100亿元</w:t>
                  </w:r>
                </w:p>
              </w:tc>
              <w:tc>
                <w:tcPr>
                  <w:tcW w:w="1276" w:type="dxa"/>
                  <w:shd w:val="clear" w:color="auto" w:fill="auto"/>
                </w:tcPr>
                <w:p w14:paraId="32EB4E17">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0.006%</w:t>
                  </w:r>
                </w:p>
              </w:tc>
              <w:tc>
                <w:tcPr>
                  <w:tcW w:w="1134" w:type="dxa"/>
                  <w:shd w:val="clear" w:color="auto" w:fill="auto"/>
                </w:tcPr>
                <w:p w14:paraId="4CC08389">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0.006%</w:t>
                  </w:r>
                </w:p>
              </w:tc>
              <w:tc>
                <w:tcPr>
                  <w:tcW w:w="1134" w:type="dxa"/>
                  <w:shd w:val="clear" w:color="auto" w:fill="auto"/>
                </w:tcPr>
                <w:p w14:paraId="6FFCEECC">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0.006%</w:t>
                  </w:r>
                </w:p>
              </w:tc>
            </w:tr>
            <w:tr w14:paraId="7E88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14:paraId="18122959">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100亿以上</w:t>
                  </w:r>
                </w:p>
              </w:tc>
              <w:tc>
                <w:tcPr>
                  <w:tcW w:w="1276" w:type="dxa"/>
                  <w:shd w:val="clear" w:color="auto" w:fill="auto"/>
                </w:tcPr>
                <w:p w14:paraId="00FA01F9">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0.004%</w:t>
                  </w:r>
                </w:p>
              </w:tc>
              <w:tc>
                <w:tcPr>
                  <w:tcW w:w="1134" w:type="dxa"/>
                  <w:shd w:val="clear" w:color="auto" w:fill="auto"/>
                </w:tcPr>
                <w:p w14:paraId="79B98EEF">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0.004%</w:t>
                  </w:r>
                </w:p>
              </w:tc>
              <w:tc>
                <w:tcPr>
                  <w:tcW w:w="1134" w:type="dxa"/>
                  <w:shd w:val="clear" w:color="auto" w:fill="auto"/>
                </w:tcPr>
                <w:p w14:paraId="08BFF575">
                  <w:pPr>
                    <w:autoSpaceDE w:val="0"/>
                    <w:autoSpaceDN w:val="0"/>
                    <w:jc w:val="center"/>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0.004%</w:t>
                  </w:r>
                </w:p>
              </w:tc>
            </w:tr>
          </w:tbl>
          <w:p w14:paraId="34CC013F">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例如：某货物招标，中标金额为6000万元人民币，则招标代理服务费计算方式如下：</w:t>
            </w:r>
          </w:p>
          <w:p w14:paraId="10B3F8FF">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100万元×1.5%=1.5万元</w:t>
            </w:r>
          </w:p>
          <w:p w14:paraId="09D50772">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（500-100）万元×1.1%=4.4万元</w:t>
            </w:r>
          </w:p>
          <w:p w14:paraId="75386AFC">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（1000-500）×0.8%=4万元</w:t>
            </w:r>
          </w:p>
          <w:p w14:paraId="0D1344FA">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（5000-1000）×0.5%=20万元</w:t>
            </w:r>
          </w:p>
          <w:p w14:paraId="1453109E">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（6000-5000）×0.25%=2.5万元</w:t>
            </w:r>
          </w:p>
          <w:p w14:paraId="07B041D7">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合计收费=1.5+4.4+4+20+2.5=32.4（万元）</w:t>
            </w:r>
          </w:p>
          <w:p w14:paraId="537FC717">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说明：招标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w:t>
            </w:r>
          </w:p>
          <w:p w14:paraId="1C3A9F09">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9.2 缴纳方式：【</w:t>
            </w:r>
            <w:r>
              <w:rPr>
                <w:rFonts w:hint="eastAsia" w:cs="宋体" w:asciiTheme="minorEastAsia" w:hAnsiTheme="minorEastAsia" w:eastAsiaTheme="minorEastAsia"/>
                <w:szCs w:val="21"/>
                <w:highlight w:val="none"/>
                <w:u w:val="single"/>
              </w:rPr>
              <w:t>银行转账、汇款等形式</w:t>
            </w:r>
            <w:r>
              <w:rPr>
                <w:rFonts w:hint="eastAsia" w:cs="宋体" w:asciiTheme="minorEastAsia" w:hAnsiTheme="minorEastAsia" w:eastAsiaTheme="minorEastAsia"/>
                <w:szCs w:val="21"/>
                <w:highlight w:val="none"/>
              </w:rPr>
              <w:t>】。</w:t>
            </w:r>
          </w:p>
          <w:p w14:paraId="06C3582A">
            <w:pPr>
              <w:autoSpaceDE w:val="0"/>
              <w:autoSpaceDN w:val="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9.3中标金额计取依据：中标含税金额。</w:t>
            </w:r>
          </w:p>
          <w:p w14:paraId="240E7D99">
            <w:pPr>
              <w:autoSpaceDE w:val="0"/>
              <w:autoSpaceDN w:val="0"/>
              <w:rPr>
                <w:rFonts w:ascii="宋体" w:hAnsi="宋体" w:cs="宋体"/>
                <w:szCs w:val="21"/>
                <w:highlight w:val="none"/>
              </w:rPr>
            </w:pPr>
            <w:r>
              <w:rPr>
                <w:rFonts w:hint="eastAsia" w:cs="宋体" w:asciiTheme="minorEastAsia" w:hAnsiTheme="minorEastAsia" w:eastAsiaTheme="minorEastAsia"/>
                <w:szCs w:val="21"/>
                <w:highlight w:val="none"/>
              </w:rPr>
              <w:t>9.4 缴纳期限及周期：</w:t>
            </w:r>
            <w:r>
              <w:rPr>
                <w:rFonts w:hint="eastAsia" w:cs="宋体" w:asciiTheme="minorEastAsia" w:hAnsiTheme="minorEastAsia" w:eastAsiaTheme="minorEastAsia"/>
                <w:szCs w:val="21"/>
                <w:highlight w:val="none"/>
                <w:u w:val="single"/>
              </w:rPr>
              <w:t>【中标人在收到招标代理服务费付款通知书后15日内向招标代理机构支付招标代理服务费】</w:t>
            </w:r>
            <w:r>
              <w:rPr>
                <w:rFonts w:hint="eastAsia" w:cs="宋体" w:asciiTheme="minorEastAsia" w:hAnsiTheme="minorEastAsia" w:eastAsiaTheme="minorEastAsia"/>
                <w:szCs w:val="21"/>
                <w:highlight w:val="none"/>
              </w:rPr>
              <w:t>。</w:t>
            </w:r>
          </w:p>
        </w:tc>
      </w:tr>
      <w:tr w14:paraId="149869B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619D028">
            <w:pPr>
              <w:autoSpaceDE w:val="0"/>
              <w:autoSpaceDN w:val="0"/>
              <w:jc w:val="center"/>
              <w:rPr>
                <w:rFonts w:ascii="宋体" w:hAnsi="宋体" w:cs="宋体"/>
                <w:szCs w:val="21"/>
                <w:highlight w:val="none"/>
              </w:rPr>
            </w:pPr>
            <w:r>
              <w:rPr>
                <w:rFonts w:hint="eastAsia" w:ascii="宋体" w:hAnsi="宋体" w:cs="宋体"/>
                <w:szCs w:val="21"/>
                <w:highlight w:val="none"/>
              </w:rPr>
              <w:t>11</w:t>
            </w:r>
          </w:p>
        </w:tc>
        <w:tc>
          <w:tcPr>
            <w:tcW w:w="1666" w:type="dxa"/>
            <w:vAlign w:val="center"/>
          </w:tcPr>
          <w:p w14:paraId="2FC1D077">
            <w:pPr>
              <w:autoSpaceDE w:val="0"/>
              <w:autoSpaceDN w:val="0"/>
              <w:rPr>
                <w:rFonts w:ascii="宋体" w:hAnsi="宋体" w:cs="宋体"/>
                <w:szCs w:val="21"/>
                <w:highlight w:val="none"/>
              </w:rPr>
            </w:pPr>
            <w:r>
              <w:rPr>
                <w:rFonts w:hint="eastAsia" w:ascii="宋体" w:hAnsi="宋体" w:cs="宋体"/>
                <w:szCs w:val="21"/>
                <w:highlight w:val="none"/>
              </w:rPr>
              <w:t>需要补充的其他内容</w:t>
            </w:r>
          </w:p>
        </w:tc>
        <w:tc>
          <w:tcPr>
            <w:tcW w:w="5795" w:type="dxa"/>
            <w:vAlign w:val="center"/>
          </w:tcPr>
          <w:p w14:paraId="0D1593FB">
            <w:pPr>
              <w:autoSpaceDE w:val="0"/>
              <w:autoSpaceDN w:val="0"/>
              <w:rPr>
                <w:rFonts w:ascii="宋体" w:hAnsi="宋体" w:cs="宋体"/>
                <w:szCs w:val="21"/>
                <w:highlight w:val="none"/>
              </w:rPr>
            </w:pPr>
            <w:r>
              <w:rPr>
                <w:rFonts w:hint="eastAsia" w:ascii="宋体" w:hAnsi="宋体" w:cs="宋体"/>
                <w:szCs w:val="21"/>
                <w:highlight w:val="none"/>
              </w:rPr>
              <w:t>投标人试图对招标人进行影响，或对评标委员会的评标、比较或中标候选人的决定进行影响，都可能导致其投标被否决。</w:t>
            </w:r>
          </w:p>
        </w:tc>
      </w:tr>
      <w:tr w14:paraId="6E58CEF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vAlign w:val="center"/>
          </w:tcPr>
          <w:p w14:paraId="42EB1945">
            <w:pPr>
              <w:autoSpaceDE w:val="0"/>
              <w:autoSpaceDN w:val="0"/>
              <w:jc w:val="center"/>
              <w:rPr>
                <w:rFonts w:ascii="宋体" w:hAnsi="宋体" w:cs="宋体"/>
                <w:b/>
                <w:szCs w:val="21"/>
                <w:highlight w:val="none"/>
              </w:rPr>
            </w:pPr>
            <w:r>
              <w:rPr>
                <w:rFonts w:hint="eastAsia" w:ascii="宋体" w:hAnsi="宋体" w:cs="宋体"/>
                <w:b/>
                <w:szCs w:val="21"/>
                <w:highlight w:val="none"/>
              </w:rPr>
              <w:t>招标文件否决投标条款汇总</w:t>
            </w:r>
          </w:p>
        </w:tc>
      </w:tr>
      <w:tr w14:paraId="531ED50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bottom w:val="single" w:color="auto" w:sz="4" w:space="0"/>
            </w:tcBorders>
            <w:vAlign w:val="center"/>
          </w:tcPr>
          <w:p w14:paraId="70E8A27E">
            <w:pPr>
              <w:autoSpaceDE w:val="0"/>
              <w:autoSpaceDN w:val="0"/>
              <w:jc w:val="center"/>
              <w:rPr>
                <w:rFonts w:ascii="宋体" w:hAnsi="宋体" w:cs="宋体"/>
                <w:b/>
                <w:szCs w:val="21"/>
                <w:highlight w:val="none"/>
              </w:rPr>
            </w:pPr>
            <w:r>
              <w:rPr>
                <w:rFonts w:hint="eastAsia" w:ascii="宋体" w:hAnsi="宋体" w:cs="宋体"/>
                <w:b/>
                <w:szCs w:val="21"/>
                <w:highlight w:val="none"/>
              </w:rPr>
              <w:t>条款号</w:t>
            </w:r>
          </w:p>
        </w:tc>
        <w:tc>
          <w:tcPr>
            <w:tcW w:w="1666" w:type="dxa"/>
            <w:vAlign w:val="center"/>
          </w:tcPr>
          <w:p w14:paraId="545CBF8A">
            <w:pPr>
              <w:autoSpaceDE w:val="0"/>
              <w:autoSpaceDN w:val="0"/>
              <w:jc w:val="center"/>
              <w:rPr>
                <w:rFonts w:ascii="宋体" w:hAnsi="宋体" w:cs="宋体"/>
                <w:b/>
                <w:szCs w:val="21"/>
                <w:highlight w:val="none"/>
              </w:rPr>
            </w:pPr>
            <w:r>
              <w:rPr>
                <w:rFonts w:hint="eastAsia" w:ascii="宋体" w:hAnsi="宋体" w:cs="宋体"/>
                <w:b/>
                <w:szCs w:val="21"/>
                <w:highlight w:val="none"/>
              </w:rPr>
              <w:t>条款名称</w:t>
            </w:r>
          </w:p>
        </w:tc>
        <w:tc>
          <w:tcPr>
            <w:tcW w:w="5795" w:type="dxa"/>
            <w:vAlign w:val="center"/>
          </w:tcPr>
          <w:p w14:paraId="27BF46C4">
            <w:pPr>
              <w:autoSpaceDE w:val="0"/>
              <w:autoSpaceDN w:val="0"/>
              <w:jc w:val="center"/>
              <w:rPr>
                <w:rFonts w:ascii="宋体" w:hAnsi="宋体"/>
                <w:b/>
                <w:highlight w:val="none"/>
              </w:rPr>
            </w:pPr>
            <w:r>
              <w:rPr>
                <w:rFonts w:hint="eastAsia" w:ascii="宋体" w:hAnsi="宋体"/>
                <w:b/>
                <w:highlight w:val="none"/>
              </w:rPr>
              <w:t>编写内容</w:t>
            </w:r>
          </w:p>
        </w:tc>
      </w:tr>
      <w:tr w14:paraId="33F5C25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tcBorders>
              <w:top w:val="single" w:color="auto" w:sz="4" w:space="0"/>
              <w:bottom w:val="single" w:color="auto" w:sz="4" w:space="0"/>
            </w:tcBorders>
            <w:vAlign w:val="center"/>
          </w:tcPr>
          <w:p w14:paraId="648B20AC">
            <w:pPr>
              <w:autoSpaceDE w:val="0"/>
              <w:autoSpaceDN w:val="0"/>
              <w:jc w:val="left"/>
              <w:rPr>
                <w:rFonts w:ascii="宋体" w:hAnsi="宋体"/>
                <w:b/>
                <w:highlight w:val="none"/>
              </w:rPr>
            </w:pPr>
            <w:r>
              <w:rPr>
                <w:rFonts w:hint="eastAsia" w:ascii="宋体" w:hAnsi="宋体"/>
                <w:b/>
                <w:highlight w:val="none"/>
              </w:rPr>
              <w:t>第一部分：专用部分</w:t>
            </w:r>
          </w:p>
        </w:tc>
      </w:tr>
      <w:tr w14:paraId="523BEE0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840" w:type="dxa"/>
            <w:vAlign w:val="center"/>
          </w:tcPr>
          <w:p w14:paraId="160D277E">
            <w:pPr>
              <w:autoSpaceDE w:val="0"/>
              <w:autoSpaceDN w:val="0"/>
              <w:jc w:val="center"/>
              <w:rPr>
                <w:rFonts w:hint="eastAsia" w:ascii="宋体" w:hAnsi="宋体" w:cs="宋体"/>
                <w:szCs w:val="21"/>
                <w:highlight w:val="none"/>
              </w:rPr>
            </w:pPr>
            <w:r>
              <w:rPr>
                <w:rFonts w:hint="eastAsia" w:asciiTheme="minorEastAsia" w:hAnsiTheme="minorEastAsia" w:eastAsiaTheme="minorEastAsia"/>
                <w:szCs w:val="21"/>
                <w:highlight w:val="none"/>
              </w:rPr>
              <w:t>第一章招标公告/投标邀请书</w:t>
            </w:r>
          </w:p>
        </w:tc>
        <w:tc>
          <w:tcPr>
            <w:tcW w:w="1666" w:type="dxa"/>
            <w:vAlign w:val="center"/>
          </w:tcPr>
          <w:p w14:paraId="2B622912">
            <w:pPr>
              <w:autoSpaceDE w:val="0"/>
              <w:autoSpaceDN w:val="0"/>
              <w:rPr>
                <w:rFonts w:hint="eastAsia" w:ascii="宋体" w:hAnsi="宋体" w:cs="宋体"/>
                <w:szCs w:val="21"/>
                <w:highlight w:val="none"/>
              </w:rPr>
            </w:pPr>
            <w:r>
              <w:rPr>
                <w:rFonts w:hint="eastAsia" w:asciiTheme="minorEastAsia" w:hAnsiTheme="minorEastAsia" w:eastAsiaTheme="minorEastAsia"/>
                <w:szCs w:val="21"/>
                <w:highlight w:val="none"/>
              </w:rPr>
              <w:t>1.4最高投标限价</w:t>
            </w:r>
          </w:p>
        </w:tc>
        <w:tc>
          <w:tcPr>
            <w:tcW w:w="5795" w:type="dxa"/>
            <w:vAlign w:val="center"/>
          </w:tcPr>
          <w:p w14:paraId="27E58F3B">
            <w:pPr>
              <w:autoSpaceDE w:val="0"/>
              <w:autoSpaceDN w:val="0"/>
              <w:rPr>
                <w:rFonts w:hint="eastAsia" w:ascii="宋体" w:hAnsi="宋体" w:cs="宋体"/>
                <w:szCs w:val="21"/>
                <w:highlight w:val="none"/>
                <w:lang w:eastAsia="zh-CN"/>
              </w:rPr>
            </w:pPr>
            <w:r>
              <w:rPr>
                <w:rFonts w:hint="eastAsia" w:asciiTheme="minorEastAsia" w:hAnsiTheme="minorEastAsia" w:eastAsiaTheme="minorEastAsia"/>
                <w:szCs w:val="21"/>
                <w:highlight w:val="none"/>
              </w:rPr>
              <w:t>本项目设置最高投标限价，最高投标限价</w:t>
            </w:r>
            <w:r>
              <w:rPr>
                <w:rFonts w:hint="eastAsia" w:asciiTheme="minorEastAsia" w:hAnsiTheme="minorEastAsia" w:eastAsiaTheme="minorEastAsia"/>
                <w:szCs w:val="21"/>
                <w:highlight w:val="none"/>
                <w:lang w:val="en-US" w:eastAsia="zh-CN"/>
              </w:rPr>
              <w:t>详见公告</w:t>
            </w:r>
            <w:r>
              <w:rPr>
                <w:rFonts w:hint="eastAsia" w:asciiTheme="minorEastAsia" w:hAnsiTheme="minorEastAsia" w:eastAsiaTheme="minorEastAsia"/>
                <w:szCs w:val="21"/>
                <w:highlight w:val="none"/>
              </w:rPr>
              <w:t>，投标人投标报价高于最高投标限价的，其投标将被否决。</w:t>
            </w:r>
          </w:p>
        </w:tc>
      </w:tr>
      <w:tr w14:paraId="0B1391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840" w:type="dxa"/>
            <w:vMerge w:val="restart"/>
            <w:vAlign w:val="center"/>
          </w:tcPr>
          <w:p w14:paraId="5536B0F8">
            <w:pPr>
              <w:autoSpaceDE w:val="0"/>
              <w:autoSpaceDN w:val="0"/>
              <w:jc w:val="center"/>
              <w:rPr>
                <w:rFonts w:ascii="宋体" w:hAnsi="宋体"/>
                <w:szCs w:val="21"/>
                <w:highlight w:val="none"/>
              </w:rPr>
            </w:pPr>
            <w:r>
              <w:rPr>
                <w:rFonts w:hint="eastAsia" w:ascii="宋体" w:hAnsi="宋体" w:cs="宋体"/>
                <w:szCs w:val="21"/>
                <w:highlight w:val="none"/>
              </w:rPr>
              <w:t>第二章投标人须知</w:t>
            </w:r>
          </w:p>
        </w:tc>
        <w:tc>
          <w:tcPr>
            <w:tcW w:w="1666" w:type="dxa"/>
            <w:vAlign w:val="center"/>
          </w:tcPr>
          <w:p w14:paraId="787EDB32">
            <w:pPr>
              <w:autoSpaceDE w:val="0"/>
              <w:autoSpaceDN w:val="0"/>
              <w:rPr>
                <w:rFonts w:ascii="宋体" w:hAnsi="宋体" w:cs="宋体"/>
                <w:szCs w:val="21"/>
                <w:highlight w:val="none"/>
              </w:rPr>
            </w:pPr>
            <w:r>
              <w:rPr>
                <w:rFonts w:hint="eastAsia" w:ascii="宋体" w:hAnsi="宋体" w:cs="宋体"/>
                <w:szCs w:val="21"/>
                <w:highlight w:val="none"/>
              </w:rPr>
              <w:t>2.1.4是否以单项报价核定低于成本</w:t>
            </w:r>
          </w:p>
        </w:tc>
        <w:tc>
          <w:tcPr>
            <w:tcW w:w="5795" w:type="dxa"/>
            <w:vAlign w:val="center"/>
          </w:tcPr>
          <w:p w14:paraId="628CA6D9">
            <w:pPr>
              <w:autoSpaceDE w:val="0"/>
              <w:autoSpaceDN w:val="0"/>
              <w:rPr>
                <w:rFonts w:ascii="宋体" w:hAnsi="宋体" w:cs="宋体"/>
                <w:szCs w:val="21"/>
                <w:highlight w:val="none"/>
              </w:rPr>
            </w:pPr>
            <w:r>
              <w:rPr>
                <w:rFonts w:hint="eastAsia" w:ascii="宋体" w:hAnsi="宋体" w:cs="宋体"/>
                <w:szCs w:val="21"/>
                <w:highlight w:val="none"/>
                <w:lang w:eastAsia="zh-CN"/>
              </w:rPr>
              <w:sym w:font="Wingdings 2" w:char="0052"/>
            </w:r>
            <w:r>
              <w:rPr>
                <w:rFonts w:hint="eastAsia" w:ascii="宋体" w:hAnsi="宋体" w:cs="宋体"/>
                <w:szCs w:val="21"/>
                <w:highlight w:val="none"/>
              </w:rPr>
              <w:t>不要求</w:t>
            </w:r>
          </w:p>
        </w:tc>
      </w:tr>
      <w:tr w14:paraId="18BA9E3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041A73BC">
            <w:pPr>
              <w:autoSpaceDE w:val="0"/>
              <w:autoSpaceDN w:val="0"/>
              <w:jc w:val="center"/>
              <w:rPr>
                <w:rFonts w:ascii="宋体" w:hAnsi="宋体"/>
                <w:szCs w:val="21"/>
                <w:highlight w:val="none"/>
              </w:rPr>
            </w:pPr>
          </w:p>
        </w:tc>
        <w:tc>
          <w:tcPr>
            <w:tcW w:w="1666" w:type="dxa"/>
            <w:vAlign w:val="center"/>
          </w:tcPr>
          <w:p w14:paraId="22821022">
            <w:pPr>
              <w:autoSpaceDE w:val="0"/>
              <w:autoSpaceDN w:val="0"/>
              <w:rPr>
                <w:rFonts w:ascii="宋体" w:hAnsi="宋体" w:cs="宋体"/>
                <w:szCs w:val="21"/>
                <w:highlight w:val="none"/>
              </w:rPr>
            </w:pPr>
            <w:r>
              <w:rPr>
                <w:rFonts w:hint="eastAsia" w:ascii="宋体" w:hAnsi="宋体" w:cs="宋体"/>
                <w:szCs w:val="21"/>
                <w:highlight w:val="none"/>
              </w:rPr>
              <w:t>3.4.1 投标有效期投标有效期</w:t>
            </w:r>
          </w:p>
        </w:tc>
        <w:tc>
          <w:tcPr>
            <w:tcW w:w="5795" w:type="dxa"/>
            <w:vAlign w:val="center"/>
          </w:tcPr>
          <w:p w14:paraId="4766E6C0">
            <w:pPr>
              <w:autoSpaceDE w:val="0"/>
              <w:autoSpaceDN w:val="0"/>
              <w:rPr>
                <w:rFonts w:ascii="宋体" w:hAnsi="宋体" w:cs="宋体"/>
                <w:szCs w:val="21"/>
                <w:highlight w:val="none"/>
              </w:rPr>
            </w:pPr>
            <w:r>
              <w:rPr>
                <w:rFonts w:hint="eastAsia" w:ascii="宋体" w:hAnsi="宋体"/>
                <w:highlight w:val="none"/>
                <w:lang w:val="en-US" w:eastAsia="zh-CN"/>
              </w:rPr>
              <w:t xml:space="preserve">投标有效期要求详见第二章 投标人须知前附表 </w:t>
            </w:r>
            <w:r>
              <w:rPr>
                <w:rFonts w:hint="eastAsia" w:ascii="宋体" w:hAnsi="宋体" w:cs="宋体"/>
                <w:szCs w:val="21"/>
                <w:highlight w:val="none"/>
              </w:rPr>
              <w:t>3.4.1</w:t>
            </w:r>
            <w:r>
              <w:rPr>
                <w:rFonts w:hint="eastAsia" w:ascii="宋体" w:hAnsi="宋体" w:cs="宋体"/>
                <w:szCs w:val="21"/>
                <w:highlight w:val="none"/>
                <w:lang w:val="en-US" w:eastAsia="zh-CN"/>
              </w:rPr>
              <w:t>条款，</w:t>
            </w:r>
            <w:r>
              <w:rPr>
                <w:rFonts w:hint="eastAsia" w:ascii="宋体" w:hAnsi="宋体"/>
                <w:highlight w:val="none"/>
              </w:rPr>
              <w:t>投标有效期不满足招标文件要求的投标将被否决。</w:t>
            </w:r>
          </w:p>
        </w:tc>
      </w:tr>
      <w:tr w14:paraId="2DA1A4F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tcBorders>
              <w:bottom w:val="single" w:color="auto" w:sz="4" w:space="0"/>
            </w:tcBorders>
            <w:vAlign w:val="center"/>
          </w:tcPr>
          <w:p w14:paraId="082CAE45">
            <w:pPr>
              <w:autoSpaceDE w:val="0"/>
              <w:autoSpaceDN w:val="0"/>
              <w:jc w:val="center"/>
              <w:rPr>
                <w:rFonts w:ascii="宋体" w:hAnsi="宋体"/>
                <w:szCs w:val="21"/>
                <w:highlight w:val="none"/>
              </w:rPr>
            </w:pPr>
          </w:p>
        </w:tc>
        <w:tc>
          <w:tcPr>
            <w:tcW w:w="1666" w:type="dxa"/>
            <w:vAlign w:val="center"/>
          </w:tcPr>
          <w:p w14:paraId="1F1E3998">
            <w:pPr>
              <w:autoSpaceDE w:val="0"/>
              <w:autoSpaceDN w:val="0"/>
              <w:rPr>
                <w:rFonts w:ascii="宋体" w:hAnsi="宋体" w:cs="宋体"/>
                <w:szCs w:val="21"/>
                <w:highlight w:val="none"/>
              </w:rPr>
            </w:pPr>
            <w:r>
              <w:rPr>
                <w:rFonts w:hint="eastAsia" w:ascii="宋体" w:hAnsi="宋体" w:cs="宋体"/>
                <w:szCs w:val="21"/>
                <w:highlight w:val="none"/>
              </w:rPr>
              <w:t>3.5投标保证金</w:t>
            </w:r>
          </w:p>
        </w:tc>
        <w:tc>
          <w:tcPr>
            <w:tcW w:w="5795" w:type="dxa"/>
            <w:vAlign w:val="center"/>
          </w:tcPr>
          <w:p w14:paraId="238556AF">
            <w:pPr>
              <w:autoSpaceDE w:val="0"/>
              <w:autoSpaceDN w:val="0"/>
              <w:rPr>
                <w:rFonts w:hint="default" w:ascii="宋体" w:hAnsi="宋体" w:cs="宋体"/>
                <w:szCs w:val="21"/>
                <w:highlight w:val="none"/>
                <w:lang w:val="en-US"/>
              </w:rPr>
            </w:pPr>
            <w:r>
              <w:rPr>
                <w:rFonts w:hint="eastAsia" w:ascii="宋体" w:hAnsi="宋体" w:cs="宋体"/>
                <w:szCs w:val="21"/>
                <w:highlight w:val="none"/>
              </w:rPr>
              <w:t>3.5.1要求递交投标保证金，投标保证金</w:t>
            </w:r>
            <w:r>
              <w:rPr>
                <w:rFonts w:hint="eastAsia" w:ascii="宋体" w:hAnsi="宋体"/>
                <w:highlight w:val="none"/>
                <w:lang w:val="en-US" w:eastAsia="zh-CN"/>
              </w:rPr>
              <w:t xml:space="preserve">要求详见第二章 投标人须知前附表 </w:t>
            </w:r>
            <w:r>
              <w:rPr>
                <w:rFonts w:hint="eastAsia" w:ascii="宋体" w:hAnsi="宋体" w:cs="宋体"/>
                <w:szCs w:val="21"/>
                <w:highlight w:val="none"/>
              </w:rPr>
              <w:t>3.</w:t>
            </w:r>
            <w:r>
              <w:rPr>
                <w:rFonts w:hint="eastAsia" w:ascii="宋体" w:hAnsi="宋体" w:cs="宋体"/>
                <w:szCs w:val="21"/>
                <w:highlight w:val="none"/>
                <w:lang w:val="en-US" w:eastAsia="zh-CN"/>
              </w:rPr>
              <w:t>5.1条款。</w:t>
            </w:r>
          </w:p>
          <w:p w14:paraId="32F0512B">
            <w:pPr>
              <w:autoSpaceDE w:val="0"/>
              <w:autoSpaceDN w:val="0"/>
              <w:rPr>
                <w:rFonts w:ascii="宋体" w:hAnsi="宋体" w:cs="宋体"/>
                <w:szCs w:val="21"/>
                <w:highlight w:val="none"/>
              </w:rPr>
            </w:pPr>
            <w:r>
              <w:rPr>
                <w:rFonts w:hint="eastAsia" w:ascii="宋体" w:hAnsi="宋体" w:cs="宋体"/>
                <w:szCs w:val="21"/>
                <w:highlight w:val="none"/>
              </w:rPr>
              <w:t>3.5.5未</w:t>
            </w:r>
            <w:r>
              <w:rPr>
                <w:rFonts w:hint="eastAsia" w:hAnsi="宋体"/>
                <w:highlight w:val="none"/>
              </w:rPr>
              <w:t>递交投标保证金或者递交的投标保证金有瑕疵的投标将被否决。</w:t>
            </w:r>
          </w:p>
        </w:tc>
      </w:tr>
      <w:tr w14:paraId="1B2926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tcBorders>
            <w:vAlign w:val="center"/>
          </w:tcPr>
          <w:p w14:paraId="41F15521">
            <w:pPr>
              <w:autoSpaceDE w:val="0"/>
              <w:autoSpaceDN w:val="0"/>
              <w:jc w:val="center"/>
              <w:rPr>
                <w:rFonts w:ascii="宋体" w:hAnsi="宋体"/>
                <w:szCs w:val="21"/>
                <w:highlight w:val="none"/>
              </w:rPr>
            </w:pPr>
            <w:r>
              <w:rPr>
                <w:rFonts w:hint="eastAsia" w:ascii="宋体" w:hAnsi="宋体"/>
                <w:szCs w:val="21"/>
                <w:highlight w:val="none"/>
              </w:rPr>
              <w:t>第四章 合同条款</w:t>
            </w:r>
          </w:p>
        </w:tc>
        <w:tc>
          <w:tcPr>
            <w:tcW w:w="1666" w:type="dxa"/>
            <w:vAlign w:val="center"/>
          </w:tcPr>
          <w:p w14:paraId="66298876">
            <w:pPr>
              <w:autoSpaceDE w:val="0"/>
              <w:autoSpaceDN w:val="0"/>
              <w:jc w:val="center"/>
              <w:rPr>
                <w:rFonts w:hint="eastAsia" w:ascii="宋体" w:hAnsi="宋体" w:eastAsia="宋体"/>
                <w:szCs w:val="21"/>
                <w:highlight w:val="none"/>
                <w:lang w:eastAsia="zh-CN"/>
              </w:rPr>
            </w:pPr>
            <w:r>
              <w:rPr>
                <w:rFonts w:hint="eastAsia" w:ascii="宋体" w:hAnsi="宋体"/>
                <w:szCs w:val="21"/>
                <w:highlight w:val="none"/>
                <w:lang w:val="en-US" w:eastAsia="zh-CN"/>
              </w:rPr>
              <w:t>所有条款</w:t>
            </w:r>
          </w:p>
        </w:tc>
        <w:tc>
          <w:tcPr>
            <w:tcW w:w="5795" w:type="dxa"/>
            <w:vAlign w:val="center"/>
          </w:tcPr>
          <w:p w14:paraId="7187FD26">
            <w:pPr>
              <w:autoSpaceDE w:val="0"/>
              <w:autoSpaceDN w:val="0"/>
              <w:rPr>
                <w:rFonts w:ascii="宋体" w:hAnsi="宋体"/>
                <w:szCs w:val="21"/>
                <w:highlight w:val="none"/>
              </w:rPr>
            </w:pPr>
            <w:r>
              <w:rPr>
                <w:rFonts w:hint="eastAsia" w:ascii="宋体" w:hAnsi="宋体"/>
                <w:highlight w:val="none"/>
                <w:lang w:val="en-US" w:eastAsia="zh-CN"/>
              </w:rPr>
              <w:t xml:space="preserve">详见第四章 </w:t>
            </w:r>
            <w:r>
              <w:rPr>
                <w:rFonts w:hint="eastAsia" w:ascii="宋体" w:hAnsi="宋体"/>
                <w:szCs w:val="21"/>
                <w:highlight w:val="none"/>
              </w:rPr>
              <w:t>合同条款</w:t>
            </w:r>
            <w:r>
              <w:rPr>
                <w:rFonts w:hint="eastAsia" w:ascii="宋体" w:hAnsi="宋体"/>
                <w:szCs w:val="21"/>
                <w:highlight w:val="none"/>
                <w:lang w:eastAsia="zh-CN"/>
              </w:rPr>
              <w:t>，</w:t>
            </w:r>
            <w:r>
              <w:rPr>
                <w:rFonts w:hint="eastAsia" w:ascii="宋体" w:hAnsi="宋体"/>
                <w:highlight w:val="none"/>
                <w:lang w:val="en-US" w:eastAsia="zh-CN"/>
              </w:rPr>
              <w:t>出现负偏离条款的</w:t>
            </w:r>
            <w:r>
              <w:rPr>
                <w:rFonts w:hint="eastAsia" w:ascii="宋体" w:hAnsi="宋体"/>
                <w:highlight w:val="none"/>
              </w:rPr>
              <w:t>的投标将被否决。</w:t>
            </w:r>
          </w:p>
        </w:tc>
      </w:tr>
      <w:tr w14:paraId="067047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1426" w:hRule="atLeast"/>
        </w:trPr>
        <w:tc>
          <w:tcPr>
            <w:tcW w:w="840" w:type="dxa"/>
            <w:tcBorders>
              <w:top w:val="single" w:color="auto" w:sz="4" w:space="0"/>
            </w:tcBorders>
            <w:vAlign w:val="center"/>
          </w:tcPr>
          <w:p w14:paraId="19C78070">
            <w:pPr>
              <w:autoSpaceDE w:val="0"/>
              <w:autoSpaceDN w:val="0"/>
              <w:jc w:val="center"/>
              <w:rPr>
                <w:rFonts w:ascii="宋体" w:hAnsi="宋体" w:cs="宋体"/>
                <w:szCs w:val="21"/>
                <w:highlight w:val="none"/>
              </w:rPr>
            </w:pPr>
            <w:r>
              <w:rPr>
                <w:rFonts w:hint="eastAsia" w:ascii="宋体" w:hAnsi="宋体"/>
                <w:szCs w:val="21"/>
                <w:highlight w:val="none"/>
              </w:rPr>
              <w:t>第五章 技术规范书</w:t>
            </w:r>
          </w:p>
        </w:tc>
        <w:tc>
          <w:tcPr>
            <w:tcW w:w="1666" w:type="dxa"/>
            <w:vAlign w:val="center"/>
          </w:tcPr>
          <w:p w14:paraId="4D1C7945">
            <w:pPr>
              <w:autoSpaceDE w:val="0"/>
              <w:autoSpaceDN w:val="0"/>
              <w:jc w:val="center"/>
              <w:rPr>
                <w:rFonts w:ascii="宋体" w:hAnsi="宋体" w:cs="宋体"/>
                <w:szCs w:val="21"/>
                <w:highlight w:val="none"/>
              </w:rPr>
            </w:pPr>
            <w:r>
              <w:rPr>
                <w:rFonts w:hint="eastAsia" w:ascii="宋体" w:hAnsi="宋体"/>
                <w:szCs w:val="21"/>
                <w:highlight w:val="none"/>
                <w:lang w:val="en-US" w:eastAsia="zh-CN"/>
              </w:rPr>
              <w:t>所有条款</w:t>
            </w:r>
          </w:p>
        </w:tc>
        <w:tc>
          <w:tcPr>
            <w:tcW w:w="5795" w:type="dxa"/>
            <w:vAlign w:val="center"/>
          </w:tcPr>
          <w:p w14:paraId="1BB2ECEF">
            <w:pPr>
              <w:autoSpaceDE w:val="0"/>
              <w:autoSpaceDN w:val="0"/>
              <w:rPr>
                <w:rFonts w:ascii="宋体" w:hAnsi="宋体"/>
                <w:highlight w:val="none"/>
              </w:rPr>
            </w:pPr>
            <w:r>
              <w:rPr>
                <w:rFonts w:hint="eastAsia" w:ascii="宋体" w:hAnsi="宋体"/>
                <w:highlight w:val="none"/>
                <w:lang w:val="en-US" w:eastAsia="zh-CN"/>
              </w:rPr>
              <w:t>详见第五章 技术规范书</w:t>
            </w:r>
            <w:r>
              <w:rPr>
                <w:rFonts w:hint="eastAsia" w:ascii="宋体" w:hAnsi="宋体"/>
                <w:szCs w:val="21"/>
                <w:highlight w:val="none"/>
                <w:lang w:eastAsia="zh-CN"/>
              </w:rPr>
              <w:t>，</w:t>
            </w:r>
            <w:r>
              <w:rPr>
                <w:rFonts w:hint="eastAsia" w:ascii="宋体" w:hAnsi="宋体"/>
                <w:highlight w:val="none"/>
                <w:lang w:val="en-US" w:eastAsia="zh-CN"/>
              </w:rPr>
              <w:t>出现负偏离条款的</w:t>
            </w:r>
            <w:r>
              <w:rPr>
                <w:rFonts w:hint="eastAsia" w:ascii="宋体" w:hAnsi="宋体"/>
                <w:highlight w:val="none"/>
              </w:rPr>
              <w:t>的投标将被否决。</w:t>
            </w:r>
          </w:p>
        </w:tc>
      </w:tr>
      <w:tr w14:paraId="53286C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tcBorders>
              <w:top w:val="single" w:color="auto" w:sz="4" w:space="0"/>
              <w:bottom w:val="single" w:color="auto" w:sz="4" w:space="0"/>
            </w:tcBorders>
            <w:vAlign w:val="center"/>
          </w:tcPr>
          <w:p w14:paraId="68EE636A">
            <w:pPr>
              <w:autoSpaceDE w:val="0"/>
              <w:autoSpaceDN w:val="0"/>
              <w:rPr>
                <w:rFonts w:ascii="宋体" w:hAnsi="宋体"/>
                <w:szCs w:val="21"/>
                <w:highlight w:val="none"/>
              </w:rPr>
            </w:pPr>
            <w:r>
              <w:rPr>
                <w:rFonts w:hint="eastAsia" w:ascii="宋体" w:hAnsi="宋体"/>
                <w:b/>
                <w:highlight w:val="none"/>
              </w:rPr>
              <w:t>第二部分：通用部分</w:t>
            </w:r>
          </w:p>
        </w:tc>
      </w:tr>
      <w:tr w14:paraId="013101B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bottom w:val="single" w:color="auto" w:sz="4" w:space="0"/>
            </w:tcBorders>
            <w:vAlign w:val="center"/>
          </w:tcPr>
          <w:p w14:paraId="5CA4E5B2">
            <w:pPr>
              <w:autoSpaceDE w:val="0"/>
              <w:autoSpaceDN w:val="0"/>
              <w:jc w:val="center"/>
              <w:rPr>
                <w:rFonts w:ascii="宋体" w:hAnsi="宋体"/>
                <w:szCs w:val="21"/>
                <w:highlight w:val="none"/>
              </w:rPr>
            </w:pPr>
            <w:r>
              <w:rPr>
                <w:rFonts w:hint="eastAsia" w:ascii="宋体" w:hAnsi="宋体"/>
                <w:szCs w:val="21"/>
                <w:highlight w:val="none"/>
              </w:rPr>
              <w:t>第一章招标公告</w:t>
            </w:r>
          </w:p>
        </w:tc>
        <w:tc>
          <w:tcPr>
            <w:tcW w:w="1666" w:type="dxa"/>
            <w:vAlign w:val="center"/>
          </w:tcPr>
          <w:p w14:paraId="7CFB91F3">
            <w:pPr>
              <w:autoSpaceDE w:val="0"/>
              <w:autoSpaceDN w:val="0"/>
              <w:rPr>
                <w:rFonts w:ascii="宋体" w:hAnsi="宋体"/>
                <w:szCs w:val="21"/>
                <w:highlight w:val="none"/>
              </w:rPr>
            </w:pPr>
            <w:r>
              <w:rPr>
                <w:rFonts w:hint="eastAsia" w:ascii="宋体" w:hAnsi="宋体"/>
                <w:szCs w:val="21"/>
                <w:highlight w:val="none"/>
              </w:rPr>
              <w:t>2.投标人资格要求</w:t>
            </w:r>
          </w:p>
        </w:tc>
        <w:tc>
          <w:tcPr>
            <w:tcW w:w="5795" w:type="dxa"/>
            <w:vAlign w:val="center"/>
          </w:tcPr>
          <w:p w14:paraId="2CB823BE">
            <w:pPr>
              <w:autoSpaceDE w:val="0"/>
              <w:autoSpaceDN w:val="0"/>
              <w:rPr>
                <w:rFonts w:ascii="宋体" w:hAnsi="宋体"/>
                <w:szCs w:val="21"/>
                <w:highlight w:val="none"/>
              </w:rPr>
            </w:pPr>
            <w:r>
              <w:rPr>
                <w:rFonts w:hint="eastAsia" w:ascii="宋体" w:hAnsi="宋体"/>
                <w:szCs w:val="21"/>
                <w:highlight w:val="none"/>
              </w:rPr>
              <w:t>投标人须满足第一章招标公告“2.投标人资格要求”规定的全部条件，任何一条不满足均会导致投标被否决。</w:t>
            </w:r>
          </w:p>
        </w:tc>
      </w:tr>
      <w:tr w14:paraId="7FFB067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restart"/>
            <w:tcBorders>
              <w:top w:val="single" w:color="auto" w:sz="4" w:space="0"/>
            </w:tcBorders>
            <w:vAlign w:val="center"/>
          </w:tcPr>
          <w:p w14:paraId="6D867574">
            <w:pPr>
              <w:autoSpaceDE w:val="0"/>
              <w:autoSpaceDN w:val="0"/>
              <w:snapToGrid w:val="0"/>
              <w:jc w:val="center"/>
              <w:rPr>
                <w:rFonts w:ascii="宋体" w:hAnsi="宋体" w:cs="宋体"/>
                <w:szCs w:val="21"/>
                <w:highlight w:val="none"/>
              </w:rPr>
            </w:pPr>
            <w:r>
              <w:rPr>
                <w:rFonts w:hint="eastAsia" w:ascii="宋体" w:hAnsi="宋体" w:cs="宋体"/>
                <w:szCs w:val="21"/>
                <w:highlight w:val="none"/>
              </w:rPr>
              <w:t>第二章投标人须知</w:t>
            </w:r>
          </w:p>
        </w:tc>
        <w:tc>
          <w:tcPr>
            <w:tcW w:w="1666" w:type="dxa"/>
            <w:vAlign w:val="center"/>
          </w:tcPr>
          <w:p w14:paraId="5A4BF938">
            <w:pPr>
              <w:autoSpaceDE w:val="0"/>
              <w:autoSpaceDN w:val="0"/>
              <w:rPr>
                <w:rFonts w:ascii="宋体" w:hAnsi="宋体" w:cs="宋体"/>
                <w:szCs w:val="21"/>
                <w:highlight w:val="none"/>
              </w:rPr>
            </w:pPr>
            <w:r>
              <w:rPr>
                <w:rFonts w:hint="eastAsia" w:ascii="宋体" w:hAnsi="宋体" w:cs="宋体"/>
                <w:szCs w:val="21"/>
                <w:highlight w:val="none"/>
              </w:rPr>
              <w:t>1.7.2 资格审查</w:t>
            </w:r>
          </w:p>
        </w:tc>
        <w:tc>
          <w:tcPr>
            <w:tcW w:w="5795" w:type="dxa"/>
            <w:vAlign w:val="center"/>
          </w:tcPr>
          <w:p w14:paraId="3AF37641">
            <w:pPr>
              <w:autoSpaceDE w:val="0"/>
              <w:autoSpaceDN w:val="0"/>
              <w:rPr>
                <w:rFonts w:ascii="宋体" w:hAnsi="宋体"/>
                <w:highlight w:val="none"/>
              </w:rPr>
            </w:pPr>
            <w:r>
              <w:rPr>
                <w:rFonts w:hint="eastAsia" w:ascii="宋体" w:hAnsi="宋体"/>
                <w:highlight w:val="none"/>
              </w:rPr>
              <w:t>资格后审不合格的投标人，评标委员会应当否决其投标。</w:t>
            </w:r>
          </w:p>
        </w:tc>
      </w:tr>
      <w:tr w14:paraId="603EF78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757E44DA">
            <w:pPr>
              <w:autoSpaceDE w:val="0"/>
              <w:autoSpaceDN w:val="0"/>
              <w:snapToGrid w:val="0"/>
              <w:jc w:val="center"/>
              <w:rPr>
                <w:rFonts w:ascii="宋体" w:hAnsi="宋体" w:cs="宋体"/>
                <w:szCs w:val="21"/>
                <w:highlight w:val="none"/>
              </w:rPr>
            </w:pPr>
          </w:p>
        </w:tc>
        <w:tc>
          <w:tcPr>
            <w:tcW w:w="1666" w:type="dxa"/>
            <w:vAlign w:val="center"/>
          </w:tcPr>
          <w:p w14:paraId="09499E78">
            <w:pPr>
              <w:autoSpaceDE w:val="0"/>
              <w:autoSpaceDN w:val="0"/>
              <w:rPr>
                <w:rFonts w:ascii="宋体" w:hAnsi="宋体" w:cs="宋体"/>
                <w:szCs w:val="21"/>
                <w:highlight w:val="none"/>
              </w:rPr>
            </w:pPr>
            <w:r>
              <w:rPr>
                <w:rFonts w:hint="eastAsia" w:ascii="宋体" w:hAnsi="宋体" w:cs="宋体"/>
                <w:szCs w:val="21"/>
                <w:highlight w:val="none"/>
              </w:rPr>
              <w:t>2.1.3 实质性条款不满足</w:t>
            </w:r>
          </w:p>
        </w:tc>
        <w:tc>
          <w:tcPr>
            <w:tcW w:w="5795" w:type="dxa"/>
            <w:vAlign w:val="center"/>
          </w:tcPr>
          <w:p w14:paraId="06F18CA0">
            <w:pPr>
              <w:autoSpaceDE w:val="0"/>
              <w:autoSpaceDN w:val="0"/>
              <w:rPr>
                <w:rFonts w:ascii="宋体" w:hAnsi="宋体" w:cs="宋体"/>
                <w:szCs w:val="21"/>
                <w:highlight w:val="none"/>
              </w:rPr>
            </w:pPr>
            <w:r>
              <w:rPr>
                <w:rFonts w:hint="eastAsia" w:ascii="宋体" w:hAnsi="宋体" w:cs="宋体"/>
                <w:szCs w:val="21"/>
                <w:highlight w:val="none"/>
              </w:rPr>
              <w:t>（1）招标文件中标识“</w:t>
            </w:r>
            <w:r>
              <w:rPr>
                <w:rFonts w:hint="eastAsia" w:ascii="宋体" w:hAnsi="宋体"/>
                <w:szCs w:val="21"/>
                <w:highlight w:val="none"/>
              </w:rPr>
              <w:t>★</w:t>
            </w:r>
            <w:r>
              <w:rPr>
                <w:rFonts w:hint="eastAsia" w:ascii="宋体" w:hAnsi="宋体" w:cs="宋体"/>
                <w:szCs w:val="21"/>
                <w:highlight w:val="none"/>
              </w:rPr>
              <w:t>”的条款，均为实质性条款，投标人任何不满足实质性条款的投标均将被否决。</w:t>
            </w:r>
          </w:p>
          <w:p w14:paraId="4FBC08B5">
            <w:pPr>
              <w:autoSpaceDE w:val="0"/>
              <w:autoSpaceDN w:val="0"/>
              <w:rPr>
                <w:rFonts w:ascii="宋体" w:hAnsi="宋体"/>
                <w:highlight w:val="none"/>
              </w:rPr>
            </w:pPr>
            <w:r>
              <w:rPr>
                <w:rFonts w:hint="eastAsia" w:ascii="宋体" w:hAnsi="宋体" w:cs="宋体"/>
                <w:szCs w:val="21"/>
                <w:highlight w:val="none"/>
              </w:rPr>
              <w:t>（2）非实质性要求的偏离要求：</w:t>
            </w:r>
            <w:r>
              <w:rPr>
                <w:rFonts w:hint="eastAsia" w:ascii="宋体" w:hAnsi="宋体" w:cs="宋体"/>
                <w:sz w:val="22"/>
                <w:szCs w:val="22"/>
                <w:highlight w:val="none"/>
                <w:u w:val="single"/>
              </w:rPr>
              <w:t xml:space="preserve"> /</w:t>
            </w:r>
            <w:r>
              <w:rPr>
                <w:rFonts w:ascii="宋体" w:hAnsi="宋体" w:cs="宋体"/>
                <w:sz w:val="22"/>
                <w:szCs w:val="22"/>
                <w:highlight w:val="none"/>
                <w:u w:val="single"/>
              </w:rPr>
              <w:t xml:space="preserve"> </w:t>
            </w:r>
            <w:r>
              <w:rPr>
                <w:rFonts w:ascii="宋体" w:hAnsi="宋体" w:cs="宋体"/>
                <w:sz w:val="22"/>
                <w:szCs w:val="22"/>
                <w:highlight w:val="none"/>
              </w:rPr>
              <w:t xml:space="preserve"> </w:t>
            </w:r>
          </w:p>
        </w:tc>
      </w:tr>
      <w:tr w14:paraId="57F9332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2A51D0AB">
            <w:pPr>
              <w:autoSpaceDE w:val="0"/>
              <w:autoSpaceDN w:val="0"/>
              <w:jc w:val="center"/>
              <w:rPr>
                <w:rFonts w:ascii="宋体" w:hAnsi="宋体" w:cs="宋体"/>
                <w:szCs w:val="21"/>
                <w:highlight w:val="none"/>
              </w:rPr>
            </w:pPr>
          </w:p>
        </w:tc>
        <w:tc>
          <w:tcPr>
            <w:tcW w:w="1666" w:type="dxa"/>
            <w:vAlign w:val="center"/>
          </w:tcPr>
          <w:p w14:paraId="5832C73C">
            <w:pPr>
              <w:autoSpaceDE w:val="0"/>
              <w:autoSpaceDN w:val="0"/>
              <w:rPr>
                <w:rFonts w:ascii="宋体" w:hAnsi="宋体" w:cs="宋体"/>
                <w:szCs w:val="21"/>
                <w:highlight w:val="none"/>
              </w:rPr>
            </w:pPr>
            <w:r>
              <w:rPr>
                <w:rFonts w:hint="eastAsia" w:ascii="宋体" w:hAnsi="宋体" w:cs="宋体"/>
                <w:szCs w:val="21"/>
                <w:highlight w:val="none"/>
              </w:rPr>
              <w:t>3.2.2 投标文件编制</w:t>
            </w:r>
          </w:p>
        </w:tc>
        <w:tc>
          <w:tcPr>
            <w:tcW w:w="5795" w:type="dxa"/>
            <w:vAlign w:val="center"/>
          </w:tcPr>
          <w:p w14:paraId="703610E4">
            <w:pPr>
              <w:autoSpaceDE w:val="0"/>
              <w:autoSpaceDN w:val="0"/>
              <w:rPr>
                <w:rFonts w:ascii="宋体" w:hAnsi="宋体" w:cs="宋体"/>
                <w:szCs w:val="21"/>
                <w:highlight w:val="none"/>
              </w:rPr>
            </w:pPr>
            <w:r>
              <w:rPr>
                <w:rFonts w:hint="eastAsia" w:ascii="宋体" w:hAnsi="宋体"/>
                <w:highlight w:val="none"/>
              </w:rPr>
              <w:t>投标人应当认真阅读招标文件中所有的事项、格式、条款和技术规范等。投标人没有按照招标文件要求递交全部资料或者投标人没有对招标文件在各方面都作出实质性响应是投标人的风险，并可能导致其投标被否决。</w:t>
            </w:r>
          </w:p>
        </w:tc>
      </w:tr>
      <w:tr w14:paraId="5FBBA3A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4C96EF8D">
            <w:pPr>
              <w:autoSpaceDE w:val="0"/>
              <w:autoSpaceDN w:val="0"/>
              <w:jc w:val="center"/>
              <w:rPr>
                <w:rFonts w:ascii="宋体" w:hAnsi="宋体" w:cs="宋体"/>
                <w:szCs w:val="21"/>
                <w:highlight w:val="none"/>
              </w:rPr>
            </w:pPr>
          </w:p>
        </w:tc>
        <w:tc>
          <w:tcPr>
            <w:tcW w:w="1666" w:type="dxa"/>
            <w:vAlign w:val="center"/>
          </w:tcPr>
          <w:p w14:paraId="2DBA68EA">
            <w:pPr>
              <w:autoSpaceDE w:val="0"/>
              <w:autoSpaceDN w:val="0"/>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1.</w:t>
            </w:r>
            <w:r>
              <w:rPr>
                <w:rFonts w:hint="eastAsia" w:ascii="宋体" w:hAnsi="宋体" w:cs="宋体"/>
                <w:szCs w:val="21"/>
                <w:highlight w:val="none"/>
              </w:rPr>
              <w:t>需要补充的其他内容</w:t>
            </w:r>
          </w:p>
        </w:tc>
        <w:tc>
          <w:tcPr>
            <w:tcW w:w="5795" w:type="dxa"/>
            <w:vAlign w:val="center"/>
          </w:tcPr>
          <w:p w14:paraId="3488B547">
            <w:pPr>
              <w:autoSpaceDE w:val="0"/>
              <w:autoSpaceDN w:val="0"/>
              <w:rPr>
                <w:rFonts w:ascii="宋体" w:hAnsi="宋体"/>
                <w:highlight w:val="none"/>
              </w:rPr>
            </w:pPr>
            <w:r>
              <w:rPr>
                <w:rFonts w:hint="eastAsia" w:ascii="宋体" w:hAnsi="宋体" w:cs="宋体"/>
                <w:szCs w:val="21"/>
                <w:highlight w:val="none"/>
              </w:rPr>
              <w:t>投标人试图对招标人进行影响，或对评标委员会的评标、比较或中标候选人的决定进行影响，都可能导致其投标被否决。</w:t>
            </w:r>
          </w:p>
        </w:tc>
      </w:tr>
      <w:tr w14:paraId="775DBA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restart"/>
            <w:vAlign w:val="center"/>
          </w:tcPr>
          <w:p w14:paraId="6F2E527B">
            <w:pPr>
              <w:autoSpaceDE w:val="0"/>
              <w:autoSpaceDN w:val="0"/>
              <w:jc w:val="center"/>
              <w:rPr>
                <w:rFonts w:ascii="宋体" w:hAnsi="宋体" w:cs="宋体"/>
                <w:szCs w:val="21"/>
                <w:highlight w:val="none"/>
              </w:rPr>
            </w:pPr>
            <w:r>
              <w:rPr>
                <w:rFonts w:hint="eastAsia" w:ascii="宋体" w:hAnsi="宋体" w:cs="宋体"/>
                <w:szCs w:val="21"/>
                <w:highlight w:val="none"/>
              </w:rPr>
              <w:t>第三章评标办法</w:t>
            </w:r>
          </w:p>
        </w:tc>
        <w:tc>
          <w:tcPr>
            <w:tcW w:w="1666" w:type="dxa"/>
            <w:vAlign w:val="center"/>
          </w:tcPr>
          <w:p w14:paraId="340FDC0A">
            <w:pPr>
              <w:autoSpaceDE w:val="0"/>
              <w:autoSpaceDN w:val="0"/>
              <w:rPr>
                <w:rFonts w:ascii="宋体" w:hAnsi="宋体" w:cs="宋体"/>
                <w:szCs w:val="21"/>
                <w:highlight w:val="none"/>
              </w:rPr>
            </w:pPr>
            <w:r>
              <w:rPr>
                <w:rFonts w:hint="eastAsia" w:ascii="宋体" w:hAnsi="宋体" w:cs="宋体"/>
                <w:szCs w:val="21"/>
                <w:highlight w:val="none"/>
              </w:rPr>
              <w:t>3.1.1 初步评审</w:t>
            </w:r>
          </w:p>
        </w:tc>
        <w:tc>
          <w:tcPr>
            <w:tcW w:w="5795" w:type="dxa"/>
            <w:vAlign w:val="center"/>
          </w:tcPr>
          <w:p w14:paraId="356E9C7D">
            <w:pPr>
              <w:autoSpaceDE w:val="0"/>
              <w:autoSpaceDN w:val="0"/>
              <w:rPr>
                <w:rFonts w:ascii="宋体" w:hAnsi="宋体" w:cs="宋体"/>
                <w:szCs w:val="21"/>
                <w:highlight w:val="none"/>
              </w:rPr>
            </w:pPr>
            <w:r>
              <w:rPr>
                <w:rFonts w:hint="eastAsia" w:ascii="宋体" w:hAnsi="宋体"/>
                <w:highlight w:val="none"/>
              </w:rPr>
              <w:t>评标委员会根据第三章第2.1款规定的初步评审标准对投标文件进行初步评审。有一项不符合评审标准的，评标委员会应当否决其投标。</w:t>
            </w:r>
          </w:p>
        </w:tc>
      </w:tr>
      <w:tr w14:paraId="0B56915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03950A42">
            <w:pPr>
              <w:autoSpaceDE w:val="0"/>
              <w:autoSpaceDN w:val="0"/>
              <w:jc w:val="center"/>
              <w:rPr>
                <w:rFonts w:ascii="宋体" w:hAnsi="宋体" w:cs="宋体"/>
                <w:szCs w:val="21"/>
                <w:highlight w:val="none"/>
              </w:rPr>
            </w:pPr>
          </w:p>
        </w:tc>
        <w:tc>
          <w:tcPr>
            <w:tcW w:w="1666" w:type="dxa"/>
            <w:vAlign w:val="center"/>
          </w:tcPr>
          <w:p w14:paraId="0FC873C5">
            <w:pPr>
              <w:autoSpaceDE w:val="0"/>
              <w:autoSpaceDN w:val="0"/>
              <w:rPr>
                <w:rFonts w:ascii="宋体" w:hAnsi="宋体" w:cs="宋体"/>
                <w:szCs w:val="21"/>
                <w:highlight w:val="none"/>
              </w:rPr>
            </w:pPr>
            <w:r>
              <w:rPr>
                <w:rFonts w:hint="eastAsia" w:ascii="宋体" w:hAnsi="宋体" w:cs="宋体"/>
                <w:szCs w:val="21"/>
                <w:highlight w:val="none"/>
              </w:rPr>
              <w:t xml:space="preserve">3.1.2 初步评审 </w:t>
            </w:r>
          </w:p>
        </w:tc>
        <w:tc>
          <w:tcPr>
            <w:tcW w:w="5795" w:type="dxa"/>
            <w:vAlign w:val="center"/>
          </w:tcPr>
          <w:p w14:paraId="697EF992">
            <w:pPr>
              <w:autoSpaceDE w:val="0"/>
              <w:autoSpaceDN w:val="0"/>
              <w:adjustRightInd w:val="0"/>
              <w:snapToGrid w:val="0"/>
              <w:rPr>
                <w:rFonts w:ascii="宋体" w:hAnsi="宋体"/>
                <w:highlight w:val="none"/>
              </w:rPr>
            </w:pPr>
            <w:r>
              <w:rPr>
                <w:rFonts w:hint="eastAsia" w:ascii="宋体" w:hAnsi="宋体"/>
                <w:highlight w:val="none"/>
              </w:rPr>
              <w:t>投标人有以下情形之一的，评标委员会应当否决其投标：</w:t>
            </w:r>
          </w:p>
          <w:p w14:paraId="3DD259EB">
            <w:pPr>
              <w:adjustRightInd w:val="0"/>
              <w:snapToGrid w:val="0"/>
              <w:rPr>
                <w:rFonts w:ascii="宋体" w:hAnsi="宋体"/>
                <w:highlight w:val="none"/>
              </w:rPr>
            </w:pPr>
            <w:r>
              <w:rPr>
                <w:rFonts w:hint="eastAsia" w:ascii="宋体" w:hAnsi="宋体"/>
                <w:highlight w:val="none"/>
              </w:rPr>
              <w:t>（1）第二章“投标人须知”第1.8款规定的任何一种情形的；</w:t>
            </w:r>
          </w:p>
          <w:p w14:paraId="0E308335">
            <w:pPr>
              <w:adjustRightInd w:val="0"/>
              <w:snapToGrid w:val="0"/>
              <w:rPr>
                <w:rFonts w:ascii="宋体" w:hAnsi="宋体"/>
                <w:highlight w:val="none"/>
              </w:rPr>
            </w:pPr>
            <w:r>
              <w:rPr>
                <w:rFonts w:hint="eastAsia" w:ascii="宋体" w:hAnsi="宋体"/>
                <w:highlight w:val="none"/>
              </w:rPr>
              <w:t>（2）不按照评标委员会要求澄清、说明或者补正的；</w:t>
            </w:r>
          </w:p>
          <w:p w14:paraId="00AD7048">
            <w:pPr>
              <w:adjustRightInd w:val="0"/>
              <w:snapToGrid w:val="0"/>
              <w:rPr>
                <w:rFonts w:ascii="宋体" w:hAnsi="宋体"/>
                <w:highlight w:val="none"/>
              </w:rPr>
            </w:pPr>
            <w:r>
              <w:rPr>
                <w:rFonts w:hint="eastAsia" w:ascii="宋体" w:hAnsi="宋体"/>
                <w:highlight w:val="none"/>
              </w:rPr>
              <w:t>（3）投标文件未经投标单位盖章和单位负责人签字；</w:t>
            </w:r>
          </w:p>
          <w:p w14:paraId="67147731">
            <w:pPr>
              <w:adjustRightInd w:val="0"/>
              <w:snapToGrid w:val="0"/>
              <w:rPr>
                <w:rFonts w:ascii="宋体" w:hAnsi="宋体"/>
                <w:highlight w:val="none"/>
              </w:rPr>
            </w:pPr>
            <w:r>
              <w:rPr>
                <w:rFonts w:hint="eastAsia" w:ascii="宋体" w:hAnsi="宋体"/>
                <w:highlight w:val="none"/>
              </w:rPr>
              <w:t>（4）允许如投标人为联合体，投标联合体没有递交共同投标协议；</w:t>
            </w:r>
          </w:p>
          <w:p w14:paraId="345C518E">
            <w:pPr>
              <w:adjustRightInd w:val="0"/>
              <w:snapToGrid w:val="0"/>
              <w:rPr>
                <w:rFonts w:ascii="宋体" w:hAnsi="宋体"/>
                <w:highlight w:val="none"/>
              </w:rPr>
            </w:pPr>
            <w:r>
              <w:rPr>
                <w:rFonts w:hint="eastAsia" w:ascii="宋体" w:hAnsi="宋体"/>
                <w:highlight w:val="none"/>
              </w:rPr>
              <w:t>（5）投标人不符合国家或者招标文件规定的资格条件；</w:t>
            </w:r>
          </w:p>
          <w:p w14:paraId="5A9F200C">
            <w:pPr>
              <w:adjustRightInd w:val="0"/>
              <w:snapToGrid w:val="0"/>
              <w:rPr>
                <w:rFonts w:ascii="宋体" w:hAnsi="宋体"/>
                <w:highlight w:val="none"/>
              </w:rPr>
            </w:pPr>
            <w:r>
              <w:rPr>
                <w:rFonts w:hint="eastAsia" w:ascii="宋体" w:hAnsi="宋体"/>
                <w:highlight w:val="none"/>
              </w:rPr>
              <w:t>（6）同一投标人递交两个以上不同的投标文件或者投标报价，但招标文件要求递交备选投标的除外；</w:t>
            </w:r>
          </w:p>
          <w:p w14:paraId="0204FF58">
            <w:pPr>
              <w:adjustRightInd w:val="0"/>
              <w:snapToGrid w:val="0"/>
              <w:rPr>
                <w:rFonts w:ascii="宋体" w:hAnsi="宋体"/>
                <w:highlight w:val="none"/>
              </w:rPr>
            </w:pPr>
            <w:r>
              <w:rPr>
                <w:rFonts w:hint="eastAsia" w:ascii="宋体" w:hAnsi="宋体"/>
                <w:highlight w:val="none"/>
              </w:rPr>
              <w:t>（7）投标报价低于成本或者高于招标文件设定的最高投标限价；</w:t>
            </w:r>
          </w:p>
          <w:p w14:paraId="4494F896">
            <w:pPr>
              <w:adjustRightInd w:val="0"/>
              <w:snapToGrid w:val="0"/>
              <w:rPr>
                <w:rFonts w:ascii="宋体" w:hAnsi="宋体"/>
                <w:highlight w:val="none"/>
              </w:rPr>
            </w:pPr>
            <w:r>
              <w:rPr>
                <w:rFonts w:hint="eastAsia" w:ascii="宋体" w:hAnsi="宋体"/>
                <w:highlight w:val="none"/>
              </w:rPr>
              <w:t>（8）投标文件没有对招标文件的实质性要求和条件做出响应；</w:t>
            </w:r>
          </w:p>
          <w:p w14:paraId="53DFE658">
            <w:pPr>
              <w:adjustRightInd w:val="0"/>
              <w:snapToGrid w:val="0"/>
              <w:rPr>
                <w:rFonts w:ascii="宋体" w:hAnsi="宋体"/>
                <w:highlight w:val="none"/>
              </w:rPr>
            </w:pPr>
            <w:r>
              <w:rPr>
                <w:rFonts w:hint="eastAsia" w:ascii="宋体" w:hAnsi="宋体"/>
                <w:highlight w:val="none"/>
              </w:rPr>
              <w:t>（9）投标人有串通投标、弄虚作假、行贿等违法行为；</w:t>
            </w:r>
          </w:p>
          <w:p w14:paraId="522A3445">
            <w:pPr>
              <w:adjustRightInd w:val="0"/>
              <w:snapToGrid w:val="0"/>
              <w:rPr>
                <w:rFonts w:ascii="宋体" w:hAnsi="宋体"/>
                <w:highlight w:val="none"/>
              </w:rPr>
            </w:pPr>
            <w:r>
              <w:rPr>
                <w:rFonts w:hint="eastAsia" w:ascii="宋体" w:hAnsi="宋体"/>
                <w:highlight w:val="none"/>
              </w:rPr>
              <w:t>（10）投标人以他人名义投标；</w:t>
            </w:r>
          </w:p>
          <w:p w14:paraId="59D735DE">
            <w:pPr>
              <w:adjustRightInd w:val="0"/>
              <w:snapToGrid w:val="0"/>
              <w:rPr>
                <w:rFonts w:ascii="宋体" w:hAnsi="宋体"/>
                <w:highlight w:val="none"/>
              </w:rPr>
            </w:pPr>
            <w:r>
              <w:rPr>
                <w:rFonts w:hint="eastAsia" w:ascii="宋体" w:hAnsi="宋体"/>
                <w:highlight w:val="none"/>
              </w:rPr>
              <w:t>（11）没有按照招标文件要求提供投标担保或者所提供的投标担保有瑕疵；</w:t>
            </w:r>
          </w:p>
          <w:p w14:paraId="644483F4">
            <w:pPr>
              <w:adjustRightInd w:val="0"/>
              <w:snapToGrid w:val="0"/>
              <w:rPr>
                <w:rFonts w:ascii="宋体" w:hAnsi="宋体"/>
                <w:highlight w:val="none"/>
              </w:rPr>
            </w:pPr>
            <w:r>
              <w:rPr>
                <w:rFonts w:hint="eastAsia" w:ascii="宋体" w:hAnsi="宋体"/>
                <w:highlight w:val="none"/>
              </w:rPr>
              <w:t>（12）投标文件载明的招标项目完成期限超过招标文件规定的期限；</w:t>
            </w:r>
          </w:p>
          <w:p w14:paraId="23579AF0">
            <w:pPr>
              <w:adjustRightInd w:val="0"/>
              <w:snapToGrid w:val="0"/>
              <w:rPr>
                <w:rFonts w:ascii="宋体" w:hAnsi="宋体"/>
                <w:highlight w:val="none"/>
              </w:rPr>
            </w:pPr>
            <w:r>
              <w:rPr>
                <w:rFonts w:hint="eastAsia" w:ascii="宋体" w:hAnsi="宋体"/>
                <w:highlight w:val="none"/>
              </w:rPr>
              <w:t>（13）明显不符合技术规格、技术标准的要求；</w:t>
            </w:r>
          </w:p>
          <w:p w14:paraId="74B6E344">
            <w:pPr>
              <w:adjustRightInd w:val="0"/>
              <w:snapToGrid w:val="0"/>
              <w:rPr>
                <w:rFonts w:ascii="宋体" w:hAnsi="宋体"/>
                <w:highlight w:val="none"/>
              </w:rPr>
            </w:pPr>
            <w:r>
              <w:rPr>
                <w:rFonts w:hint="eastAsia" w:ascii="宋体" w:hAnsi="宋体"/>
                <w:highlight w:val="none"/>
              </w:rPr>
              <w:t>（14）投标文件载明的货物包装方式、检验标准和方法等不符合招标文件的要求；</w:t>
            </w:r>
          </w:p>
          <w:p w14:paraId="5538A06E">
            <w:pPr>
              <w:adjustRightInd w:val="0"/>
              <w:snapToGrid w:val="0"/>
              <w:rPr>
                <w:rFonts w:ascii="宋体" w:hAnsi="宋体"/>
                <w:highlight w:val="none"/>
              </w:rPr>
            </w:pPr>
            <w:r>
              <w:rPr>
                <w:rFonts w:hint="eastAsia" w:ascii="宋体" w:hAnsi="宋体"/>
                <w:highlight w:val="none"/>
              </w:rPr>
              <w:t>（15）投标文件附有招标人不能接受的条件；</w:t>
            </w:r>
          </w:p>
          <w:p w14:paraId="1E8901E0">
            <w:pPr>
              <w:autoSpaceDE w:val="0"/>
              <w:autoSpaceDN w:val="0"/>
              <w:adjustRightInd w:val="0"/>
              <w:snapToGrid w:val="0"/>
              <w:rPr>
                <w:rFonts w:ascii="宋体" w:hAnsi="宋体"/>
                <w:highlight w:val="none"/>
              </w:rPr>
            </w:pPr>
            <w:r>
              <w:rPr>
                <w:rFonts w:hint="eastAsia" w:ascii="宋体" w:hAnsi="宋体"/>
                <w:highlight w:val="none"/>
              </w:rPr>
              <w:t>（16）不符合招标文件中规定的其他实质性要求。</w:t>
            </w:r>
          </w:p>
        </w:tc>
      </w:tr>
      <w:tr w14:paraId="41F347D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4DE52634">
            <w:pPr>
              <w:autoSpaceDE w:val="0"/>
              <w:autoSpaceDN w:val="0"/>
              <w:jc w:val="center"/>
              <w:rPr>
                <w:rFonts w:ascii="宋体" w:hAnsi="宋体" w:cs="宋体"/>
                <w:szCs w:val="21"/>
                <w:highlight w:val="none"/>
              </w:rPr>
            </w:pPr>
          </w:p>
        </w:tc>
        <w:tc>
          <w:tcPr>
            <w:tcW w:w="1666" w:type="dxa"/>
            <w:vAlign w:val="center"/>
          </w:tcPr>
          <w:p w14:paraId="5BE38325">
            <w:pPr>
              <w:autoSpaceDE w:val="0"/>
              <w:autoSpaceDN w:val="0"/>
              <w:rPr>
                <w:rFonts w:ascii="宋体" w:hAnsi="宋体" w:cs="宋体"/>
                <w:szCs w:val="21"/>
                <w:highlight w:val="none"/>
              </w:rPr>
            </w:pPr>
            <w:r>
              <w:rPr>
                <w:rFonts w:hint="eastAsia" w:ascii="宋体" w:hAnsi="宋体" w:cs="宋体"/>
                <w:szCs w:val="21"/>
                <w:highlight w:val="none"/>
              </w:rPr>
              <w:t>3.1.3 低于成本价</w:t>
            </w:r>
          </w:p>
        </w:tc>
        <w:tc>
          <w:tcPr>
            <w:tcW w:w="5795" w:type="dxa"/>
            <w:vAlign w:val="center"/>
          </w:tcPr>
          <w:p w14:paraId="5A3F5CCA">
            <w:pPr>
              <w:autoSpaceDE w:val="0"/>
              <w:autoSpaceDN w:val="0"/>
              <w:rPr>
                <w:rFonts w:ascii="宋体" w:hAnsi="宋体" w:cs="宋体"/>
                <w:szCs w:val="21"/>
                <w:highlight w:val="none"/>
              </w:rPr>
            </w:pPr>
            <w:r>
              <w:rPr>
                <w:rFonts w:hint="eastAsia" w:ascii="宋体" w:hAnsi="宋体"/>
                <w:highlight w:val="none"/>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tc>
      </w:tr>
      <w:tr w14:paraId="73601B1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1B0825D2">
            <w:pPr>
              <w:autoSpaceDE w:val="0"/>
              <w:autoSpaceDN w:val="0"/>
              <w:jc w:val="center"/>
              <w:rPr>
                <w:rFonts w:ascii="宋体" w:hAnsi="宋体" w:cs="宋体"/>
                <w:szCs w:val="21"/>
                <w:highlight w:val="none"/>
              </w:rPr>
            </w:pPr>
          </w:p>
        </w:tc>
        <w:tc>
          <w:tcPr>
            <w:tcW w:w="1666" w:type="dxa"/>
            <w:vAlign w:val="center"/>
          </w:tcPr>
          <w:p w14:paraId="1D4BFE78">
            <w:pPr>
              <w:autoSpaceDE w:val="0"/>
              <w:autoSpaceDN w:val="0"/>
              <w:rPr>
                <w:rFonts w:ascii="宋体" w:hAnsi="宋体" w:cs="宋体"/>
                <w:szCs w:val="21"/>
                <w:highlight w:val="none"/>
              </w:rPr>
            </w:pPr>
            <w:r>
              <w:rPr>
                <w:rFonts w:hint="eastAsia" w:ascii="宋体" w:hAnsi="宋体" w:cs="宋体"/>
                <w:szCs w:val="21"/>
                <w:highlight w:val="none"/>
              </w:rPr>
              <w:t>3.1.4 算术修正</w:t>
            </w:r>
          </w:p>
        </w:tc>
        <w:tc>
          <w:tcPr>
            <w:tcW w:w="5795" w:type="dxa"/>
            <w:vAlign w:val="center"/>
          </w:tcPr>
          <w:p w14:paraId="18C2786F">
            <w:pPr>
              <w:autoSpaceDE w:val="0"/>
              <w:autoSpaceDN w:val="0"/>
              <w:rPr>
                <w:rFonts w:ascii="宋体" w:hAnsi="宋体"/>
                <w:highlight w:val="none"/>
              </w:rPr>
            </w:pPr>
            <w:r>
              <w:rPr>
                <w:rFonts w:hint="eastAsia" w:ascii="宋体" w:hAnsi="宋体"/>
                <w:highlight w:val="none"/>
              </w:rPr>
              <w:t>投标报价有算术错误的，评标委员会按照以下原则对投标报价进行修正，修正的价格经投标人书面确认后具有约束力。投标人不接受修正价格的，评标委员会应当否决其投标。</w:t>
            </w:r>
          </w:p>
          <w:p w14:paraId="04DDB248">
            <w:pPr>
              <w:autoSpaceDE w:val="0"/>
              <w:autoSpaceDN w:val="0"/>
              <w:rPr>
                <w:rFonts w:ascii="宋体" w:hAnsi="宋体"/>
                <w:highlight w:val="none"/>
              </w:rPr>
            </w:pPr>
            <w:r>
              <w:rPr>
                <w:rFonts w:hint="eastAsia" w:ascii="宋体" w:hAnsi="宋体"/>
                <w:highlight w:val="none"/>
              </w:rPr>
              <w:t>（1）投标文件中的大写金额与小写金额不一致的，以大写金额为准；</w:t>
            </w:r>
          </w:p>
          <w:p w14:paraId="7CFC56DF">
            <w:pPr>
              <w:autoSpaceDE w:val="0"/>
              <w:autoSpaceDN w:val="0"/>
              <w:rPr>
                <w:rFonts w:ascii="宋体" w:hAnsi="宋体"/>
                <w:highlight w:val="none"/>
              </w:rPr>
            </w:pPr>
            <w:r>
              <w:rPr>
                <w:rFonts w:hint="eastAsia" w:ascii="宋体" w:hAnsi="宋体"/>
                <w:highlight w:val="none"/>
              </w:rPr>
              <w:t>（2）总价金额与根据单价计算出的结果不一致的，以单价金额为准修正总价，但单价金额小数点有明显错误的除外。</w:t>
            </w:r>
          </w:p>
        </w:tc>
      </w:tr>
    </w:tbl>
    <w:p w14:paraId="5984637E">
      <w:pPr>
        <w:pStyle w:val="40"/>
        <w:tabs>
          <w:tab w:val="left" w:pos="602"/>
        </w:tabs>
        <w:snapToGrid w:val="0"/>
        <w:spacing w:before="120" w:after="120" w:line="440" w:lineRule="exact"/>
        <w:jc w:val="left"/>
        <w:rPr>
          <w:rFonts w:ascii="宋体" w:hAnsi="宋体"/>
          <w:sz w:val="28"/>
          <w:szCs w:val="28"/>
          <w:highlight w:val="none"/>
        </w:rPr>
        <w:sectPr>
          <w:headerReference r:id="rId17" w:type="first"/>
          <w:footerReference r:id="rId19" w:type="first"/>
          <w:headerReference r:id="rId15" w:type="default"/>
          <w:footerReference r:id="rId18" w:type="default"/>
          <w:headerReference r:id="rId16" w:type="even"/>
          <w:pgSz w:w="11906" w:h="16838"/>
          <w:pgMar w:top="1440" w:right="1800" w:bottom="1440" w:left="1800" w:header="851" w:footer="992" w:gutter="0"/>
          <w:pgNumType w:fmt="decimal"/>
          <w:cols w:space="720" w:num="1"/>
          <w:titlePg/>
          <w:docGrid w:type="lines" w:linePitch="312" w:charSpace="0"/>
        </w:sectPr>
      </w:pPr>
      <w:bookmarkStart w:id="27" w:name="_Toc447188667"/>
      <w:bookmarkStart w:id="28" w:name="_Toc226969278"/>
      <w:bookmarkStart w:id="29" w:name="_Toc488655831"/>
      <w:bookmarkStart w:id="30" w:name="_Toc227057885"/>
      <w:bookmarkStart w:id="31" w:name="_Toc107822484"/>
    </w:p>
    <w:bookmarkEnd w:id="27"/>
    <w:bookmarkEnd w:id="28"/>
    <w:bookmarkEnd w:id="29"/>
    <w:bookmarkEnd w:id="30"/>
    <w:bookmarkEnd w:id="31"/>
    <w:p w14:paraId="558D9FA2">
      <w:pPr>
        <w:pStyle w:val="40"/>
        <w:numPr>
          <w:ilvl w:val="0"/>
          <w:numId w:val="2"/>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32" w:name="_Toc447265502"/>
      <w:bookmarkStart w:id="33" w:name="_Toc17309"/>
      <w:bookmarkStart w:id="34" w:name="_Toc139026873"/>
      <w:bookmarkStart w:id="35" w:name="_Toc38007951"/>
      <w:bookmarkStart w:id="36" w:name="_Toc447265216"/>
      <w:r>
        <w:rPr>
          <w:rFonts w:hint="eastAsia" w:asciiTheme="minorEastAsia" w:hAnsiTheme="minorEastAsia" w:eastAsiaTheme="minorEastAsia"/>
          <w:sz w:val="28"/>
          <w:szCs w:val="28"/>
          <w:highlight w:val="none"/>
        </w:rPr>
        <w:t>总则</w:t>
      </w:r>
      <w:bookmarkEnd w:id="32"/>
      <w:bookmarkEnd w:id="33"/>
      <w:bookmarkEnd w:id="34"/>
      <w:bookmarkEnd w:id="35"/>
      <w:bookmarkEnd w:id="36"/>
    </w:p>
    <w:p w14:paraId="71BA9828">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7" w:name="_Toc247085690"/>
      <w:bookmarkStart w:id="38" w:name="_Toc21406"/>
      <w:bookmarkStart w:id="39" w:name="_Toc447265217"/>
      <w:bookmarkStart w:id="40" w:name="_Toc139026874"/>
      <w:bookmarkStart w:id="41" w:name="_Toc447265503"/>
      <w:bookmarkStart w:id="42" w:name="_Toc246996176"/>
      <w:bookmarkStart w:id="43" w:name="_Toc447188668"/>
      <w:bookmarkStart w:id="44" w:name="_Toc246996919"/>
      <w:bookmarkStart w:id="45" w:name="_Toc179632547"/>
      <w:bookmarkStart w:id="46" w:name="_Toc38007952"/>
      <w:bookmarkStart w:id="47" w:name="_Toc144974498"/>
      <w:bookmarkStart w:id="48" w:name="_Toc296602421"/>
      <w:bookmarkStart w:id="49" w:name="_Toc152045530"/>
      <w:bookmarkStart w:id="50" w:name="_Toc152042306"/>
      <w:r>
        <w:rPr>
          <w:rFonts w:hint="eastAsia" w:asciiTheme="minorEastAsia" w:hAnsiTheme="minorEastAsia" w:eastAsiaTheme="minorEastAsia"/>
          <w:sz w:val="24"/>
          <w:szCs w:val="24"/>
          <w:highlight w:val="none"/>
        </w:rPr>
        <w:t>1.1项目概况</w:t>
      </w:r>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C3276D">
      <w:pPr>
        <w:pStyle w:val="25"/>
        <w:tabs>
          <w:tab w:val="left" w:pos="630"/>
        </w:tabs>
        <w:snapToGrid w:val="0"/>
        <w:spacing w:line="440" w:lineRule="exact"/>
        <w:ind w:firstLine="424" w:firstLineChars="202"/>
        <w:rPr>
          <w:rFonts w:cs="宋体" w:asciiTheme="minorEastAsia" w:hAnsiTheme="minorEastAsia" w:eastAsiaTheme="minorEastAsia"/>
          <w:highlight w:val="none"/>
        </w:rPr>
      </w:pPr>
      <w:r>
        <w:rPr>
          <w:rFonts w:hint="eastAsia" w:asciiTheme="minorEastAsia" w:hAnsiTheme="minorEastAsia" w:eastAsiaTheme="minorEastAsia"/>
          <w:highlight w:val="none"/>
        </w:rPr>
        <w:t>1.</w:t>
      </w:r>
      <w:r>
        <w:rPr>
          <w:rFonts w:asciiTheme="minorEastAsia" w:hAnsiTheme="minorEastAsia" w:eastAsiaTheme="minorEastAsia"/>
          <w:highlight w:val="none"/>
        </w:rPr>
        <w:t>1.1</w:t>
      </w:r>
      <w:r>
        <w:rPr>
          <w:rFonts w:hint="eastAsia" w:asciiTheme="minorEastAsia" w:hAnsiTheme="minorEastAsia" w:eastAsiaTheme="minorEastAsia"/>
          <w:highlight w:val="none"/>
        </w:rPr>
        <w:t>根据《中华人民共和国招标投标法》（以下简称《招标投标法》）、《中华人民共和国招标投标法实施条例》（以下简称《实施条例》）和《通信工程建设项目招标投标管理办法》（以下简称《管理办法》）等有关法律、法规和规章的规定，本招标项目已具备招标条件，现对本项目进行招标。</w:t>
      </w:r>
    </w:p>
    <w:p w14:paraId="78C8007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1.1.2</w:t>
      </w:r>
      <w:r>
        <w:rPr>
          <w:rFonts w:hint="eastAsia" w:asciiTheme="minorEastAsia" w:hAnsiTheme="minorEastAsia" w:eastAsiaTheme="minorEastAsia"/>
          <w:highlight w:val="none"/>
        </w:rPr>
        <w:t>招标人：招标人单位名称及联系方式见投标人须知前附表。</w:t>
      </w:r>
    </w:p>
    <w:p w14:paraId="3A77707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1</w:t>
      </w:r>
      <w:r>
        <w:rPr>
          <w:rFonts w:asciiTheme="minorEastAsia" w:hAnsiTheme="minorEastAsia" w:eastAsiaTheme="minorEastAsia"/>
          <w:highlight w:val="none"/>
        </w:rPr>
        <w:t>.1</w:t>
      </w:r>
      <w:r>
        <w:rPr>
          <w:rFonts w:hint="eastAsia" w:asciiTheme="minorEastAsia" w:hAnsiTheme="minorEastAsia" w:eastAsiaTheme="minorEastAsia"/>
          <w:highlight w:val="none"/>
        </w:rPr>
        <w:t>.3招标项目名称：项目名称及招标编号见投标人须知前附表。</w:t>
      </w:r>
    </w:p>
    <w:p w14:paraId="37B798F8">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1" w:name="_Toc227057886"/>
      <w:bookmarkStart w:id="52" w:name="_Toc226969279"/>
      <w:bookmarkStart w:id="53" w:name="_Toc447188669"/>
      <w:bookmarkStart w:id="54" w:name="_Toc447265218"/>
      <w:bookmarkStart w:id="55" w:name="_Toc38007953"/>
      <w:bookmarkStart w:id="56" w:name="_Toc447265504"/>
      <w:bookmarkStart w:id="57" w:name="_Toc29636"/>
      <w:bookmarkStart w:id="58" w:name="_Toc139026875"/>
      <w:r>
        <w:rPr>
          <w:rFonts w:asciiTheme="minorEastAsia" w:hAnsiTheme="minorEastAsia" w:eastAsiaTheme="minorEastAsia"/>
          <w:sz w:val="24"/>
          <w:szCs w:val="24"/>
          <w:highlight w:val="none"/>
        </w:rPr>
        <w:t>1.2</w:t>
      </w:r>
      <w:r>
        <w:rPr>
          <w:rFonts w:hint="eastAsia" w:asciiTheme="minorEastAsia" w:hAnsiTheme="minorEastAsia" w:eastAsiaTheme="minorEastAsia"/>
          <w:sz w:val="24"/>
          <w:szCs w:val="24"/>
          <w:highlight w:val="none"/>
        </w:rPr>
        <w:t>资金来源</w:t>
      </w:r>
      <w:bookmarkEnd w:id="51"/>
      <w:bookmarkEnd w:id="52"/>
      <w:bookmarkEnd w:id="53"/>
      <w:r>
        <w:rPr>
          <w:rFonts w:hint="eastAsia" w:asciiTheme="minorEastAsia" w:hAnsiTheme="minorEastAsia" w:eastAsiaTheme="minorEastAsia"/>
          <w:sz w:val="24"/>
          <w:szCs w:val="24"/>
          <w:highlight w:val="none"/>
        </w:rPr>
        <w:t>和落实情况</w:t>
      </w:r>
      <w:bookmarkEnd w:id="54"/>
      <w:bookmarkEnd w:id="55"/>
      <w:bookmarkEnd w:id="56"/>
      <w:bookmarkEnd w:id="57"/>
      <w:bookmarkEnd w:id="58"/>
    </w:p>
    <w:p w14:paraId="277EC95C">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本项目资金已落实，资金来源见投标人须知前附表。</w:t>
      </w:r>
    </w:p>
    <w:p w14:paraId="6F2E6E84">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9" w:name="_Toc25175"/>
      <w:bookmarkStart w:id="60" w:name="_Toc139026876"/>
      <w:bookmarkStart w:id="61" w:name="_Toc38007954"/>
      <w:bookmarkStart w:id="62" w:name="_Toc447265505"/>
      <w:bookmarkStart w:id="63" w:name="_Toc447265219"/>
      <w:bookmarkStart w:id="64" w:name="_Toc447188670"/>
      <w:r>
        <w:rPr>
          <w:rFonts w:hint="eastAsia" w:asciiTheme="minorEastAsia" w:hAnsiTheme="minorEastAsia" w:eastAsiaTheme="minorEastAsia"/>
          <w:sz w:val="24"/>
          <w:szCs w:val="24"/>
          <w:highlight w:val="none"/>
        </w:rPr>
        <w:t>1.3招标范围</w:t>
      </w:r>
      <w:bookmarkEnd w:id="59"/>
      <w:bookmarkEnd w:id="60"/>
      <w:bookmarkEnd w:id="61"/>
      <w:bookmarkEnd w:id="62"/>
      <w:bookmarkEnd w:id="63"/>
      <w:bookmarkEnd w:id="64"/>
    </w:p>
    <w:p w14:paraId="0BA868C8">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本项目招标范围：见投标人须知前附表。</w:t>
      </w:r>
    </w:p>
    <w:p w14:paraId="28B3BF6F">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5" w:name="_Toc139026877"/>
      <w:bookmarkStart w:id="66" w:name="_Toc38007955"/>
      <w:bookmarkStart w:id="67" w:name="_Toc22429"/>
      <w:r>
        <w:rPr>
          <w:rFonts w:hint="eastAsia" w:asciiTheme="minorEastAsia" w:hAnsiTheme="minorEastAsia" w:eastAsiaTheme="minorEastAsia"/>
          <w:sz w:val="24"/>
          <w:szCs w:val="24"/>
          <w:highlight w:val="none"/>
        </w:rPr>
        <w:t>1.4标包划分</w:t>
      </w:r>
      <w:bookmarkEnd w:id="65"/>
      <w:bookmarkEnd w:id="66"/>
      <w:bookmarkEnd w:id="67"/>
    </w:p>
    <w:p w14:paraId="2D5B9A32">
      <w:pPr>
        <w:pStyle w:val="25"/>
        <w:tabs>
          <w:tab w:val="left" w:pos="630"/>
        </w:tabs>
        <w:snapToGrid w:val="0"/>
        <w:spacing w:line="440" w:lineRule="exact"/>
        <w:ind w:firstLine="420" w:firstLineChars="200"/>
        <w:rPr>
          <w:rFonts w:asciiTheme="minorEastAsia" w:hAnsiTheme="minorEastAsia" w:eastAsiaTheme="minorEastAsia"/>
          <w:highlight w:val="none"/>
        </w:rPr>
      </w:pPr>
      <w:r>
        <w:rPr>
          <w:rFonts w:hint="eastAsia" w:asciiTheme="minorEastAsia" w:hAnsiTheme="minorEastAsia" w:eastAsiaTheme="minorEastAsia"/>
          <w:highlight w:val="none"/>
        </w:rPr>
        <w:t>本项目标包划分情况见投标人须知前附表。</w:t>
      </w:r>
    </w:p>
    <w:p w14:paraId="55582465">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8" w:name="_Toc38007956"/>
      <w:bookmarkStart w:id="69" w:name="_Toc447265221"/>
      <w:bookmarkStart w:id="70" w:name="_Toc447265507"/>
      <w:bookmarkStart w:id="71" w:name="_Toc107822486"/>
      <w:bookmarkStart w:id="72" w:name="_Toc139026878"/>
      <w:bookmarkStart w:id="73" w:name="_Toc227057888"/>
      <w:bookmarkStart w:id="74" w:name="_Toc17657"/>
      <w:bookmarkStart w:id="75" w:name="_Toc226969281"/>
      <w:bookmarkStart w:id="76" w:name="_Toc447188672"/>
      <w:r>
        <w:rPr>
          <w:rFonts w:hint="eastAsia" w:asciiTheme="minorEastAsia" w:hAnsiTheme="minorEastAsia" w:eastAsiaTheme="minorEastAsia"/>
          <w:sz w:val="24"/>
          <w:szCs w:val="24"/>
          <w:highlight w:val="none"/>
        </w:rPr>
        <w:t>1.5招标方式</w:t>
      </w:r>
      <w:bookmarkEnd w:id="68"/>
      <w:bookmarkEnd w:id="69"/>
      <w:bookmarkEnd w:id="70"/>
      <w:bookmarkEnd w:id="71"/>
      <w:bookmarkEnd w:id="72"/>
      <w:bookmarkEnd w:id="73"/>
      <w:bookmarkEnd w:id="74"/>
      <w:bookmarkEnd w:id="75"/>
      <w:bookmarkEnd w:id="76"/>
    </w:p>
    <w:p w14:paraId="53571D5E">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1.5.1招标方式见投标人须知前附表。</w:t>
      </w:r>
    </w:p>
    <w:p w14:paraId="1F5E323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1.5.2公开招标，是指招标人以招标公告的方式邀请不特定的法人或者其他组织投标。</w:t>
      </w:r>
    </w:p>
    <w:p w14:paraId="6A604A4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1.5.3</w:t>
      </w:r>
      <w:r>
        <w:rPr>
          <w:rFonts w:hint="eastAsia" w:asciiTheme="minorEastAsia" w:hAnsiTheme="minorEastAsia" w:eastAsiaTheme="minorEastAsia"/>
          <w:highlight w:val="none"/>
        </w:rPr>
        <w:t>邀请招标，是指招标人以投标邀请书的方式邀请特定的法人或者其他组织投标。</w:t>
      </w:r>
    </w:p>
    <w:p w14:paraId="154BEAF4">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77" w:name="_Toc447265222"/>
      <w:bookmarkStart w:id="78" w:name="_Toc447265508"/>
      <w:bookmarkStart w:id="79" w:name="_Toc139026879"/>
      <w:bookmarkStart w:id="80" w:name="_Toc107822485"/>
      <w:bookmarkStart w:id="81" w:name="_Toc447188673"/>
      <w:bookmarkStart w:id="82" w:name="_Toc20055"/>
      <w:bookmarkStart w:id="83" w:name="_Toc227057887"/>
      <w:bookmarkStart w:id="84" w:name="_Toc226969280"/>
      <w:bookmarkStart w:id="85" w:name="_Toc38007957"/>
      <w:bookmarkStart w:id="86" w:name="_Toc227057889"/>
      <w:bookmarkStart w:id="87" w:name="_Toc226969282"/>
      <w:r>
        <w:rPr>
          <w:rFonts w:hint="eastAsia" w:asciiTheme="minorEastAsia" w:hAnsiTheme="minorEastAsia" w:eastAsiaTheme="minorEastAsia"/>
          <w:sz w:val="24"/>
          <w:szCs w:val="24"/>
          <w:highlight w:val="none"/>
        </w:rPr>
        <w:t>1.6招标组织形式</w:t>
      </w:r>
      <w:bookmarkEnd w:id="77"/>
      <w:bookmarkEnd w:id="78"/>
      <w:bookmarkEnd w:id="79"/>
      <w:bookmarkEnd w:id="80"/>
      <w:bookmarkEnd w:id="81"/>
      <w:bookmarkEnd w:id="82"/>
      <w:bookmarkEnd w:id="83"/>
      <w:bookmarkEnd w:id="84"/>
      <w:bookmarkEnd w:id="85"/>
    </w:p>
    <w:p w14:paraId="44E5EAF0">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本项目由招标人自行组织</w:t>
      </w:r>
      <w:r>
        <w:rPr>
          <w:rFonts w:cs="宋体" w:asciiTheme="minorEastAsia" w:hAnsiTheme="minorEastAsia" w:eastAsiaTheme="minorEastAsia"/>
          <w:szCs w:val="21"/>
          <w:highlight w:val="none"/>
        </w:rPr>
        <w:t>/委托</w:t>
      </w:r>
      <w:r>
        <w:rPr>
          <w:rFonts w:hint="eastAsia" w:cs="宋体" w:asciiTheme="minorEastAsia" w:hAnsiTheme="minorEastAsia" w:eastAsiaTheme="minorEastAsia"/>
          <w:szCs w:val="21"/>
          <w:highlight w:val="none"/>
        </w:rPr>
        <w:t>招标代理机构采用代理招标的方式进行，招标组织形式、招标代理机构名称及联系方式见投标人须知前附表。</w:t>
      </w:r>
    </w:p>
    <w:p w14:paraId="12C428A6">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88" w:name="_Toc447265223"/>
      <w:bookmarkStart w:id="89" w:name="_Toc24920"/>
      <w:bookmarkStart w:id="90" w:name="_Toc447265509"/>
      <w:bookmarkStart w:id="91" w:name="_Toc447188674"/>
      <w:bookmarkStart w:id="92" w:name="_Toc139026880"/>
      <w:bookmarkStart w:id="93" w:name="_Toc38007958"/>
      <w:r>
        <w:rPr>
          <w:rFonts w:hint="eastAsia" w:asciiTheme="minorEastAsia" w:hAnsiTheme="minorEastAsia" w:eastAsiaTheme="minorEastAsia"/>
          <w:sz w:val="24"/>
          <w:szCs w:val="24"/>
          <w:highlight w:val="none"/>
        </w:rPr>
        <w:t>1.7资格审查</w:t>
      </w:r>
      <w:bookmarkEnd w:id="86"/>
      <w:bookmarkEnd w:id="87"/>
      <w:bookmarkEnd w:id="88"/>
      <w:bookmarkEnd w:id="89"/>
      <w:bookmarkEnd w:id="90"/>
      <w:bookmarkEnd w:id="91"/>
      <w:bookmarkEnd w:id="92"/>
      <w:bookmarkEnd w:id="93"/>
    </w:p>
    <w:p w14:paraId="240BDA29">
      <w:pPr>
        <w:adjustRightInd w:val="0"/>
        <w:snapToGrid w:val="0"/>
        <w:spacing w:line="440" w:lineRule="exact"/>
        <w:ind w:firstLine="424" w:firstLineChars="202"/>
        <w:rPr>
          <w:rFonts w:cs="宋体" w:asciiTheme="minorEastAsia" w:hAnsiTheme="minorEastAsia" w:eastAsiaTheme="minorEastAsia"/>
          <w:szCs w:val="21"/>
          <w:highlight w:val="none"/>
        </w:rPr>
      </w:pPr>
      <w:bookmarkStart w:id="94" w:name="_Toc447265510"/>
      <w:bookmarkStart w:id="95" w:name="_Toc447188675"/>
      <w:bookmarkStart w:id="96" w:name="_Toc447265224"/>
      <w:r>
        <w:rPr>
          <w:rFonts w:hint="eastAsia" w:cs="宋体" w:asciiTheme="minorEastAsia" w:hAnsiTheme="minorEastAsia" w:eastAsiaTheme="minorEastAsia"/>
          <w:szCs w:val="21"/>
          <w:highlight w:val="none"/>
        </w:rPr>
        <w:t>1.7.1本招标项目资格审查方式见投标人须知前附表。</w:t>
      </w:r>
    </w:p>
    <w:p w14:paraId="6761359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1.7.2资格预审是指在投标前对投标人进行的资格审查。采用资格预审方式的，资格条件已经在招标文件发出前的“资格预审文件”中做出规定。</w:t>
      </w:r>
    </w:p>
    <w:p w14:paraId="0897DD84">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97" w:name="_Toc226969283"/>
      <w:r>
        <w:rPr>
          <w:rFonts w:hint="eastAsia" w:asciiTheme="minorEastAsia" w:hAnsiTheme="minorEastAsia" w:eastAsiaTheme="minorEastAsia"/>
          <w:highlight w:val="none"/>
        </w:rPr>
        <w:t>资格后审是指在开标后由评标委员会根据招标文件的规定对投标人进行的资格审查。</w:t>
      </w:r>
      <w:bookmarkEnd w:id="97"/>
      <w:r>
        <w:rPr>
          <w:rFonts w:hint="eastAsia" w:asciiTheme="minorEastAsia" w:hAnsiTheme="minorEastAsia" w:eastAsiaTheme="minorEastAsia"/>
          <w:highlight w:val="none"/>
        </w:rPr>
        <w:t>采用资格后审方式的，投标人应当具备的资格条件见投标人须知前附表。</w:t>
      </w:r>
    </w:p>
    <w:p w14:paraId="2200FB4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采用资格后审的，招标人必须在招标文件中详细规定资格审查标准和方法。</w:t>
      </w:r>
    </w:p>
    <w:p w14:paraId="26A30426">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资格后审一般包括下列内容：</w:t>
      </w:r>
    </w:p>
    <w:p w14:paraId="6F398E62">
      <w:pPr>
        <w:numPr>
          <w:ilvl w:val="0"/>
          <w:numId w:val="3"/>
        </w:numPr>
        <w:tabs>
          <w:tab w:val="left" w:pos="644"/>
        </w:tabs>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资格要求；</w:t>
      </w:r>
    </w:p>
    <w:p w14:paraId="218C1EBC">
      <w:pPr>
        <w:numPr>
          <w:ilvl w:val="0"/>
          <w:numId w:val="3"/>
        </w:numPr>
        <w:tabs>
          <w:tab w:val="left" w:pos="644"/>
        </w:tabs>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其他业绩要求；</w:t>
      </w:r>
    </w:p>
    <w:p w14:paraId="0EDE43C4">
      <w:pPr>
        <w:numPr>
          <w:ilvl w:val="0"/>
          <w:numId w:val="3"/>
        </w:numPr>
        <w:tabs>
          <w:tab w:val="left" w:pos="644"/>
        </w:tabs>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审查标准和方法。</w:t>
      </w:r>
    </w:p>
    <w:p w14:paraId="6F60491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资格后审不合格的投标人，评标委员会应当否决其投标。</w:t>
      </w:r>
    </w:p>
    <w:p w14:paraId="5F4C35A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98" w:name="_Toc139026881"/>
      <w:bookmarkStart w:id="99" w:name="_Toc28857"/>
      <w:bookmarkStart w:id="100" w:name="_Toc38007959"/>
      <w:r>
        <w:rPr>
          <w:rFonts w:hint="eastAsia" w:asciiTheme="minorEastAsia" w:hAnsiTheme="minorEastAsia" w:eastAsiaTheme="minorEastAsia"/>
          <w:sz w:val="24"/>
          <w:szCs w:val="24"/>
          <w:highlight w:val="none"/>
        </w:rPr>
        <w:t>1.8投标人不得存在的情形</w:t>
      </w:r>
      <w:bookmarkEnd w:id="94"/>
      <w:bookmarkEnd w:id="95"/>
      <w:bookmarkEnd w:id="96"/>
      <w:bookmarkEnd w:id="98"/>
      <w:bookmarkEnd w:id="99"/>
      <w:bookmarkEnd w:id="100"/>
    </w:p>
    <w:p w14:paraId="08E1094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1.8.1投标人不得存在下列情形之一</w:t>
      </w:r>
    </w:p>
    <w:p w14:paraId="1C2A4373">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 xml:space="preserve">为招标人不具有独立法人资格的附属机构（单位）； </w:t>
      </w:r>
    </w:p>
    <w:p w14:paraId="070001E7">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 xml:space="preserve">被责令停业的； </w:t>
      </w:r>
    </w:p>
    <w:p w14:paraId="691784DC">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 xml:space="preserve">被暂停或者取消投标资格的； </w:t>
      </w:r>
    </w:p>
    <w:p w14:paraId="39A8CDCA">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财产被接管或者冻结的；</w:t>
      </w:r>
    </w:p>
    <w:p w14:paraId="52B9D7B5">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在最近三年内有骗取中标、严重违约、重大工程质量或者安全问题的；</w:t>
      </w:r>
    </w:p>
    <w:p w14:paraId="67F4A395">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法律法规限定的其他情形；</w:t>
      </w:r>
    </w:p>
    <w:p w14:paraId="6B6535E4">
      <w:pPr>
        <w:pStyle w:val="56"/>
        <w:numPr>
          <w:ilvl w:val="0"/>
          <w:numId w:val="4"/>
        </w:numPr>
        <w:tabs>
          <w:tab w:val="left" w:pos="630"/>
        </w:tabs>
        <w:spacing w:line="400" w:lineRule="exact"/>
        <w:ind w:left="0"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招标文件规定的其他情形：见投标人须知前附表。</w:t>
      </w:r>
    </w:p>
    <w:p w14:paraId="16EE8FE5">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1.8.2单位负责人为同一人或者存在控股、管理关系的不同单位，不得同时参加本项目中同一标包投标或者未划分标包的同一招标项目投标。</w:t>
      </w:r>
    </w:p>
    <w:p w14:paraId="4706C042">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01" w:name="_Toc447265511"/>
      <w:bookmarkStart w:id="102" w:name="_Toc227057890"/>
      <w:bookmarkStart w:id="103" w:name="_Toc10331"/>
      <w:bookmarkStart w:id="104" w:name="_Toc447265225"/>
      <w:bookmarkStart w:id="105" w:name="_Toc38007960"/>
      <w:bookmarkStart w:id="106" w:name="_Toc447188676"/>
      <w:bookmarkStart w:id="107" w:name="_Toc139026882"/>
      <w:bookmarkStart w:id="108" w:name="_Toc107822487"/>
      <w:bookmarkStart w:id="109" w:name="_Toc226969284"/>
      <w:r>
        <w:rPr>
          <w:rFonts w:hint="eastAsia" w:asciiTheme="minorEastAsia" w:hAnsiTheme="minorEastAsia" w:eastAsiaTheme="minorEastAsia"/>
          <w:sz w:val="24"/>
          <w:szCs w:val="24"/>
          <w:highlight w:val="none"/>
        </w:rPr>
        <w:t>1.9合格的货物和服务</w:t>
      </w:r>
      <w:bookmarkEnd w:id="101"/>
      <w:bookmarkEnd w:id="102"/>
      <w:bookmarkEnd w:id="103"/>
      <w:bookmarkEnd w:id="104"/>
      <w:bookmarkEnd w:id="105"/>
      <w:bookmarkEnd w:id="106"/>
      <w:bookmarkEnd w:id="107"/>
      <w:bookmarkEnd w:id="108"/>
      <w:bookmarkEnd w:id="109"/>
    </w:p>
    <w:p w14:paraId="2A84A1F3">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1.9.1投标人提供的所有货物及其有关服务的原产地，均应当来自中国或者是与中国有正常贸易往来的国家或者地区。招标人的支付也仅限于这些货物和服务。</w:t>
      </w:r>
    </w:p>
    <w:p w14:paraId="62A51E7D">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1.9.2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14:paraId="149D3A23">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1.9.3投标人提供的所有货物及其有关服务应当符合国家规定的资格条件。</w:t>
      </w:r>
    </w:p>
    <w:p w14:paraId="6A51679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10" w:name="_Toc447265226"/>
      <w:bookmarkStart w:id="111" w:name="_Toc139026883"/>
      <w:bookmarkStart w:id="112" w:name="_Toc447188677"/>
      <w:bookmarkStart w:id="113" w:name="_Toc21329"/>
      <w:bookmarkStart w:id="114" w:name="_Toc107822488"/>
      <w:bookmarkStart w:id="115" w:name="_Toc447265512"/>
      <w:bookmarkStart w:id="116" w:name="_Toc38007961"/>
      <w:bookmarkStart w:id="117" w:name="_Toc226969285"/>
      <w:bookmarkStart w:id="118" w:name="_Toc227057891"/>
      <w:r>
        <w:rPr>
          <w:rFonts w:hint="eastAsia" w:asciiTheme="minorEastAsia" w:hAnsiTheme="minorEastAsia" w:eastAsiaTheme="minorEastAsia"/>
          <w:sz w:val="24"/>
          <w:szCs w:val="24"/>
          <w:highlight w:val="none"/>
        </w:rPr>
        <w:t>1.10投标费用</w:t>
      </w:r>
      <w:bookmarkEnd w:id="110"/>
      <w:bookmarkEnd w:id="111"/>
      <w:bookmarkEnd w:id="112"/>
      <w:bookmarkEnd w:id="113"/>
      <w:bookmarkEnd w:id="114"/>
      <w:bookmarkEnd w:id="115"/>
      <w:bookmarkEnd w:id="116"/>
      <w:bookmarkEnd w:id="117"/>
      <w:bookmarkEnd w:id="118"/>
    </w:p>
    <w:p w14:paraId="2F003D88">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不论结果如何，投标人自行承担所有准备和参与投标有关的费用。</w:t>
      </w:r>
      <w:bookmarkStart w:id="119" w:name="_Toc107822489"/>
      <w:bookmarkStart w:id="120" w:name="_Toc227057892"/>
      <w:bookmarkStart w:id="121" w:name="_Toc226969286"/>
    </w:p>
    <w:p w14:paraId="6081D307">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22" w:name="_Toc139026884"/>
      <w:bookmarkStart w:id="123" w:name="_Toc447265513"/>
      <w:bookmarkStart w:id="124" w:name="_Toc447265227"/>
      <w:bookmarkStart w:id="125" w:name="_Toc4942"/>
      <w:bookmarkStart w:id="126" w:name="_Toc38007962"/>
      <w:r>
        <w:rPr>
          <w:rFonts w:hint="eastAsia" w:asciiTheme="minorEastAsia" w:hAnsiTheme="minorEastAsia" w:eastAsiaTheme="minorEastAsia"/>
          <w:sz w:val="24"/>
          <w:szCs w:val="24"/>
          <w:highlight w:val="none"/>
        </w:rPr>
        <w:t>1.11保密</w:t>
      </w:r>
      <w:bookmarkEnd w:id="122"/>
      <w:bookmarkEnd w:id="123"/>
      <w:bookmarkEnd w:id="124"/>
      <w:bookmarkEnd w:id="125"/>
      <w:bookmarkEnd w:id="126"/>
    </w:p>
    <w:p w14:paraId="569FAAB6">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参与招标投标活动的各方应当对招标文件和投标文件中的商业和技术等秘密保密，违者应当对由此造成的后果承担法律责任。</w:t>
      </w:r>
    </w:p>
    <w:p w14:paraId="76641908">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127" w:name="_Toc447265228"/>
      <w:bookmarkStart w:id="128" w:name="_Toc246996187"/>
      <w:bookmarkStart w:id="129" w:name="_Toc139026885"/>
      <w:bookmarkStart w:id="130" w:name="_Toc38007963"/>
      <w:bookmarkStart w:id="131" w:name="_Toc246996930"/>
      <w:bookmarkStart w:id="132" w:name="_Toc247085701"/>
      <w:bookmarkStart w:id="133" w:name="_Toc144974510"/>
      <w:bookmarkStart w:id="134" w:name="_Toc447188678"/>
      <w:bookmarkStart w:id="135" w:name="_Toc179632560"/>
      <w:bookmarkStart w:id="136" w:name="_Toc447265514"/>
      <w:bookmarkStart w:id="137" w:name="_Toc152042318"/>
      <w:bookmarkStart w:id="138" w:name="_Toc296602432"/>
      <w:bookmarkStart w:id="139" w:name="_Toc11624"/>
      <w:bookmarkStart w:id="140" w:name="_Toc152045542"/>
      <w:r>
        <w:rPr>
          <w:rFonts w:hint="eastAsia" w:asciiTheme="minorEastAsia" w:hAnsiTheme="minorEastAsia" w:eastAsiaTheme="minorEastAsia"/>
          <w:sz w:val="28"/>
          <w:szCs w:val="28"/>
          <w:highlight w:val="none"/>
        </w:rPr>
        <w:t>招标文件</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3D1B9F0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41" w:name="_Toc447265515"/>
      <w:bookmarkStart w:id="142" w:name="_Toc38007964"/>
      <w:bookmarkStart w:id="143" w:name="_Toc139026886"/>
      <w:bookmarkStart w:id="144" w:name="_Toc447265229"/>
      <w:bookmarkStart w:id="145" w:name="_Toc15063"/>
      <w:bookmarkStart w:id="146" w:name="_Toc447188679"/>
      <w:r>
        <w:rPr>
          <w:rFonts w:hint="eastAsia" w:asciiTheme="minorEastAsia" w:hAnsiTheme="minorEastAsia" w:eastAsiaTheme="minorEastAsia"/>
          <w:sz w:val="24"/>
          <w:szCs w:val="24"/>
          <w:highlight w:val="none"/>
        </w:rPr>
        <w:t>2.1招标文件</w:t>
      </w:r>
      <w:bookmarkEnd w:id="119"/>
      <w:r>
        <w:rPr>
          <w:rFonts w:hint="eastAsia" w:asciiTheme="minorEastAsia" w:hAnsiTheme="minorEastAsia" w:eastAsiaTheme="minorEastAsia"/>
          <w:sz w:val="24"/>
          <w:szCs w:val="24"/>
          <w:highlight w:val="none"/>
        </w:rPr>
        <w:t>的组成</w:t>
      </w:r>
      <w:bookmarkEnd w:id="120"/>
      <w:bookmarkEnd w:id="121"/>
      <w:bookmarkEnd w:id="141"/>
      <w:bookmarkEnd w:id="142"/>
      <w:bookmarkEnd w:id="143"/>
      <w:bookmarkEnd w:id="144"/>
      <w:bookmarkEnd w:id="145"/>
      <w:bookmarkEnd w:id="146"/>
    </w:p>
    <w:p w14:paraId="0145C66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2.1.1招标文件一般由以下部分组成：</w:t>
      </w:r>
    </w:p>
    <w:p w14:paraId="73D7E059">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第一章招标公告</w:t>
      </w:r>
      <w:r>
        <w:rPr>
          <w:rFonts w:cs="宋体" w:asciiTheme="minorEastAsia" w:hAnsiTheme="minorEastAsia" w:eastAsiaTheme="minorEastAsia"/>
          <w:szCs w:val="21"/>
          <w:highlight w:val="none"/>
        </w:rPr>
        <w:t>/投标邀请书</w:t>
      </w:r>
    </w:p>
    <w:p w14:paraId="455B5833">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第二章投标人须知</w:t>
      </w:r>
    </w:p>
    <w:p w14:paraId="61FCEFCA">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第三章评标办法</w:t>
      </w:r>
    </w:p>
    <w:p w14:paraId="6BEDDA12">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第四章合同条款</w:t>
      </w:r>
    </w:p>
    <w:p w14:paraId="6CE53E85">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第五章 技术标准和要求（包括</w:t>
      </w:r>
      <w:r>
        <w:rPr>
          <w:rFonts w:cs="宋体" w:asciiTheme="minorEastAsia" w:hAnsiTheme="minorEastAsia" w:eastAsiaTheme="minorEastAsia"/>
          <w:szCs w:val="21"/>
          <w:highlight w:val="none"/>
        </w:rPr>
        <w:t>网络与信息安全有关要求</w:t>
      </w:r>
      <w:r>
        <w:rPr>
          <w:rFonts w:hint="eastAsia" w:cs="宋体" w:asciiTheme="minorEastAsia" w:hAnsiTheme="minorEastAsia" w:eastAsiaTheme="minorEastAsia"/>
          <w:szCs w:val="21"/>
          <w:highlight w:val="none"/>
        </w:rPr>
        <w:t>）</w:t>
      </w:r>
    </w:p>
    <w:p w14:paraId="2378BEF3">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第六章投标文件格式</w:t>
      </w:r>
    </w:p>
    <w:p w14:paraId="5BED78AC">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第七章 其他</w:t>
      </w:r>
    </w:p>
    <w:p w14:paraId="0C73A01A">
      <w:pPr>
        <w:adjustRightInd w:val="0"/>
        <w:snapToGrid w:val="0"/>
        <w:spacing w:line="440" w:lineRule="exact"/>
        <w:ind w:firstLine="424" w:firstLineChars="202"/>
        <w:rPr>
          <w:rFonts w:cs="宋体" w:asciiTheme="minorEastAsia" w:hAnsiTheme="minorEastAsia" w:eastAsiaTheme="minorEastAsia"/>
          <w:szCs w:val="21"/>
          <w:highlight w:val="none"/>
        </w:rPr>
      </w:pPr>
      <w:r>
        <w:rPr>
          <w:rFonts w:cs="宋体" w:asciiTheme="minorEastAsia" w:hAnsiTheme="minorEastAsia" w:eastAsiaTheme="minorEastAsia"/>
          <w:szCs w:val="21"/>
          <w:highlight w:val="none"/>
        </w:rPr>
        <w:t>招标人另有规定的</w:t>
      </w:r>
      <w:r>
        <w:rPr>
          <w:rFonts w:hint="eastAsia" w:cs="宋体" w:asciiTheme="minorEastAsia" w:hAnsiTheme="minorEastAsia" w:eastAsiaTheme="minorEastAsia"/>
          <w:szCs w:val="21"/>
          <w:highlight w:val="none"/>
        </w:rPr>
        <w:t>，</w:t>
      </w:r>
      <w:r>
        <w:rPr>
          <w:rFonts w:cs="宋体" w:asciiTheme="minorEastAsia" w:hAnsiTheme="minorEastAsia" w:eastAsiaTheme="minorEastAsia"/>
          <w:szCs w:val="21"/>
          <w:highlight w:val="none"/>
        </w:rPr>
        <w:t>见投标人须知前附表</w:t>
      </w:r>
    </w:p>
    <w:p w14:paraId="21473AE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2.1.2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14:paraId="6C5AE8C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2.1.3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14:paraId="4FD532FE">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2.1.4招标人可以要求以某一单项报价核定是否低于成本，具体要求见投标人须知前附表。</w:t>
      </w:r>
    </w:p>
    <w:p w14:paraId="4BD4FB1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47" w:name="_Toc393"/>
      <w:bookmarkStart w:id="148" w:name="_Toc447265230"/>
      <w:bookmarkStart w:id="149" w:name="_Toc447265516"/>
      <w:bookmarkStart w:id="150" w:name="_Toc447188680"/>
      <w:bookmarkStart w:id="151" w:name="_Toc38007965"/>
      <w:bookmarkStart w:id="152" w:name="_Toc139026887"/>
      <w:bookmarkStart w:id="153" w:name="_Toc226969287"/>
      <w:bookmarkStart w:id="154" w:name="_Toc107822490"/>
      <w:bookmarkStart w:id="155" w:name="_Toc227057893"/>
      <w:r>
        <w:rPr>
          <w:rFonts w:asciiTheme="minorEastAsia" w:hAnsiTheme="minorEastAsia" w:eastAsiaTheme="minorEastAsia"/>
          <w:sz w:val="24"/>
          <w:szCs w:val="24"/>
          <w:highlight w:val="none"/>
        </w:rPr>
        <w:t>2.2</w:t>
      </w:r>
      <w:r>
        <w:rPr>
          <w:rFonts w:hint="eastAsia" w:asciiTheme="minorEastAsia" w:hAnsiTheme="minorEastAsia" w:eastAsiaTheme="minorEastAsia"/>
          <w:sz w:val="24"/>
          <w:szCs w:val="24"/>
          <w:highlight w:val="none"/>
        </w:rPr>
        <w:t>踏勘现场</w:t>
      </w:r>
      <w:bookmarkEnd w:id="147"/>
      <w:bookmarkEnd w:id="148"/>
      <w:bookmarkEnd w:id="149"/>
      <w:bookmarkEnd w:id="150"/>
      <w:bookmarkEnd w:id="151"/>
      <w:bookmarkEnd w:id="152"/>
    </w:p>
    <w:p w14:paraId="76FB5331">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 xml:space="preserve">2.2.1投标人须知前附表规定组织踏勘现场的，招标人按照投标人须知前附表规定的时间、地点组织投标人踏勘项目现场。 </w:t>
      </w:r>
    </w:p>
    <w:p w14:paraId="7460F4F9">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asciiTheme="minorEastAsia" w:hAnsiTheme="minorEastAsia" w:eastAsiaTheme="minorEastAsia"/>
          <w:highlight w:val="none"/>
        </w:rPr>
        <w:t>2.2.2</w:t>
      </w:r>
      <w:r>
        <w:rPr>
          <w:rFonts w:hint="eastAsia" w:asciiTheme="minorEastAsia" w:hAnsiTheme="minorEastAsia" w:eastAsiaTheme="minorEastAsia"/>
          <w:highlight w:val="none"/>
        </w:rPr>
        <w:t>潜在投标人踏勘现场发生的费用自理。</w:t>
      </w:r>
    </w:p>
    <w:p w14:paraId="0252FC5D">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asciiTheme="minorEastAsia" w:hAnsiTheme="minorEastAsia" w:eastAsiaTheme="minorEastAsia"/>
          <w:highlight w:val="none"/>
        </w:rPr>
        <w:t>2.2.3</w:t>
      </w:r>
      <w:r>
        <w:rPr>
          <w:rFonts w:hint="eastAsia" w:asciiTheme="minorEastAsia" w:hAnsiTheme="minorEastAsia" w:eastAsiaTheme="minorEastAsia"/>
          <w:highlight w:val="none"/>
        </w:rPr>
        <w:t>除招标人的原因外，潜在投标人自行负责在踏勘现场中所发生的人员伤亡和财产损失。</w:t>
      </w:r>
    </w:p>
    <w:p w14:paraId="10E7185A">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asciiTheme="minorEastAsia" w:hAnsiTheme="minorEastAsia" w:eastAsiaTheme="minorEastAsia"/>
          <w:highlight w:val="none"/>
        </w:rPr>
        <w:t>2.2.4</w:t>
      </w:r>
      <w:r>
        <w:rPr>
          <w:rFonts w:hint="eastAsia" w:asciiTheme="minorEastAsia" w:hAnsiTheme="minorEastAsia" w:eastAsiaTheme="minorEastAsia"/>
          <w:highlight w:val="none"/>
        </w:rPr>
        <w:t>招标人在踏勘现场中介绍的项目现场和相关的周边环境情况，供潜在投标人在编制投标文件时参考，招标人不对投标人据此作出的判断和决策负责。</w:t>
      </w:r>
    </w:p>
    <w:p w14:paraId="3D1EFC9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56" w:name="_Toc447188681"/>
      <w:bookmarkStart w:id="157" w:name="_Toc139026888"/>
      <w:bookmarkStart w:id="158" w:name="_Toc447265231"/>
      <w:bookmarkStart w:id="159" w:name="_Toc38007966"/>
      <w:bookmarkStart w:id="160" w:name="_Toc447265517"/>
      <w:bookmarkStart w:id="161" w:name="_Toc6628"/>
      <w:r>
        <w:rPr>
          <w:rFonts w:asciiTheme="minorEastAsia" w:hAnsiTheme="minorEastAsia" w:eastAsiaTheme="minorEastAsia"/>
          <w:sz w:val="24"/>
          <w:szCs w:val="24"/>
          <w:highlight w:val="none"/>
        </w:rPr>
        <w:t>2.3</w:t>
      </w:r>
      <w:r>
        <w:rPr>
          <w:rFonts w:hint="eastAsia" w:asciiTheme="minorEastAsia" w:hAnsiTheme="minorEastAsia" w:eastAsiaTheme="minorEastAsia"/>
          <w:sz w:val="24"/>
          <w:szCs w:val="24"/>
          <w:highlight w:val="none"/>
        </w:rPr>
        <w:t>投标预备会</w:t>
      </w:r>
      <w:bookmarkEnd w:id="156"/>
      <w:bookmarkEnd w:id="157"/>
      <w:bookmarkEnd w:id="158"/>
      <w:bookmarkEnd w:id="159"/>
      <w:bookmarkEnd w:id="160"/>
      <w:bookmarkEnd w:id="161"/>
    </w:p>
    <w:p w14:paraId="36E56952">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投标人须知前附表规定召开投标预备会的，招标人按照投标人须知前附表规定的时间和地点召开投标预备会，澄清潜在投标人提出的问题。</w:t>
      </w:r>
    </w:p>
    <w:p w14:paraId="02255B32">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62" w:name="_Toc447265518"/>
      <w:bookmarkStart w:id="163" w:name="_Toc447188682"/>
      <w:bookmarkStart w:id="164" w:name="_Toc38007967"/>
      <w:bookmarkStart w:id="165" w:name="_Toc7984"/>
      <w:bookmarkStart w:id="166" w:name="_Toc447265232"/>
      <w:bookmarkStart w:id="167" w:name="_Toc139026889"/>
      <w:r>
        <w:rPr>
          <w:rFonts w:hint="eastAsia" w:asciiTheme="minorEastAsia" w:hAnsiTheme="minorEastAsia" w:eastAsiaTheme="minorEastAsia"/>
          <w:sz w:val="24"/>
          <w:szCs w:val="24"/>
          <w:highlight w:val="none"/>
        </w:rPr>
        <w:t>2.4招标文件的澄清</w:t>
      </w:r>
      <w:bookmarkEnd w:id="153"/>
      <w:bookmarkEnd w:id="154"/>
      <w:bookmarkEnd w:id="155"/>
      <w:r>
        <w:rPr>
          <w:rFonts w:hint="eastAsia" w:asciiTheme="minorEastAsia" w:hAnsiTheme="minorEastAsia" w:eastAsiaTheme="minorEastAsia"/>
          <w:sz w:val="24"/>
          <w:szCs w:val="24"/>
          <w:highlight w:val="none"/>
        </w:rPr>
        <w:t>和修改</w:t>
      </w:r>
      <w:bookmarkEnd w:id="162"/>
      <w:bookmarkEnd w:id="163"/>
      <w:bookmarkEnd w:id="164"/>
      <w:bookmarkEnd w:id="165"/>
      <w:bookmarkEnd w:id="166"/>
      <w:bookmarkEnd w:id="167"/>
    </w:p>
    <w:p w14:paraId="0A422958">
      <w:pPr>
        <w:pStyle w:val="25"/>
        <w:tabs>
          <w:tab w:val="left" w:pos="630"/>
        </w:tabs>
        <w:snapToGrid w:val="0"/>
        <w:spacing w:line="440" w:lineRule="exact"/>
        <w:ind w:firstLine="283" w:firstLineChars="135"/>
        <w:rPr>
          <w:rFonts w:asciiTheme="minorEastAsia" w:hAnsiTheme="minorEastAsia" w:eastAsiaTheme="minorEastAsia"/>
          <w:highlight w:val="none"/>
        </w:rPr>
      </w:pPr>
      <w:bookmarkStart w:id="168" w:name="_Toc296602436"/>
      <w:bookmarkStart w:id="169" w:name="_Toc247085705"/>
      <w:bookmarkStart w:id="170" w:name="_Toc447188683"/>
      <w:bookmarkStart w:id="171" w:name="_Toc152045546"/>
      <w:bookmarkStart w:id="172" w:name="_Toc246996934"/>
      <w:bookmarkStart w:id="173" w:name="_Toc447265519"/>
      <w:bookmarkStart w:id="174" w:name="_Toc144974514"/>
      <w:bookmarkStart w:id="175" w:name="_Toc447265233"/>
      <w:bookmarkStart w:id="176" w:name="_Toc152042322"/>
      <w:bookmarkStart w:id="177" w:name="_Toc246996191"/>
      <w:bookmarkStart w:id="178" w:name="_Toc179632564"/>
      <w:bookmarkStart w:id="179" w:name="_Toc227057895"/>
      <w:bookmarkStart w:id="180" w:name="_Toc107822492"/>
      <w:bookmarkStart w:id="181" w:name="_Toc226969289"/>
      <w:r>
        <w:rPr>
          <w:rFonts w:hint="eastAsia" w:asciiTheme="minorEastAsia" w:hAnsiTheme="minorEastAsia" w:eastAsiaTheme="minorEastAsia"/>
          <w:highlight w:val="none"/>
        </w:rPr>
        <w:t>2.4.1投标人对招标文件有疑问的，应当按照投标人须知前附表规定的时间和方式，要求招标人对招标文件进行澄清。</w:t>
      </w:r>
    </w:p>
    <w:p w14:paraId="7E2E1D9A">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asciiTheme="minorEastAsia" w:hAnsiTheme="minorEastAsia" w:eastAsiaTheme="minorEastAsia"/>
          <w:highlight w:val="none"/>
        </w:rPr>
        <w:t>2.4.2</w:t>
      </w:r>
      <w:r>
        <w:rPr>
          <w:rFonts w:hint="eastAsia" w:asciiTheme="minorEastAsia" w:hAnsiTheme="minorEastAsia" w:eastAsiaTheme="minorEastAsia"/>
          <w:highlight w:val="none"/>
        </w:rPr>
        <w:t>招标人应当按照投标人须知前附表规定的时间和方式，将澄清或者修改内容发给所有购买招标文件的投标人，但不指明问题的来源。</w:t>
      </w:r>
    </w:p>
    <w:p w14:paraId="7E3BC498">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asciiTheme="minorEastAsia" w:hAnsiTheme="minorEastAsia" w:eastAsiaTheme="minorEastAsia"/>
          <w:highlight w:val="none"/>
        </w:rPr>
        <w:t>2.4.3</w:t>
      </w:r>
      <w:r>
        <w:rPr>
          <w:rFonts w:hint="eastAsia" w:asciiTheme="minorEastAsia" w:hAnsiTheme="minorEastAsia" w:eastAsiaTheme="minorEastAsia"/>
          <w:highlight w:val="none"/>
        </w:rPr>
        <w:t>如澄清或者修改的内容可能影响投标文件编制的，应当在递交投标文件截止时间至少15日前发出，不足15日的，招标人应当相应顺延投标截止时间。</w:t>
      </w:r>
    </w:p>
    <w:p w14:paraId="08BC1DC7">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2.4.4投标人收到澄清或者修改后，应当按照投标人须知前附表规定的时间和方式通知招标人，确认已收到该澄清或者修改。</w:t>
      </w:r>
    </w:p>
    <w:p w14:paraId="67F04048">
      <w:pPr>
        <w:pStyle w:val="25"/>
        <w:tabs>
          <w:tab w:val="left" w:pos="630"/>
        </w:tabs>
        <w:snapToGrid w:val="0"/>
        <w:spacing w:line="440" w:lineRule="exact"/>
        <w:ind w:firstLine="283" w:firstLineChars="135"/>
        <w:rPr>
          <w:rFonts w:asciiTheme="minorEastAsia" w:hAnsiTheme="minorEastAsia" w:eastAsiaTheme="minorEastAsia"/>
          <w:highlight w:val="none"/>
        </w:rPr>
      </w:pPr>
      <w:r>
        <w:rPr>
          <w:rFonts w:hint="eastAsia" w:asciiTheme="minorEastAsia" w:hAnsiTheme="minorEastAsia" w:eastAsiaTheme="minorEastAsia"/>
          <w:highlight w:val="none"/>
        </w:rPr>
        <w:t>2.4.5所有关于招标文件的澄清和修改均作为招标文件的补充部分。当招标文件、招标文件的澄清或者修改等在同一内容的表述上不一致时，以最后发出的书面文件为准。</w:t>
      </w:r>
    </w:p>
    <w:p w14:paraId="1992C04A">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182" w:name="_Toc38007968"/>
      <w:bookmarkStart w:id="183" w:name="_Toc139026890"/>
      <w:bookmarkStart w:id="184" w:name="_Toc10533"/>
      <w:r>
        <w:rPr>
          <w:rFonts w:hint="eastAsia" w:asciiTheme="minorEastAsia" w:hAnsiTheme="minorEastAsia" w:eastAsiaTheme="minorEastAsia"/>
          <w:sz w:val="28"/>
          <w:szCs w:val="28"/>
          <w:highlight w:val="none"/>
        </w:rPr>
        <w:t>投标文件</w:t>
      </w:r>
      <w:bookmarkEnd w:id="168"/>
      <w:bookmarkEnd w:id="169"/>
      <w:bookmarkEnd w:id="170"/>
      <w:bookmarkEnd w:id="171"/>
      <w:bookmarkEnd w:id="172"/>
      <w:bookmarkEnd w:id="173"/>
      <w:bookmarkEnd w:id="174"/>
      <w:bookmarkEnd w:id="175"/>
      <w:bookmarkEnd w:id="176"/>
      <w:bookmarkEnd w:id="177"/>
      <w:bookmarkEnd w:id="178"/>
      <w:bookmarkEnd w:id="182"/>
      <w:bookmarkEnd w:id="183"/>
      <w:bookmarkEnd w:id="184"/>
    </w:p>
    <w:bookmarkEnd w:id="179"/>
    <w:bookmarkEnd w:id="180"/>
    <w:bookmarkEnd w:id="181"/>
    <w:p w14:paraId="0D6C24DF">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185" w:name="_Toc227057896"/>
      <w:bookmarkStart w:id="186" w:name="_Toc107822493"/>
      <w:bookmarkStart w:id="187" w:name="_Toc226969290"/>
      <w:bookmarkStart w:id="188" w:name="_Toc447265234"/>
      <w:bookmarkStart w:id="189" w:name="_Toc447188684"/>
      <w:bookmarkStart w:id="190" w:name="_Toc447265520"/>
      <w:bookmarkStart w:id="191" w:name="_Toc38007969"/>
      <w:bookmarkStart w:id="192" w:name="_Toc450489293"/>
      <w:bookmarkStart w:id="193" w:name="_Toc139026891"/>
      <w:bookmarkStart w:id="194" w:name="_Toc28392"/>
      <w:bookmarkStart w:id="195" w:name="_Toc447265242"/>
      <w:bookmarkStart w:id="196" w:name="_Toc447265528"/>
      <w:bookmarkStart w:id="197" w:name="_Toc184635074"/>
      <w:bookmarkStart w:id="198" w:name="_Toc488655848"/>
      <w:bookmarkStart w:id="199" w:name="_Toc107822503"/>
      <w:bookmarkStart w:id="200" w:name="_Toc226969300"/>
      <w:bookmarkStart w:id="201" w:name="_Toc227057906"/>
      <w:r>
        <w:rPr>
          <w:rFonts w:hint="eastAsia" w:asciiTheme="minorEastAsia" w:hAnsiTheme="minorEastAsia" w:eastAsiaTheme="minorEastAsia"/>
          <w:sz w:val="24"/>
          <w:szCs w:val="24"/>
          <w:highlight w:val="none"/>
        </w:rPr>
        <w:t>3.1投标文件的</w:t>
      </w:r>
      <w:bookmarkEnd w:id="185"/>
      <w:bookmarkEnd w:id="186"/>
      <w:bookmarkEnd w:id="187"/>
      <w:r>
        <w:rPr>
          <w:rFonts w:hint="eastAsia" w:asciiTheme="minorEastAsia" w:hAnsiTheme="minorEastAsia" w:eastAsiaTheme="minorEastAsia"/>
          <w:sz w:val="24"/>
          <w:szCs w:val="24"/>
          <w:highlight w:val="none"/>
        </w:rPr>
        <w:t>组成</w:t>
      </w:r>
      <w:bookmarkEnd w:id="188"/>
      <w:bookmarkEnd w:id="189"/>
      <w:bookmarkEnd w:id="190"/>
      <w:bookmarkEnd w:id="191"/>
      <w:bookmarkEnd w:id="192"/>
      <w:bookmarkEnd w:id="193"/>
      <w:bookmarkEnd w:id="194"/>
    </w:p>
    <w:p w14:paraId="4D2F06FE">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投标人应当按照投标人须知前附表的要求制作并递交投标文件。投标文件组成见投标人须知前附表。</w:t>
      </w:r>
    </w:p>
    <w:p w14:paraId="7FEBD115">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02" w:name="_Toc7981"/>
      <w:bookmarkStart w:id="203" w:name="_Toc450489294"/>
      <w:bookmarkStart w:id="204" w:name="_Toc447188685"/>
      <w:bookmarkStart w:id="205" w:name="_Toc38007970"/>
      <w:bookmarkStart w:id="206" w:name="_Toc139026892"/>
      <w:bookmarkStart w:id="207" w:name="_Toc447265235"/>
      <w:bookmarkStart w:id="208" w:name="_Toc447265521"/>
      <w:r>
        <w:rPr>
          <w:rFonts w:hint="eastAsia" w:asciiTheme="minorEastAsia" w:hAnsiTheme="minorEastAsia" w:eastAsiaTheme="minorEastAsia"/>
          <w:sz w:val="24"/>
          <w:szCs w:val="24"/>
          <w:highlight w:val="none"/>
        </w:rPr>
        <w:t>3.2投标文件的编制</w:t>
      </w:r>
      <w:bookmarkEnd w:id="202"/>
      <w:bookmarkEnd w:id="203"/>
      <w:bookmarkEnd w:id="204"/>
      <w:bookmarkEnd w:id="205"/>
      <w:bookmarkEnd w:id="206"/>
      <w:bookmarkEnd w:id="207"/>
      <w:bookmarkEnd w:id="208"/>
    </w:p>
    <w:p w14:paraId="5DE0883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3.2.1投标人应当按照招标文件的要求编制投标文件，投标文件应当对招标文件提出的实质性要求和条件作出响应。</w:t>
      </w:r>
    </w:p>
    <w:p w14:paraId="1800F544">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3.2.2</w:t>
      </w:r>
      <w:r>
        <w:rPr>
          <w:rFonts w:hint="eastAsia" w:asciiTheme="minorEastAsia" w:hAnsiTheme="minorEastAsia" w:eastAsiaTheme="minorEastAsia"/>
          <w:highlight w:val="none"/>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14:paraId="59D8DEA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3.2.3投标人递交的投标文件以及投标人与招标人就有关投标的所有往来函电均应当使用中文。投标人递交的证明文件和文献可以使用另一种语言，但相应内容应当译成中文，在解释投标文件时以中文译本为准。</w:t>
      </w:r>
    </w:p>
    <w:p w14:paraId="4F5C3BA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3.2.4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14:paraId="6E53C33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09" w:name="_Toc447265522"/>
      <w:bookmarkStart w:id="210" w:name="_Toc226969292"/>
      <w:bookmarkStart w:id="211" w:name="_Toc38007971"/>
      <w:bookmarkStart w:id="212" w:name="_Toc450489295"/>
      <w:bookmarkStart w:id="213" w:name="_Toc139026893"/>
      <w:bookmarkStart w:id="214" w:name="_Toc447265236"/>
      <w:bookmarkStart w:id="215" w:name="_Toc227057898"/>
      <w:bookmarkStart w:id="216" w:name="_Toc447188686"/>
      <w:bookmarkStart w:id="217" w:name="_Toc107822495"/>
      <w:bookmarkStart w:id="218" w:name="_Toc17506"/>
      <w:r>
        <w:rPr>
          <w:rFonts w:hint="eastAsia" w:asciiTheme="minorEastAsia" w:hAnsiTheme="minorEastAsia" w:eastAsiaTheme="minorEastAsia"/>
          <w:sz w:val="24"/>
          <w:szCs w:val="24"/>
          <w:highlight w:val="none"/>
        </w:rPr>
        <w:t>3.3投标报价</w:t>
      </w:r>
      <w:bookmarkEnd w:id="209"/>
      <w:bookmarkEnd w:id="210"/>
      <w:bookmarkEnd w:id="211"/>
      <w:bookmarkEnd w:id="212"/>
      <w:bookmarkEnd w:id="213"/>
      <w:bookmarkEnd w:id="214"/>
      <w:bookmarkEnd w:id="215"/>
      <w:bookmarkEnd w:id="216"/>
      <w:bookmarkEnd w:id="217"/>
      <w:bookmarkEnd w:id="218"/>
    </w:p>
    <w:p w14:paraId="58B8F9B5">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3.3.1投标人应当根据招标文件要求进行报价，投标人应当报出符合招标文件要求的拟提供投标货物的单价（如适用）和总价。</w:t>
      </w:r>
    </w:p>
    <w:p w14:paraId="3E102A18">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3.3.2</w:t>
      </w:r>
      <w:r>
        <w:rPr>
          <w:rFonts w:hint="eastAsia" w:asciiTheme="minorEastAsia" w:hAnsiTheme="minorEastAsia" w:eastAsiaTheme="minorEastAsia"/>
          <w:highlight w:val="none"/>
        </w:rPr>
        <w:t>投标货币：人民币。</w:t>
      </w:r>
    </w:p>
    <w:p w14:paraId="0189EAAC">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3.3.3招标人设有最高投标限价的，投标人的投标报价不得超过最高投标限价，否则其投标将被否决。最高投标限价或者其计算方法见投标人须知前附表。</w:t>
      </w:r>
    </w:p>
    <w:p w14:paraId="639FDE3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3.3.4招标人不接受投标人的任何低于成本报价的不正当竞争方式。</w:t>
      </w:r>
    </w:p>
    <w:p w14:paraId="7565CA9E">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3.3.5只有在招标文件要求或者允许报优惠价时，投标人才可以报出。投标人优惠报价的数额，开标时也必须当众宣读。关于优惠条件的规定见投标人须知前附表。</w:t>
      </w:r>
    </w:p>
    <w:p w14:paraId="466CCA61">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3.3.6投标报价的具体要求见投标人须知前附表。</w:t>
      </w:r>
    </w:p>
    <w:p w14:paraId="1A7592EB">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19" w:name="_Toc447265523"/>
      <w:bookmarkStart w:id="220" w:name="_Toc227057902"/>
      <w:bookmarkStart w:id="221" w:name="_Toc139026894"/>
      <w:bookmarkStart w:id="222" w:name="_Toc38007972"/>
      <w:bookmarkStart w:id="223" w:name="_Toc450489296"/>
      <w:bookmarkStart w:id="224" w:name="_Toc447265237"/>
      <w:bookmarkStart w:id="225" w:name="_Toc17066"/>
      <w:bookmarkStart w:id="226" w:name="_Toc107822500"/>
      <w:bookmarkStart w:id="227" w:name="_Toc447188687"/>
      <w:bookmarkStart w:id="228" w:name="_Toc226969296"/>
      <w:bookmarkStart w:id="229" w:name="_Toc226969295"/>
      <w:bookmarkStart w:id="230" w:name="_Toc227057901"/>
      <w:bookmarkStart w:id="231" w:name="_Toc107822499"/>
      <w:r>
        <w:rPr>
          <w:rFonts w:asciiTheme="minorEastAsia" w:hAnsiTheme="minorEastAsia" w:eastAsiaTheme="minorEastAsia"/>
          <w:sz w:val="24"/>
          <w:szCs w:val="24"/>
          <w:highlight w:val="none"/>
        </w:rPr>
        <w:t>3.4</w:t>
      </w:r>
      <w:r>
        <w:rPr>
          <w:rFonts w:hint="eastAsia" w:asciiTheme="minorEastAsia" w:hAnsiTheme="minorEastAsia" w:eastAsiaTheme="minorEastAsia"/>
          <w:sz w:val="24"/>
          <w:szCs w:val="24"/>
          <w:highlight w:val="none"/>
        </w:rPr>
        <w:t>投标有效期</w:t>
      </w:r>
      <w:bookmarkEnd w:id="219"/>
      <w:bookmarkEnd w:id="220"/>
      <w:bookmarkEnd w:id="221"/>
      <w:bookmarkEnd w:id="222"/>
      <w:bookmarkEnd w:id="223"/>
      <w:bookmarkEnd w:id="224"/>
      <w:bookmarkEnd w:id="225"/>
      <w:bookmarkEnd w:id="226"/>
      <w:bookmarkEnd w:id="227"/>
      <w:bookmarkEnd w:id="228"/>
    </w:p>
    <w:p w14:paraId="79DC7CD6">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3.4.1投标有效期从递交投标文件截止之日起计算。投标有效期的具体时间见投标人须知前附表。在此期间，投标人不得要求撤销或者修改其投标文件。投标有效期不满足招标文件要求的投标将被否决。</w:t>
      </w:r>
    </w:p>
    <w:p w14:paraId="483B949A">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3.4.2</w:t>
      </w:r>
      <w:r>
        <w:rPr>
          <w:rFonts w:hint="eastAsia" w:asciiTheme="minorEastAsia" w:hAnsiTheme="minorEastAsia" w:eastAsiaTheme="minorEastAsia"/>
          <w:highlight w:val="none"/>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14:paraId="55E888C7">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32" w:name="_Toc447188688"/>
      <w:bookmarkStart w:id="233" w:name="_Toc139026895"/>
      <w:bookmarkStart w:id="234" w:name="_Toc38007973"/>
      <w:bookmarkStart w:id="235" w:name="_Toc3663"/>
      <w:bookmarkStart w:id="236" w:name="_Toc447265524"/>
      <w:bookmarkStart w:id="237" w:name="_Toc450489297"/>
      <w:bookmarkStart w:id="238" w:name="_Toc447265238"/>
      <w:r>
        <w:rPr>
          <w:rFonts w:hint="eastAsia" w:asciiTheme="minorEastAsia" w:hAnsiTheme="minorEastAsia" w:eastAsiaTheme="minorEastAsia"/>
          <w:sz w:val="24"/>
          <w:szCs w:val="24"/>
          <w:highlight w:val="none"/>
        </w:rPr>
        <w:t>3.5投标保证金</w:t>
      </w:r>
      <w:bookmarkEnd w:id="229"/>
      <w:bookmarkEnd w:id="230"/>
      <w:bookmarkEnd w:id="231"/>
      <w:bookmarkEnd w:id="232"/>
      <w:bookmarkEnd w:id="233"/>
      <w:bookmarkEnd w:id="234"/>
      <w:bookmarkEnd w:id="235"/>
      <w:bookmarkEnd w:id="236"/>
      <w:bookmarkEnd w:id="237"/>
      <w:bookmarkEnd w:id="238"/>
    </w:p>
    <w:p w14:paraId="3837651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3.5.1招标人要求投标人递交投标保证金的，投标人必须在递交投标文件的同时，按照投标人须知前附表的规定递交投标保证金。投标保证金一般不超过项目估算价的2%，但最高不得超过</w:t>
      </w:r>
      <w:r>
        <w:rPr>
          <w:rFonts w:asciiTheme="minorEastAsia" w:hAnsiTheme="minorEastAsia" w:eastAsiaTheme="minorEastAsia"/>
          <w:highlight w:val="none"/>
        </w:rPr>
        <w:t>80</w:t>
      </w:r>
      <w:r>
        <w:rPr>
          <w:rFonts w:hint="eastAsia" w:asciiTheme="minorEastAsia" w:hAnsiTheme="minorEastAsia" w:eastAsiaTheme="minorEastAsia"/>
          <w:highlight w:val="none"/>
        </w:rPr>
        <w:t>万元人民币，本招标项目的投标保证金金额见投标人须知前附表。</w:t>
      </w:r>
    </w:p>
    <w:p w14:paraId="25DDA50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3.5.2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14:paraId="7D6E1651">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3.5.3招标人最迟应当在书面合同签订后5日内向中标人和未中标的投标人退还投标保证金及银行同期存款利息。</w:t>
      </w:r>
    </w:p>
    <w:p w14:paraId="60B670E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3.5.4</w:t>
      </w:r>
      <w:r>
        <w:rPr>
          <w:rFonts w:hint="eastAsia" w:asciiTheme="minorEastAsia" w:hAnsiTheme="minorEastAsia" w:eastAsiaTheme="minorEastAsia"/>
          <w:highlight w:val="none"/>
        </w:rPr>
        <w:t>发生下列情形之一时，投标保证金可不予退还：</w:t>
      </w:r>
    </w:p>
    <w:p w14:paraId="45B07E69">
      <w:pPr>
        <w:tabs>
          <w:tab w:val="left" w:pos="630"/>
        </w:tabs>
        <w:spacing w:line="400" w:lineRule="exact"/>
        <w:ind w:firstLine="420" w:firstLineChars="200"/>
        <w:rPr>
          <w:rFonts w:asciiTheme="minorEastAsia" w:hAnsiTheme="minorEastAsia" w:eastAsiaTheme="minorEastAsia"/>
          <w:highlight w:val="none"/>
        </w:rPr>
      </w:pPr>
      <w:r>
        <w:rPr>
          <w:rFonts w:hint="eastAsia" w:asciiTheme="minorEastAsia" w:hAnsiTheme="minorEastAsia" w:eastAsiaTheme="minorEastAsia"/>
          <w:highlight w:val="none"/>
        </w:rPr>
        <w:t>（1）</w:t>
      </w:r>
      <w:r>
        <w:rPr>
          <w:rFonts w:asciiTheme="minorEastAsia" w:hAnsiTheme="minorEastAsia" w:eastAsiaTheme="minorEastAsia"/>
          <w:highlight w:val="none"/>
        </w:rPr>
        <w:t>投标人在招标文件中规定的投标有效期内</w:t>
      </w:r>
      <w:r>
        <w:rPr>
          <w:rFonts w:hint="eastAsia" w:asciiTheme="minorEastAsia" w:hAnsiTheme="minorEastAsia" w:eastAsiaTheme="minorEastAsia"/>
          <w:highlight w:val="none"/>
        </w:rPr>
        <w:t>撤销投标的；</w:t>
      </w:r>
    </w:p>
    <w:p w14:paraId="3EA1B98A">
      <w:pPr>
        <w:pStyle w:val="56"/>
        <w:tabs>
          <w:tab w:val="left" w:pos="630"/>
        </w:tabs>
        <w:spacing w:line="400" w:lineRule="exact"/>
        <w:ind w:left="424"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rPr>
        <w:t>（2）中标人无正当理由不与招标人在规定期限内订立合同、在签订合同时向招标人提出附加条件，或者不按照招标文件要求递交履约保证金的；</w:t>
      </w:r>
    </w:p>
    <w:p w14:paraId="5C026F8F">
      <w:pPr>
        <w:pStyle w:val="56"/>
        <w:tabs>
          <w:tab w:val="left" w:pos="630"/>
        </w:tabs>
        <w:spacing w:line="400" w:lineRule="exact"/>
        <w:ind w:left="424"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rPr>
        <w:t>（3）</w:t>
      </w:r>
      <w:r>
        <w:rPr>
          <w:rFonts w:asciiTheme="minorEastAsia" w:hAnsiTheme="minorEastAsia" w:eastAsiaTheme="minorEastAsia"/>
          <w:highlight w:val="none"/>
        </w:rPr>
        <w:t>投标人有串通投标、弄虚作假等行为的；</w:t>
      </w:r>
    </w:p>
    <w:p w14:paraId="360B11CD">
      <w:pPr>
        <w:pStyle w:val="56"/>
        <w:tabs>
          <w:tab w:val="left" w:pos="630"/>
        </w:tabs>
        <w:spacing w:line="400" w:lineRule="exact"/>
        <w:ind w:left="424"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rPr>
        <w:t>（4）</w:t>
      </w:r>
      <w:r>
        <w:rPr>
          <w:rFonts w:asciiTheme="minorEastAsia" w:hAnsiTheme="minorEastAsia" w:eastAsiaTheme="minorEastAsia"/>
          <w:highlight w:val="none"/>
        </w:rPr>
        <w:t>其他规定</w:t>
      </w:r>
      <w:r>
        <w:rPr>
          <w:rFonts w:hint="eastAsia" w:asciiTheme="minorEastAsia" w:hAnsiTheme="minorEastAsia" w:eastAsiaTheme="minorEastAsia"/>
          <w:highlight w:val="none"/>
        </w:rPr>
        <w:t>见投标人须知前附表</w:t>
      </w:r>
      <w:r>
        <w:rPr>
          <w:rFonts w:asciiTheme="minorEastAsia" w:hAnsiTheme="minorEastAsia" w:eastAsiaTheme="minorEastAsia"/>
          <w:highlight w:val="none"/>
        </w:rPr>
        <w:t>。</w:t>
      </w:r>
    </w:p>
    <w:p w14:paraId="12A64DCE">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3.5.5未递交投标保证金或者递交的投标保证金有瑕疵的投标将被否决。</w:t>
      </w:r>
    </w:p>
    <w:p w14:paraId="710CF0D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39" w:name="_Toc447265525"/>
      <w:bookmarkStart w:id="240" w:name="_Toc450489298"/>
      <w:bookmarkStart w:id="241" w:name="_Toc227057903"/>
      <w:bookmarkStart w:id="242" w:name="_Toc26455"/>
      <w:bookmarkStart w:id="243" w:name="_Toc226969297"/>
      <w:bookmarkStart w:id="244" w:name="_Toc447265239"/>
      <w:bookmarkStart w:id="245" w:name="_Toc447188689"/>
      <w:bookmarkStart w:id="246" w:name="_Toc139026896"/>
      <w:bookmarkStart w:id="247" w:name="_Toc38007974"/>
      <w:bookmarkStart w:id="248" w:name="_Toc107822501"/>
      <w:r>
        <w:rPr>
          <w:rFonts w:asciiTheme="minorEastAsia" w:hAnsiTheme="minorEastAsia" w:eastAsiaTheme="minorEastAsia"/>
          <w:sz w:val="24"/>
          <w:szCs w:val="24"/>
          <w:highlight w:val="none"/>
        </w:rPr>
        <w:t>3.6</w:t>
      </w:r>
      <w:r>
        <w:rPr>
          <w:rFonts w:hint="eastAsia" w:asciiTheme="minorEastAsia" w:hAnsiTheme="minorEastAsia" w:eastAsiaTheme="minorEastAsia"/>
          <w:sz w:val="24"/>
          <w:szCs w:val="24"/>
          <w:highlight w:val="none"/>
        </w:rPr>
        <w:t>备选投标方案</w:t>
      </w:r>
      <w:bookmarkEnd w:id="239"/>
      <w:bookmarkEnd w:id="240"/>
      <w:bookmarkEnd w:id="241"/>
      <w:bookmarkEnd w:id="242"/>
      <w:bookmarkEnd w:id="243"/>
      <w:bookmarkEnd w:id="244"/>
      <w:bookmarkEnd w:id="245"/>
      <w:bookmarkEnd w:id="246"/>
      <w:bookmarkEnd w:id="247"/>
    </w:p>
    <w:p w14:paraId="6EB023A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3.6.1除投标人须知前附表另有规定外，投标人不得递交备选投标方案。</w:t>
      </w:r>
    </w:p>
    <w:p w14:paraId="70E8665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3.6.2</w:t>
      </w:r>
      <w:r>
        <w:rPr>
          <w:rFonts w:hint="eastAsia" w:asciiTheme="minorEastAsia" w:hAnsiTheme="minorEastAsia" w:eastAsiaTheme="minorEastAsia"/>
          <w:highlight w:val="none"/>
        </w:rPr>
        <w:t>若招标人在招标文件中邀请投标人递交备选方案，则投标人除按照招标文件规定的基本方案编制和递交投标文件外，可以附加递交备选投标方案。</w:t>
      </w:r>
    </w:p>
    <w:p w14:paraId="1EF733E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3.6.3</w:t>
      </w:r>
      <w:r>
        <w:rPr>
          <w:rFonts w:hint="eastAsia" w:asciiTheme="minorEastAsia" w:hAnsiTheme="minorEastAsia" w:eastAsiaTheme="minorEastAsia"/>
          <w:highlight w:val="none"/>
        </w:rPr>
        <w:t>备选投标方案应当说明其对基本方案的改进意见和带来的效益，并附必要的图纸、设计计算、技术要求及其他有关资料，在封面上应当注明“备选投标方案”字样。</w:t>
      </w:r>
    </w:p>
    <w:p w14:paraId="33772F78">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3.6.4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14:paraId="0934269F">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49" w:name="_Toc227057904"/>
      <w:bookmarkStart w:id="250" w:name="_Toc226969298"/>
      <w:bookmarkStart w:id="251" w:name="_Toc447265240"/>
      <w:bookmarkStart w:id="252" w:name="_Toc447188690"/>
      <w:bookmarkStart w:id="253" w:name="_Toc450489299"/>
      <w:bookmarkStart w:id="254" w:name="_Toc14852"/>
      <w:bookmarkStart w:id="255" w:name="_Toc139026897"/>
      <w:bookmarkStart w:id="256" w:name="_Toc447265526"/>
      <w:bookmarkStart w:id="257" w:name="_Toc38007975"/>
      <w:r>
        <w:rPr>
          <w:rFonts w:hint="eastAsia" w:asciiTheme="minorEastAsia" w:hAnsiTheme="minorEastAsia" w:eastAsiaTheme="minorEastAsia"/>
          <w:sz w:val="24"/>
          <w:szCs w:val="24"/>
          <w:highlight w:val="none"/>
        </w:rPr>
        <w:t>3.7投标文件的式样</w:t>
      </w:r>
      <w:bookmarkEnd w:id="248"/>
      <w:bookmarkEnd w:id="249"/>
      <w:bookmarkEnd w:id="250"/>
      <w:r>
        <w:rPr>
          <w:rFonts w:hint="eastAsia" w:asciiTheme="minorEastAsia" w:hAnsiTheme="minorEastAsia" w:eastAsiaTheme="minorEastAsia"/>
          <w:sz w:val="24"/>
          <w:szCs w:val="24"/>
          <w:highlight w:val="none"/>
        </w:rPr>
        <w:t>、密封和标记（递交纸质文件适用）</w:t>
      </w:r>
      <w:bookmarkEnd w:id="251"/>
      <w:bookmarkEnd w:id="252"/>
      <w:bookmarkEnd w:id="253"/>
      <w:bookmarkEnd w:id="254"/>
      <w:bookmarkEnd w:id="255"/>
      <w:bookmarkEnd w:id="256"/>
      <w:bookmarkEnd w:id="257"/>
    </w:p>
    <w:p w14:paraId="69A609F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3.7.1</w:t>
      </w:r>
      <w:r>
        <w:rPr>
          <w:rFonts w:hint="eastAsia" w:asciiTheme="minorEastAsia" w:hAnsiTheme="minorEastAsia" w:eastAsiaTheme="minorEastAsia"/>
          <w:highlight w:val="none"/>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14:paraId="54DC17A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3.7.2每份投标文件的正本、副本及电子版应当分别装订，并于封面上明确标明“正本”“副本”和“电子版”字样。</w:t>
      </w:r>
    </w:p>
    <w:p w14:paraId="276BAB0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3.7.3投标文件应当按照招标文件规定密封包装，并于封装封面上明确标明“正本”“副本”和“电子版”字样。密封的所有黏接缝隙必须加盖单位公章或者由投标人的法定代表人或者其委托代理人签字。</w:t>
      </w:r>
    </w:p>
    <w:p w14:paraId="597186A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3.7.4外层包封应当写明招标人的名称和地址、项目名称、招标编号、并注明开标时间以前不得开封。还应当写明投标人的名称与地址、邮政编码，以便投标出现逾期送达时能原封退回。</w:t>
      </w:r>
    </w:p>
    <w:p w14:paraId="168520C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3.7.5递交投标文件时，招标人应当对符合招标文件规定密封和标记的投标文件进行签收。</w:t>
      </w:r>
    </w:p>
    <w:p w14:paraId="18D9382C">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3.7.6</w:t>
      </w:r>
      <w:r>
        <w:rPr>
          <w:rFonts w:hint="eastAsia" w:asciiTheme="minorEastAsia" w:hAnsiTheme="minorEastAsia" w:eastAsiaTheme="minorEastAsia"/>
          <w:highlight w:val="none"/>
        </w:rPr>
        <w:t>招标人对于投标文件密封、标记另有要求的，见投标人须知前附表。</w:t>
      </w:r>
    </w:p>
    <w:p w14:paraId="46198C11">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58" w:name="_Toc439838338"/>
      <w:bookmarkStart w:id="259" w:name="_Toc139026898"/>
      <w:bookmarkStart w:id="260" w:name="_Toc447265241"/>
      <w:bookmarkStart w:id="261" w:name="_Toc450489300"/>
      <w:bookmarkStart w:id="262" w:name="_Toc13212"/>
      <w:bookmarkStart w:id="263" w:name="_Toc38007976"/>
      <w:bookmarkStart w:id="264" w:name="_Toc447188691"/>
      <w:bookmarkStart w:id="265" w:name="_Toc447265527"/>
      <w:r>
        <w:rPr>
          <w:rFonts w:asciiTheme="minorEastAsia" w:hAnsiTheme="minorEastAsia" w:eastAsiaTheme="minorEastAsia"/>
          <w:sz w:val="24"/>
          <w:szCs w:val="24"/>
          <w:highlight w:val="none"/>
        </w:rPr>
        <w:t>3.8</w:t>
      </w:r>
      <w:r>
        <w:rPr>
          <w:rFonts w:hint="eastAsia" w:asciiTheme="minorEastAsia" w:hAnsiTheme="minorEastAsia" w:eastAsiaTheme="minorEastAsia"/>
          <w:sz w:val="24"/>
          <w:szCs w:val="24"/>
          <w:highlight w:val="none"/>
        </w:rPr>
        <w:t>电子招标的投标文件上传形式</w:t>
      </w:r>
      <w:bookmarkEnd w:id="258"/>
      <w:bookmarkEnd w:id="259"/>
      <w:bookmarkEnd w:id="260"/>
      <w:bookmarkEnd w:id="261"/>
      <w:bookmarkEnd w:id="262"/>
      <w:bookmarkEnd w:id="263"/>
      <w:bookmarkEnd w:id="264"/>
      <w:bookmarkEnd w:id="265"/>
    </w:p>
    <w:p w14:paraId="09F62CF6">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投标文件应当按照投标人须知前附表要求的形式上传。</w:t>
      </w:r>
    </w:p>
    <w:p w14:paraId="3E784065">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266" w:name="_Toc38007977"/>
      <w:bookmarkStart w:id="267" w:name="_Toc139026899"/>
      <w:bookmarkStart w:id="268" w:name="_Toc4395"/>
      <w:r>
        <w:rPr>
          <w:rFonts w:hint="eastAsia" w:asciiTheme="minorEastAsia" w:hAnsiTheme="minorEastAsia" w:eastAsiaTheme="minorEastAsia"/>
          <w:sz w:val="28"/>
          <w:szCs w:val="28"/>
          <w:highlight w:val="none"/>
        </w:rPr>
        <w:t>投标</w:t>
      </w:r>
      <w:bookmarkEnd w:id="195"/>
      <w:bookmarkEnd w:id="196"/>
      <w:bookmarkEnd w:id="197"/>
      <w:bookmarkEnd w:id="266"/>
      <w:bookmarkEnd w:id="267"/>
      <w:bookmarkEnd w:id="268"/>
    </w:p>
    <w:p w14:paraId="4FA51BBF">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69" w:name="_Toc447265529"/>
      <w:bookmarkStart w:id="270" w:name="_Toc139026900"/>
      <w:bookmarkStart w:id="271" w:name="_Toc38007978"/>
      <w:bookmarkStart w:id="272" w:name="_Toc447265243"/>
      <w:bookmarkStart w:id="273" w:name="_Toc447188692"/>
      <w:bookmarkStart w:id="274" w:name="_Toc31724"/>
      <w:r>
        <w:rPr>
          <w:rFonts w:hint="eastAsia" w:asciiTheme="minorEastAsia" w:hAnsiTheme="minorEastAsia" w:eastAsiaTheme="minorEastAsia"/>
          <w:sz w:val="24"/>
          <w:szCs w:val="24"/>
          <w:highlight w:val="none"/>
        </w:rPr>
        <w:t>4.1投标</w:t>
      </w:r>
      <w:bookmarkEnd w:id="198"/>
      <w:bookmarkEnd w:id="199"/>
      <w:r>
        <w:rPr>
          <w:rFonts w:hint="eastAsia" w:asciiTheme="minorEastAsia" w:hAnsiTheme="minorEastAsia" w:eastAsiaTheme="minorEastAsia"/>
          <w:sz w:val="24"/>
          <w:szCs w:val="24"/>
          <w:highlight w:val="none"/>
        </w:rPr>
        <w:t>文件的递交</w:t>
      </w:r>
      <w:bookmarkEnd w:id="200"/>
      <w:bookmarkEnd w:id="201"/>
      <w:bookmarkEnd w:id="269"/>
      <w:bookmarkEnd w:id="270"/>
      <w:bookmarkEnd w:id="271"/>
      <w:bookmarkEnd w:id="272"/>
      <w:bookmarkEnd w:id="273"/>
      <w:bookmarkEnd w:id="274"/>
    </w:p>
    <w:p w14:paraId="4B205BD1">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275" w:name="_Toc107822504"/>
      <w:bookmarkStart w:id="276" w:name="_Toc488655849"/>
      <w:bookmarkStart w:id="277" w:name="_Toc107822505"/>
      <w:bookmarkStart w:id="278" w:name="_Toc488655850"/>
      <w:bookmarkStart w:id="279" w:name="_Toc226969301"/>
      <w:bookmarkStart w:id="280" w:name="_Toc227057907"/>
      <w:bookmarkStart w:id="281" w:name="_Toc447188693"/>
      <w:bookmarkStart w:id="282" w:name="_Toc447265244"/>
      <w:bookmarkStart w:id="283" w:name="_Toc447265530"/>
      <w:r>
        <w:rPr>
          <w:rFonts w:hint="eastAsia" w:asciiTheme="minorEastAsia" w:hAnsiTheme="minorEastAsia" w:eastAsiaTheme="minorEastAsia"/>
          <w:highlight w:val="none"/>
        </w:rPr>
        <w:t>4.1.1投标文件递交截止时间：见投标人须知前附表。</w:t>
      </w:r>
    </w:p>
    <w:p w14:paraId="74A9CBA6">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4.1.2</w:t>
      </w:r>
      <w:r>
        <w:rPr>
          <w:rFonts w:hint="eastAsia" w:asciiTheme="minorEastAsia" w:hAnsiTheme="minorEastAsia" w:eastAsiaTheme="minorEastAsia"/>
          <w:highlight w:val="none"/>
        </w:rPr>
        <w:t>投标文件递交地点：见投标人须知前附表。</w:t>
      </w:r>
    </w:p>
    <w:p w14:paraId="75B35638">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4.1.3招标人收到投标文件后，向投标人出具签收凭证。</w:t>
      </w:r>
    </w:p>
    <w:p w14:paraId="456D3AD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4.1.4</w:t>
      </w:r>
      <w:r>
        <w:rPr>
          <w:rFonts w:hint="eastAsia" w:asciiTheme="minorEastAsia" w:hAnsiTheme="minorEastAsia" w:eastAsiaTheme="minorEastAsia"/>
          <w:highlight w:val="none"/>
        </w:rPr>
        <w:t>除投标人须知前附表另有规定外，投标人所递交的投标文件不予退还。</w:t>
      </w:r>
    </w:p>
    <w:p w14:paraId="5760C98A">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4.1.5出现下列情形之一时，招标人/招标代理机构不予接收投标文件：</w:t>
      </w:r>
    </w:p>
    <w:p w14:paraId="2B0C7B7D">
      <w:pPr>
        <w:pStyle w:val="56"/>
        <w:numPr>
          <w:ilvl w:val="0"/>
          <w:numId w:val="5"/>
        </w:numPr>
        <w:tabs>
          <w:tab w:val="left" w:pos="630"/>
        </w:tabs>
        <w:spacing w:line="40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逾期送达或者未送达指定地点的；</w:t>
      </w:r>
    </w:p>
    <w:p w14:paraId="382CD58B">
      <w:pPr>
        <w:pStyle w:val="56"/>
        <w:numPr>
          <w:ilvl w:val="0"/>
          <w:numId w:val="5"/>
        </w:numPr>
        <w:tabs>
          <w:tab w:val="left" w:pos="630"/>
        </w:tabs>
        <w:spacing w:line="40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未按照招标文件要求密封的；</w:t>
      </w:r>
    </w:p>
    <w:p w14:paraId="462F16B6">
      <w:pPr>
        <w:pStyle w:val="56"/>
        <w:numPr>
          <w:ilvl w:val="0"/>
          <w:numId w:val="5"/>
        </w:numPr>
        <w:tabs>
          <w:tab w:val="left" w:pos="630"/>
        </w:tabs>
        <w:spacing w:line="40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未通过资格预审的申请人递交的；</w:t>
      </w:r>
    </w:p>
    <w:p w14:paraId="7D39147C">
      <w:pPr>
        <w:pStyle w:val="56"/>
        <w:numPr>
          <w:ilvl w:val="0"/>
          <w:numId w:val="5"/>
        </w:numPr>
        <w:tabs>
          <w:tab w:val="left" w:pos="630"/>
        </w:tabs>
        <w:spacing w:line="40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未按照第一章“招标公告”或者投标邀请书要求获得本项目招标文件的。</w:t>
      </w:r>
    </w:p>
    <w:p w14:paraId="6CD0D51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4.1.6</w:t>
      </w:r>
      <w:r>
        <w:rPr>
          <w:rFonts w:hint="eastAsia" w:asciiTheme="minorEastAsia" w:hAnsiTheme="minorEastAsia" w:eastAsiaTheme="minorEastAsia"/>
          <w:highlight w:val="none"/>
        </w:rPr>
        <w:t>招标人采用电子招标投标方式的，投标文件递交异常的处理方式见投标人须知前附表。</w:t>
      </w:r>
    </w:p>
    <w:bookmarkEnd w:id="275"/>
    <w:bookmarkEnd w:id="276"/>
    <w:p w14:paraId="5FB2BEA1">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284" w:name="_Toc139026901"/>
      <w:bookmarkStart w:id="285" w:name="_Toc18959"/>
      <w:bookmarkStart w:id="286" w:name="_Toc38007979"/>
      <w:r>
        <w:rPr>
          <w:rFonts w:asciiTheme="minorEastAsia" w:hAnsiTheme="minorEastAsia" w:eastAsiaTheme="minorEastAsia"/>
          <w:sz w:val="24"/>
          <w:szCs w:val="24"/>
          <w:highlight w:val="none"/>
        </w:rPr>
        <w:t>4.2</w:t>
      </w:r>
      <w:r>
        <w:rPr>
          <w:rFonts w:hint="eastAsia" w:asciiTheme="minorEastAsia" w:hAnsiTheme="minorEastAsia" w:eastAsiaTheme="minorEastAsia"/>
          <w:sz w:val="24"/>
          <w:szCs w:val="24"/>
          <w:highlight w:val="none"/>
        </w:rPr>
        <w:t>投标文件的修改、撤回</w:t>
      </w:r>
      <w:bookmarkEnd w:id="277"/>
      <w:bookmarkEnd w:id="278"/>
      <w:bookmarkEnd w:id="279"/>
      <w:bookmarkEnd w:id="280"/>
      <w:r>
        <w:rPr>
          <w:rFonts w:hint="eastAsia" w:asciiTheme="minorEastAsia" w:hAnsiTheme="minorEastAsia" w:eastAsiaTheme="minorEastAsia"/>
          <w:sz w:val="24"/>
          <w:szCs w:val="24"/>
          <w:highlight w:val="none"/>
        </w:rPr>
        <w:t>和撤销</w:t>
      </w:r>
      <w:bookmarkEnd w:id="281"/>
      <w:bookmarkEnd w:id="282"/>
      <w:bookmarkEnd w:id="283"/>
      <w:bookmarkEnd w:id="284"/>
      <w:bookmarkEnd w:id="285"/>
      <w:bookmarkEnd w:id="286"/>
    </w:p>
    <w:p w14:paraId="5996F331">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287" w:name="_Toc246996203"/>
      <w:bookmarkStart w:id="288" w:name="_Toc246996946"/>
      <w:bookmarkStart w:id="289" w:name="_Toc152045559"/>
      <w:bookmarkStart w:id="290" w:name="_Toc179632577"/>
      <w:bookmarkStart w:id="291" w:name="_Toc447188694"/>
      <w:bookmarkStart w:id="292" w:name="_Toc152042335"/>
      <w:bookmarkStart w:id="293" w:name="_Toc296602447"/>
      <w:bookmarkStart w:id="294" w:name="_Toc447265531"/>
      <w:bookmarkStart w:id="295" w:name="_Toc247085717"/>
      <w:bookmarkStart w:id="296" w:name="_Toc447265245"/>
      <w:bookmarkStart w:id="297" w:name="_Toc144974527"/>
      <w:bookmarkStart w:id="298" w:name="_Toc488655852"/>
      <w:bookmarkStart w:id="299" w:name="_Toc227057908"/>
      <w:bookmarkStart w:id="300" w:name="_Toc107822506"/>
      <w:bookmarkStart w:id="301" w:name="_Toc226969302"/>
      <w:r>
        <w:rPr>
          <w:rFonts w:asciiTheme="minorEastAsia" w:hAnsiTheme="minorEastAsia" w:eastAsiaTheme="minorEastAsia"/>
          <w:highlight w:val="none"/>
        </w:rPr>
        <w:t>4.2.1</w:t>
      </w:r>
      <w:r>
        <w:rPr>
          <w:rFonts w:hint="eastAsia" w:asciiTheme="minorEastAsia" w:hAnsiTheme="minorEastAsia" w:eastAsiaTheme="minorEastAsia"/>
          <w:highlight w:val="none"/>
        </w:rPr>
        <w:t>在规定的投标截止时间前，投标人可以修改或者撤回已递交的投标文件。</w:t>
      </w:r>
    </w:p>
    <w:p w14:paraId="414C70A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4.2.2</w:t>
      </w:r>
      <w:r>
        <w:rPr>
          <w:rFonts w:hint="eastAsia" w:asciiTheme="minorEastAsia" w:hAnsiTheme="minorEastAsia" w:eastAsiaTheme="minorEastAsia"/>
          <w:highlight w:val="none"/>
        </w:rPr>
        <w:t>投标人修改后的投标文件，应当在规定的投标截止时间前按照招标文件的规定编制、密封、标记、递交。</w:t>
      </w:r>
    </w:p>
    <w:p w14:paraId="55F91A14">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4.2.3</w:t>
      </w:r>
      <w:r>
        <w:rPr>
          <w:rFonts w:hint="eastAsia" w:asciiTheme="minorEastAsia" w:hAnsiTheme="minorEastAsia" w:eastAsiaTheme="minorEastAsia"/>
          <w:highlight w:val="none"/>
        </w:rPr>
        <w:t>投标人撤回已递交的投标文件，应当书面通知招标人。招标人已收取投标保证金的，应当自收到投标人书面撤回通知之日起5日内退还。</w:t>
      </w:r>
    </w:p>
    <w:p w14:paraId="6471D8A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4.2.4投标人在规定的投标截止时间后，不得在投标有效期内撤销其投标。否则招标人有权不退还其投标保证金。</w:t>
      </w:r>
    </w:p>
    <w:p w14:paraId="562592B9">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302" w:name="_Toc139026902"/>
      <w:bookmarkStart w:id="303" w:name="_Toc38007980"/>
      <w:bookmarkStart w:id="304" w:name="_Toc10855"/>
      <w:r>
        <w:rPr>
          <w:rFonts w:hint="eastAsia" w:asciiTheme="minorEastAsia" w:hAnsiTheme="minorEastAsia" w:eastAsiaTheme="minorEastAsia"/>
          <w:sz w:val="28"/>
          <w:szCs w:val="28"/>
          <w:highlight w:val="none"/>
        </w:rPr>
        <w:t>开标</w:t>
      </w:r>
      <w:bookmarkEnd w:id="287"/>
      <w:bookmarkEnd w:id="288"/>
      <w:bookmarkEnd w:id="289"/>
      <w:bookmarkEnd w:id="290"/>
      <w:bookmarkEnd w:id="291"/>
      <w:bookmarkEnd w:id="292"/>
      <w:bookmarkEnd w:id="293"/>
      <w:bookmarkEnd w:id="294"/>
      <w:bookmarkEnd w:id="295"/>
      <w:bookmarkEnd w:id="296"/>
      <w:bookmarkEnd w:id="297"/>
      <w:bookmarkEnd w:id="302"/>
      <w:bookmarkEnd w:id="303"/>
      <w:bookmarkEnd w:id="304"/>
    </w:p>
    <w:p w14:paraId="44A50B9C">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05" w:name="_Toc447188695"/>
      <w:bookmarkStart w:id="306" w:name="_Toc447265246"/>
      <w:bookmarkStart w:id="307" w:name="_Toc139026903"/>
      <w:bookmarkStart w:id="308" w:name="_Toc1866"/>
      <w:bookmarkStart w:id="309" w:name="_Toc447265532"/>
      <w:bookmarkStart w:id="310" w:name="_Toc38007981"/>
      <w:r>
        <w:rPr>
          <w:rFonts w:hint="eastAsia" w:asciiTheme="minorEastAsia" w:hAnsiTheme="minorEastAsia" w:eastAsiaTheme="minorEastAsia"/>
          <w:sz w:val="24"/>
          <w:szCs w:val="24"/>
          <w:highlight w:val="none"/>
        </w:rPr>
        <w:t>5.1开标</w:t>
      </w:r>
      <w:bookmarkEnd w:id="298"/>
      <w:bookmarkEnd w:id="299"/>
      <w:bookmarkEnd w:id="300"/>
      <w:bookmarkEnd w:id="301"/>
      <w:r>
        <w:rPr>
          <w:rFonts w:hint="eastAsia" w:asciiTheme="minorEastAsia" w:hAnsiTheme="minorEastAsia" w:eastAsiaTheme="minorEastAsia"/>
          <w:sz w:val="24"/>
          <w:szCs w:val="24"/>
          <w:highlight w:val="none"/>
        </w:rPr>
        <w:t>时间和地点</w:t>
      </w:r>
      <w:bookmarkEnd w:id="305"/>
      <w:bookmarkEnd w:id="306"/>
      <w:bookmarkEnd w:id="307"/>
      <w:bookmarkEnd w:id="308"/>
      <w:bookmarkEnd w:id="309"/>
      <w:bookmarkEnd w:id="310"/>
    </w:p>
    <w:p w14:paraId="3FF8893D">
      <w:pPr>
        <w:pStyle w:val="25"/>
        <w:tabs>
          <w:tab w:val="left" w:pos="630"/>
        </w:tabs>
        <w:snapToGrid w:val="0"/>
        <w:spacing w:line="440" w:lineRule="exact"/>
        <w:ind w:firstLine="420" w:firstLineChars="200"/>
        <w:rPr>
          <w:rFonts w:asciiTheme="minorEastAsia" w:hAnsiTheme="minorEastAsia" w:eastAsiaTheme="minorEastAsia"/>
          <w:highlight w:val="none"/>
        </w:rPr>
      </w:pPr>
      <w:r>
        <w:rPr>
          <w:rFonts w:hint="eastAsia" w:asciiTheme="minorEastAsia" w:hAnsiTheme="minorEastAsia" w:eastAsiaTheme="minorEastAsia"/>
          <w:highlight w:val="none"/>
        </w:rPr>
        <w:t>招标人将按照投标人须知前附表规定的时间和地点公开开标，参加开标的投标人代表应当签名报到，以证明其出席开标。开标时间和投标截止时间应当为同一时间。</w:t>
      </w:r>
    </w:p>
    <w:p w14:paraId="6A0CCA1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11" w:name="_Toc7249"/>
      <w:bookmarkStart w:id="312" w:name="_Toc447265533"/>
      <w:bookmarkStart w:id="313" w:name="_Toc447188696"/>
      <w:bookmarkStart w:id="314" w:name="_Toc38007982"/>
      <w:bookmarkStart w:id="315" w:name="_Toc139026904"/>
      <w:bookmarkStart w:id="316" w:name="_Toc447265247"/>
      <w:r>
        <w:rPr>
          <w:rFonts w:hint="eastAsia" w:asciiTheme="minorEastAsia" w:hAnsiTheme="minorEastAsia" w:eastAsiaTheme="minorEastAsia"/>
          <w:sz w:val="24"/>
          <w:szCs w:val="24"/>
          <w:highlight w:val="none"/>
        </w:rPr>
        <w:t>5.2开标程序</w:t>
      </w:r>
      <w:bookmarkEnd w:id="311"/>
      <w:bookmarkEnd w:id="312"/>
      <w:bookmarkEnd w:id="313"/>
      <w:bookmarkEnd w:id="314"/>
      <w:bookmarkEnd w:id="315"/>
      <w:bookmarkEnd w:id="316"/>
    </w:p>
    <w:p w14:paraId="4823E616">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317" w:name="_Toc246996206"/>
      <w:bookmarkStart w:id="318" w:name="_Toc179632580"/>
      <w:bookmarkStart w:id="319" w:name="_Toc447265536"/>
      <w:bookmarkStart w:id="320" w:name="_Toc246996949"/>
      <w:bookmarkStart w:id="321" w:name="_Toc447265250"/>
      <w:bookmarkStart w:id="322" w:name="_Toc144974530"/>
      <w:bookmarkStart w:id="323" w:name="_Toc152045562"/>
      <w:bookmarkStart w:id="324" w:name="_Toc447188699"/>
      <w:bookmarkStart w:id="325" w:name="_Toc296602451"/>
      <w:bookmarkStart w:id="326" w:name="_Toc152042338"/>
      <w:bookmarkStart w:id="327" w:name="_Toc247085720"/>
      <w:bookmarkStart w:id="328" w:name="_Toc107822507"/>
      <w:bookmarkStart w:id="329" w:name="_Toc226969303"/>
      <w:bookmarkStart w:id="330" w:name="_Toc227057909"/>
      <w:r>
        <w:rPr>
          <w:rFonts w:hint="eastAsia" w:asciiTheme="minorEastAsia" w:hAnsiTheme="minorEastAsia" w:eastAsiaTheme="minorEastAsia"/>
          <w:highlight w:val="none"/>
        </w:rPr>
        <w:t>5.2.1开标会议由招标人或者其委托的招标代理机构组织并主持，邀请所有的投标人或者其代表出席。投标人代表或者招标人委托的公证机构对投标文件密封性进行检查。</w:t>
      </w:r>
    </w:p>
    <w:p w14:paraId="7159C9AE">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5.2.2</w:t>
      </w:r>
      <w:r>
        <w:rPr>
          <w:rFonts w:asciiTheme="minorEastAsia" w:hAnsiTheme="minorEastAsia" w:eastAsiaTheme="minorEastAsia"/>
          <w:highlight w:val="none"/>
        </w:rPr>
        <w:t>招标人在投标文件递交截止时间前收到的所有投标文件在开标时都应当当众予以拆封</w:t>
      </w:r>
      <w:r>
        <w:rPr>
          <w:rFonts w:hint="eastAsia" w:asciiTheme="minorEastAsia" w:hAnsiTheme="minorEastAsia" w:eastAsiaTheme="minorEastAsia"/>
          <w:highlight w:val="none"/>
        </w:rPr>
        <w:t>、</w:t>
      </w:r>
      <w:r>
        <w:rPr>
          <w:rFonts w:asciiTheme="minorEastAsia" w:hAnsiTheme="minorEastAsia" w:eastAsiaTheme="minorEastAsia"/>
          <w:highlight w:val="none"/>
        </w:rPr>
        <w:t>宣读</w:t>
      </w:r>
      <w:r>
        <w:rPr>
          <w:rFonts w:hint="eastAsia" w:asciiTheme="minorEastAsia" w:hAnsiTheme="minorEastAsia" w:eastAsiaTheme="minorEastAsia"/>
          <w:highlight w:val="none"/>
        </w:rPr>
        <w:t>，</w:t>
      </w:r>
      <w:r>
        <w:rPr>
          <w:rFonts w:asciiTheme="minorEastAsia" w:hAnsiTheme="minorEastAsia" w:eastAsiaTheme="minorEastAsia"/>
          <w:highlight w:val="none"/>
        </w:rPr>
        <w:t>但</w:t>
      </w:r>
      <w:r>
        <w:rPr>
          <w:rFonts w:hint="eastAsia" w:asciiTheme="minorEastAsia" w:hAnsiTheme="minorEastAsia" w:eastAsiaTheme="minorEastAsia"/>
          <w:highlight w:val="none"/>
        </w:rPr>
        <w:t>按照招标文件规定递交合格的书面撤回通知的投标文件不予开封。</w:t>
      </w:r>
    </w:p>
    <w:p w14:paraId="20A97FB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5.2.3</w:t>
      </w:r>
      <w:r>
        <w:rPr>
          <w:rFonts w:hint="eastAsia" w:asciiTheme="minorEastAsia" w:hAnsiTheme="minorEastAsia" w:eastAsiaTheme="minorEastAsia"/>
          <w:highlight w:val="none"/>
        </w:rPr>
        <w:t>开标时，招标人应当当众宣布参加本项目招标的投标人个数以及投标文件的密封情况，并宣读收到的所有未撤回的投标文件的“投标一览表”中的内容。“投标一览表”一般包括：投标人名称、投标总报价、交货期、投标保证金以及招标文件中规定的其他内容。</w:t>
      </w:r>
    </w:p>
    <w:p w14:paraId="2A18EF7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5.2.4开标内容填写在“开标记录表”中，由唱标人、记录人、投标人代表、监督人签字确认，存档备查。</w:t>
      </w:r>
    </w:p>
    <w:p w14:paraId="2EA9E9AB">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31" w:name="_Toc450489307"/>
      <w:bookmarkStart w:id="332" w:name="_Toc38007983"/>
      <w:bookmarkStart w:id="333" w:name="_Toc447265248"/>
      <w:bookmarkStart w:id="334" w:name="_Toc10715"/>
      <w:bookmarkStart w:id="335" w:name="_Toc447265534"/>
      <w:bookmarkStart w:id="336" w:name="_Toc139026905"/>
      <w:bookmarkStart w:id="337" w:name="_Toc447188697"/>
      <w:r>
        <w:rPr>
          <w:rFonts w:asciiTheme="minorEastAsia" w:hAnsiTheme="minorEastAsia" w:eastAsiaTheme="minorEastAsia"/>
          <w:sz w:val="24"/>
          <w:szCs w:val="24"/>
          <w:highlight w:val="none"/>
        </w:rPr>
        <w:t>5.3</w:t>
      </w:r>
      <w:r>
        <w:rPr>
          <w:rFonts w:hint="eastAsia" w:asciiTheme="minorEastAsia" w:hAnsiTheme="minorEastAsia" w:eastAsiaTheme="minorEastAsia"/>
          <w:sz w:val="24"/>
          <w:szCs w:val="24"/>
          <w:highlight w:val="none"/>
        </w:rPr>
        <w:t>异议</w:t>
      </w:r>
      <w:bookmarkEnd w:id="331"/>
      <w:bookmarkEnd w:id="332"/>
      <w:bookmarkEnd w:id="333"/>
      <w:bookmarkEnd w:id="334"/>
      <w:bookmarkEnd w:id="335"/>
      <w:bookmarkEnd w:id="336"/>
      <w:bookmarkEnd w:id="337"/>
    </w:p>
    <w:p w14:paraId="41AFB3F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5.3.1投标人对开标有异议的，应当在开标现场提出，招标人应当当场作出答复，并制作记录。</w:t>
      </w:r>
    </w:p>
    <w:p w14:paraId="0BD6B55C">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5.3.2</w:t>
      </w:r>
      <w:r>
        <w:rPr>
          <w:rFonts w:hint="eastAsia" w:asciiTheme="minorEastAsia" w:hAnsiTheme="minorEastAsia" w:eastAsiaTheme="minorEastAsia"/>
          <w:highlight w:val="none"/>
        </w:rPr>
        <w:t>投标人认为存在低于成本价投标情形的，可以在开标现场提出异议，并在评标完成前向招标人递交书面材料，招标人应当及时将书面材料转交给评标委员会。</w:t>
      </w:r>
    </w:p>
    <w:p w14:paraId="51AC4FD1">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38" w:name="_Toc447188698"/>
      <w:bookmarkStart w:id="339" w:name="_Toc447265249"/>
      <w:bookmarkStart w:id="340" w:name="_Toc447265535"/>
      <w:bookmarkStart w:id="341" w:name="_Toc450489308"/>
      <w:bookmarkStart w:id="342" w:name="_Toc139026906"/>
      <w:bookmarkStart w:id="343" w:name="_Toc27727"/>
      <w:bookmarkStart w:id="344" w:name="_Toc38007984"/>
      <w:r>
        <w:rPr>
          <w:rFonts w:hint="eastAsia" w:asciiTheme="minorEastAsia" w:hAnsiTheme="minorEastAsia" w:eastAsiaTheme="minorEastAsia"/>
          <w:sz w:val="24"/>
          <w:szCs w:val="24"/>
          <w:highlight w:val="none"/>
        </w:rPr>
        <w:t>5.4电子招标开标的其他要求</w:t>
      </w:r>
      <w:bookmarkEnd w:id="338"/>
      <w:bookmarkEnd w:id="339"/>
      <w:bookmarkEnd w:id="340"/>
      <w:r>
        <w:rPr>
          <w:rFonts w:hint="eastAsia" w:asciiTheme="minorEastAsia" w:hAnsiTheme="minorEastAsia" w:eastAsiaTheme="minorEastAsia"/>
          <w:sz w:val="24"/>
          <w:szCs w:val="24"/>
          <w:highlight w:val="none"/>
        </w:rPr>
        <w:t>及异常处理</w:t>
      </w:r>
      <w:bookmarkEnd w:id="341"/>
      <w:bookmarkEnd w:id="342"/>
      <w:bookmarkEnd w:id="343"/>
      <w:bookmarkEnd w:id="344"/>
    </w:p>
    <w:p w14:paraId="53788CF0">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招标人采用电子招标投标方式的，开标的其他要求及异常处理方式见投标人须知前附表。</w:t>
      </w:r>
    </w:p>
    <w:p w14:paraId="4CF1E43C">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345" w:name="_Toc12525"/>
      <w:bookmarkStart w:id="346" w:name="_Toc38007985"/>
      <w:bookmarkStart w:id="347" w:name="_Toc139026907"/>
      <w:r>
        <w:rPr>
          <w:rFonts w:hint="eastAsia" w:asciiTheme="minorEastAsia" w:hAnsiTheme="minorEastAsia" w:eastAsiaTheme="minorEastAsia"/>
          <w:sz w:val="28"/>
          <w:szCs w:val="28"/>
          <w:highlight w:val="none"/>
        </w:rPr>
        <w:t>评标</w:t>
      </w:r>
      <w:bookmarkEnd w:id="317"/>
      <w:bookmarkEnd w:id="318"/>
      <w:bookmarkEnd w:id="319"/>
      <w:bookmarkEnd w:id="320"/>
      <w:bookmarkEnd w:id="321"/>
      <w:bookmarkEnd w:id="322"/>
      <w:bookmarkEnd w:id="323"/>
      <w:bookmarkEnd w:id="324"/>
      <w:bookmarkEnd w:id="325"/>
      <w:bookmarkEnd w:id="326"/>
      <w:bookmarkEnd w:id="327"/>
      <w:bookmarkEnd w:id="345"/>
      <w:bookmarkEnd w:id="346"/>
      <w:bookmarkEnd w:id="347"/>
    </w:p>
    <w:p w14:paraId="6FBF8F07">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48" w:name="_Toc447265251"/>
      <w:bookmarkStart w:id="349" w:name="_Toc139026908"/>
      <w:bookmarkStart w:id="350" w:name="_Toc447265537"/>
      <w:bookmarkStart w:id="351" w:name="_Toc6035"/>
      <w:bookmarkStart w:id="352" w:name="_Toc38007986"/>
      <w:bookmarkStart w:id="353" w:name="_Toc447188700"/>
      <w:r>
        <w:rPr>
          <w:rFonts w:hint="eastAsia" w:asciiTheme="minorEastAsia" w:hAnsiTheme="minorEastAsia" w:eastAsiaTheme="minorEastAsia"/>
          <w:sz w:val="24"/>
          <w:szCs w:val="24"/>
          <w:highlight w:val="none"/>
        </w:rPr>
        <w:t>6.1评标委员会</w:t>
      </w:r>
      <w:bookmarkEnd w:id="328"/>
      <w:bookmarkEnd w:id="329"/>
      <w:bookmarkEnd w:id="330"/>
      <w:bookmarkEnd w:id="348"/>
      <w:bookmarkEnd w:id="349"/>
      <w:bookmarkEnd w:id="350"/>
      <w:bookmarkEnd w:id="351"/>
      <w:bookmarkEnd w:id="352"/>
      <w:bookmarkEnd w:id="353"/>
    </w:p>
    <w:p w14:paraId="6399733A">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354" w:name="_Toc447265541"/>
      <w:bookmarkStart w:id="355" w:name="_Toc447188703"/>
      <w:bookmarkStart w:id="356" w:name="_Toc447265255"/>
      <w:bookmarkStart w:id="357" w:name="_Toc226969309"/>
      <w:bookmarkStart w:id="358" w:name="_Toc227057915"/>
      <w:bookmarkStart w:id="359" w:name="_Toc107822516"/>
      <w:bookmarkStart w:id="360" w:name="_Toc488655860"/>
      <w:r>
        <w:rPr>
          <w:rFonts w:hint="eastAsia" w:asciiTheme="minorEastAsia" w:hAnsiTheme="minorEastAsia" w:eastAsiaTheme="minorEastAsia"/>
          <w:highlight w:val="none"/>
        </w:rPr>
        <w:t>6.1.1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14:paraId="5818FC9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6.1.2评标期间，任何单位和个人不得非法干预或者影响评标的过程和结果。</w:t>
      </w:r>
    </w:p>
    <w:p w14:paraId="2DC80561">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6.1.3</w:t>
      </w:r>
      <w:r>
        <w:rPr>
          <w:rFonts w:hint="eastAsia" w:asciiTheme="minorEastAsia" w:hAnsiTheme="minorEastAsia" w:eastAsiaTheme="minorEastAsia"/>
          <w:highlight w:val="none"/>
        </w:rPr>
        <w:t>评标委员会成员名单在中标结果确定前保密。</w:t>
      </w:r>
    </w:p>
    <w:p w14:paraId="6E2B44EE">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61" w:name="_Toc246996208"/>
      <w:bookmarkStart w:id="362" w:name="_Toc247085722"/>
      <w:bookmarkStart w:id="363" w:name="_Toc144974532"/>
      <w:bookmarkStart w:id="364" w:name="_Toc38007987"/>
      <w:bookmarkStart w:id="365" w:name="_Toc447265252"/>
      <w:bookmarkStart w:id="366" w:name="_Toc152045564"/>
      <w:bookmarkStart w:id="367" w:name="_Toc139026909"/>
      <w:bookmarkStart w:id="368" w:name="_Toc296602453"/>
      <w:bookmarkStart w:id="369" w:name="_Toc450489311"/>
      <w:bookmarkStart w:id="370" w:name="_Toc152042340"/>
      <w:bookmarkStart w:id="371" w:name="_Toc179632582"/>
      <w:bookmarkStart w:id="372" w:name="_Toc447265538"/>
      <w:bookmarkStart w:id="373" w:name="_Toc31959"/>
      <w:bookmarkStart w:id="374" w:name="_Toc246996951"/>
      <w:r>
        <w:rPr>
          <w:rFonts w:asciiTheme="minorEastAsia" w:hAnsiTheme="minorEastAsia" w:eastAsiaTheme="minorEastAsia"/>
          <w:sz w:val="24"/>
          <w:szCs w:val="24"/>
          <w:highlight w:val="none"/>
        </w:rPr>
        <w:t>6.2</w:t>
      </w:r>
      <w:r>
        <w:rPr>
          <w:rFonts w:hint="eastAsia" w:asciiTheme="minorEastAsia" w:hAnsiTheme="minorEastAsia" w:eastAsiaTheme="minorEastAsia"/>
          <w:sz w:val="24"/>
          <w:szCs w:val="24"/>
          <w:highlight w:val="none"/>
        </w:rPr>
        <w:t>评标原则</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5533028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6.2.1评标活动遵循公平、公正、科学和择优的原则。</w:t>
      </w:r>
    </w:p>
    <w:p w14:paraId="17523825">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6.2.2</w:t>
      </w:r>
      <w:r>
        <w:rPr>
          <w:rFonts w:hint="eastAsia" w:asciiTheme="minorEastAsia" w:hAnsiTheme="minorEastAsia" w:eastAsiaTheme="minorEastAsia"/>
          <w:highlight w:val="none"/>
        </w:rPr>
        <w:t>评标委员会按照第三章“评标办法”规定的方法、评审因素、标准和程序对投标文件进行评审。第三章“评标办法”没有规定的方法、评审因素和标准，不得作为评标依据。</w:t>
      </w:r>
    </w:p>
    <w:p w14:paraId="3590A24B">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75" w:name="_Toc38007988"/>
      <w:bookmarkStart w:id="376" w:name="_Toc139026910"/>
      <w:bookmarkStart w:id="377" w:name="_Toc447188701"/>
      <w:bookmarkStart w:id="378" w:name="_Toc447265539"/>
      <w:bookmarkStart w:id="379" w:name="_Toc7511"/>
      <w:bookmarkStart w:id="380" w:name="_Toc447265253"/>
      <w:bookmarkStart w:id="381" w:name="_Toc450489312"/>
      <w:r>
        <w:rPr>
          <w:rFonts w:hint="eastAsia" w:asciiTheme="minorEastAsia" w:hAnsiTheme="minorEastAsia" w:eastAsiaTheme="minorEastAsia"/>
          <w:sz w:val="24"/>
          <w:szCs w:val="24"/>
          <w:highlight w:val="none"/>
        </w:rPr>
        <w:t>6.3评标方法</w:t>
      </w:r>
      <w:bookmarkEnd w:id="375"/>
      <w:bookmarkEnd w:id="376"/>
      <w:bookmarkEnd w:id="377"/>
      <w:bookmarkEnd w:id="378"/>
      <w:bookmarkEnd w:id="379"/>
      <w:bookmarkEnd w:id="380"/>
      <w:bookmarkEnd w:id="381"/>
    </w:p>
    <w:p w14:paraId="48698A05">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6.3.1招标文件中详细载明下述评标方法之一作为本项目评标所采用的评标方法。评标方法见投标人须知前附表。</w:t>
      </w:r>
    </w:p>
    <w:p w14:paraId="33ECD79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6.3.2采用经评审的最低投标价法的，能够满足招标文件的实质性要求，并且经评审的最低投标价的投标，应当推荐为中标候选人，但是价格低于成本的除外。</w:t>
      </w:r>
    </w:p>
    <w:p w14:paraId="0CF7577A">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采用综合评估法的，最大限度地满足招标文件中规定的各项综合评价标准的投标，应当推荐为中标候选人，量化的标准和权重应当在招标文件中明确规定。</w:t>
      </w:r>
    </w:p>
    <w:p w14:paraId="5FD68C5E">
      <w:pPr>
        <w:pStyle w:val="25"/>
        <w:tabs>
          <w:tab w:val="left" w:pos="588"/>
          <w:tab w:val="left" w:pos="630"/>
        </w:tabs>
        <w:snapToGrid w:val="0"/>
        <w:spacing w:before="120" w:after="120" w:line="440" w:lineRule="exact"/>
        <w:ind w:firstLine="424" w:firstLineChars="202"/>
        <w:jc w:val="left"/>
        <w:rPr>
          <w:rFonts w:asciiTheme="minorEastAsia" w:hAnsiTheme="minorEastAsia" w:eastAsiaTheme="minorEastAsia"/>
          <w:sz w:val="24"/>
          <w:szCs w:val="24"/>
          <w:highlight w:val="none"/>
        </w:rPr>
      </w:pPr>
      <w:r>
        <w:rPr>
          <w:rFonts w:hint="eastAsia" w:asciiTheme="minorEastAsia" w:hAnsiTheme="minorEastAsia" w:eastAsiaTheme="minorEastAsia"/>
          <w:highlight w:val="none"/>
        </w:rPr>
        <w:t>6.3.3</w:t>
      </w:r>
      <w:r>
        <w:rPr>
          <w:rFonts w:asciiTheme="minorEastAsia" w:hAnsiTheme="minorEastAsia" w:eastAsiaTheme="minorEastAsia"/>
          <w:highlight w:val="none"/>
        </w:rPr>
        <w:t>法律</w:t>
      </w:r>
      <w:r>
        <w:rPr>
          <w:rFonts w:hint="eastAsia" w:asciiTheme="minorEastAsia" w:hAnsiTheme="minorEastAsia" w:eastAsiaTheme="minorEastAsia"/>
          <w:highlight w:val="none"/>
        </w:rPr>
        <w:t>、</w:t>
      </w:r>
      <w:r>
        <w:rPr>
          <w:rFonts w:asciiTheme="minorEastAsia" w:hAnsiTheme="minorEastAsia" w:eastAsiaTheme="minorEastAsia"/>
          <w:highlight w:val="none"/>
        </w:rPr>
        <w:t>法规允许的其他评标方法</w:t>
      </w:r>
      <w:r>
        <w:rPr>
          <w:rFonts w:hint="eastAsia" w:asciiTheme="minorEastAsia" w:hAnsiTheme="minorEastAsia" w:eastAsiaTheme="minorEastAsia"/>
          <w:highlight w:val="none"/>
        </w:rPr>
        <w:t>。</w:t>
      </w:r>
      <w:bookmarkStart w:id="382" w:name="_Toc447265540"/>
      <w:bookmarkStart w:id="383" w:name="_Toc447188702"/>
      <w:bookmarkStart w:id="384" w:name="_Toc447265254"/>
      <w:bookmarkStart w:id="385" w:name="_Toc152042342"/>
      <w:bookmarkStart w:id="386" w:name="_Toc246996953"/>
      <w:bookmarkStart w:id="387" w:name="_Toc247085724"/>
      <w:bookmarkStart w:id="388" w:name="_Toc152045566"/>
      <w:bookmarkStart w:id="389" w:name="_Toc246996210"/>
      <w:bookmarkStart w:id="390" w:name="_Toc144974534"/>
      <w:bookmarkStart w:id="391" w:name="_Toc179632584"/>
      <w:bookmarkStart w:id="392" w:name="_Toc296602455"/>
    </w:p>
    <w:p w14:paraId="0F66F8E6">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93" w:name="_Toc14110"/>
      <w:bookmarkStart w:id="394" w:name="_Toc139026911"/>
      <w:bookmarkStart w:id="395" w:name="_Toc450489313"/>
      <w:bookmarkStart w:id="396" w:name="_Toc38007989"/>
      <w:r>
        <w:rPr>
          <w:rFonts w:asciiTheme="minorEastAsia" w:hAnsiTheme="minorEastAsia" w:eastAsiaTheme="minorEastAsia"/>
          <w:sz w:val="24"/>
          <w:szCs w:val="24"/>
          <w:highlight w:val="none"/>
        </w:rPr>
        <w:t>6.4中标候选人推荐原则</w:t>
      </w:r>
      <w:bookmarkEnd w:id="393"/>
      <w:bookmarkEnd w:id="394"/>
      <w:bookmarkEnd w:id="395"/>
      <w:bookmarkEnd w:id="396"/>
    </w:p>
    <w:p w14:paraId="209665D6">
      <w:pPr>
        <w:adjustRightInd w:val="0"/>
        <w:snapToGrid w:val="0"/>
        <w:spacing w:line="440" w:lineRule="exact"/>
        <w:ind w:firstLine="420" w:firstLineChars="200"/>
        <w:rPr>
          <w:rFonts w:cs="宋体" w:asciiTheme="minorEastAsia" w:hAnsiTheme="minorEastAsia" w:eastAsiaTheme="minorEastAsia"/>
          <w:szCs w:val="21"/>
          <w:highlight w:val="none"/>
        </w:rPr>
      </w:pPr>
      <w:r>
        <w:rPr>
          <w:rFonts w:cs="宋体" w:asciiTheme="minorEastAsia" w:hAnsiTheme="minorEastAsia" w:eastAsiaTheme="minorEastAsia"/>
          <w:szCs w:val="21"/>
          <w:highlight w:val="none"/>
        </w:rPr>
        <w:t>评标委员会应当根据</w:t>
      </w:r>
      <w:r>
        <w:rPr>
          <w:rFonts w:hint="eastAsia" w:cs="宋体" w:asciiTheme="minorEastAsia" w:hAnsiTheme="minorEastAsia" w:eastAsiaTheme="minorEastAsia"/>
          <w:szCs w:val="21"/>
          <w:highlight w:val="none"/>
        </w:rPr>
        <w:t>《招标投标法》、《实施条例》和《管理办法》的有关规定推荐中标候选人，具体推荐原则见投标人须知前附表。</w:t>
      </w:r>
    </w:p>
    <w:p w14:paraId="1396F8D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397" w:name="_Toc29538"/>
      <w:bookmarkStart w:id="398" w:name="_Toc450489314"/>
      <w:bookmarkStart w:id="399" w:name="_Toc38007990"/>
      <w:bookmarkStart w:id="400" w:name="_Toc139026912"/>
      <w:r>
        <w:rPr>
          <w:rFonts w:hint="eastAsia" w:asciiTheme="minorEastAsia" w:hAnsiTheme="minorEastAsia" w:eastAsiaTheme="minorEastAsia"/>
          <w:sz w:val="24"/>
          <w:szCs w:val="24"/>
          <w:highlight w:val="none"/>
        </w:rPr>
        <w:t>6.5评标报告</w:t>
      </w:r>
      <w:bookmarkEnd w:id="382"/>
      <w:bookmarkEnd w:id="383"/>
      <w:bookmarkEnd w:id="384"/>
      <w:bookmarkEnd w:id="397"/>
      <w:bookmarkEnd w:id="398"/>
      <w:bookmarkEnd w:id="399"/>
      <w:bookmarkEnd w:id="400"/>
    </w:p>
    <w:p w14:paraId="2CA55BAA">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评标完成后，评标委员会应当根据《招标投标法》、《实施条例》和《管理办法》的有关规定及时向招标人提交评标报告和中标候选人名单。</w:t>
      </w:r>
    </w:p>
    <w:bookmarkEnd w:id="385"/>
    <w:bookmarkEnd w:id="386"/>
    <w:bookmarkEnd w:id="387"/>
    <w:bookmarkEnd w:id="388"/>
    <w:bookmarkEnd w:id="389"/>
    <w:bookmarkEnd w:id="390"/>
    <w:bookmarkEnd w:id="391"/>
    <w:bookmarkEnd w:id="392"/>
    <w:p w14:paraId="5C3B3915">
      <w:pPr>
        <w:pStyle w:val="40"/>
        <w:numPr>
          <w:ilvl w:val="0"/>
          <w:numId w:val="2"/>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401" w:name="_Toc28541"/>
      <w:bookmarkStart w:id="402" w:name="_Toc139026913"/>
      <w:bookmarkStart w:id="403" w:name="_Toc38007991"/>
      <w:r>
        <w:rPr>
          <w:rFonts w:hint="eastAsia" w:asciiTheme="minorEastAsia" w:hAnsiTheme="minorEastAsia" w:eastAsiaTheme="minorEastAsia"/>
          <w:sz w:val="28"/>
          <w:szCs w:val="28"/>
          <w:highlight w:val="none"/>
        </w:rPr>
        <w:t>中标</w:t>
      </w:r>
      <w:bookmarkEnd w:id="354"/>
      <w:bookmarkEnd w:id="355"/>
      <w:bookmarkEnd w:id="356"/>
      <w:bookmarkEnd w:id="401"/>
      <w:bookmarkEnd w:id="402"/>
      <w:bookmarkEnd w:id="403"/>
    </w:p>
    <w:p w14:paraId="3C07CFE2">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04" w:name="_Toc139026914"/>
      <w:bookmarkStart w:id="405" w:name="_Toc447188704"/>
      <w:bookmarkStart w:id="406" w:name="_Toc16226"/>
      <w:bookmarkStart w:id="407" w:name="_Toc447265542"/>
      <w:bookmarkStart w:id="408" w:name="_Toc38007992"/>
      <w:bookmarkStart w:id="409" w:name="_Toc447265256"/>
      <w:r>
        <w:rPr>
          <w:rFonts w:hint="eastAsia" w:asciiTheme="minorEastAsia" w:hAnsiTheme="minorEastAsia" w:eastAsiaTheme="minorEastAsia"/>
          <w:sz w:val="24"/>
          <w:szCs w:val="24"/>
          <w:highlight w:val="none"/>
        </w:rPr>
        <w:t>7.1中标候选人公示</w:t>
      </w:r>
      <w:bookmarkEnd w:id="404"/>
      <w:bookmarkEnd w:id="405"/>
      <w:bookmarkEnd w:id="406"/>
      <w:bookmarkEnd w:id="407"/>
      <w:bookmarkEnd w:id="408"/>
      <w:bookmarkEnd w:id="409"/>
    </w:p>
    <w:bookmarkEnd w:id="357"/>
    <w:bookmarkEnd w:id="358"/>
    <w:bookmarkEnd w:id="359"/>
    <w:bookmarkEnd w:id="360"/>
    <w:p w14:paraId="6141AA35">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410" w:name="_Toc447265259"/>
      <w:bookmarkStart w:id="411" w:name="_Toc447265545"/>
      <w:bookmarkStart w:id="412" w:name="_Toc246996213"/>
      <w:bookmarkStart w:id="413" w:name="_Toc247085727"/>
      <w:bookmarkStart w:id="414" w:name="_Toc152042345"/>
      <w:bookmarkStart w:id="415" w:name="_Toc246996956"/>
      <w:bookmarkStart w:id="416" w:name="_Toc296602459"/>
      <w:bookmarkStart w:id="417" w:name="_Toc179632587"/>
      <w:bookmarkStart w:id="418" w:name="_Toc144974537"/>
      <w:bookmarkStart w:id="419" w:name="_Toc152045569"/>
      <w:bookmarkStart w:id="420" w:name="_Toc107822517"/>
      <w:bookmarkStart w:id="421" w:name="_Toc227057916"/>
      <w:bookmarkStart w:id="422" w:name="_Toc226969310"/>
      <w:r>
        <w:rPr>
          <w:rFonts w:hint="eastAsia" w:asciiTheme="minorEastAsia" w:hAnsiTheme="minorEastAsia" w:eastAsiaTheme="minorEastAsia"/>
          <w:highlight w:val="none"/>
        </w:rPr>
        <w:t>7.1.1依法必须进行招标的通信工程建设项目，采用公开招标方式的，招标人在收到评标报告之日起3日内在“资格预审公告”或者“招标公告”发布媒介公示全部中标候选人，公示期不少于3日。</w:t>
      </w:r>
    </w:p>
    <w:p w14:paraId="5418F75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7.1.2依法必须进行招标的通信工程建设项目，采用邀请招标方式的，招标人在收到评标报告之日起3日内在通信工程建设项目招标投标管理信息平台公示全部中标候选人，公示期不少于3日。其他公示媒介见投标人须知前附表。</w:t>
      </w:r>
    </w:p>
    <w:p w14:paraId="50845A4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7.1.3投标人或者其他利害关系人对依法必须进行招标项目的评标结果有异议的，应当在中标候选人公示期间提出。</w:t>
      </w:r>
    </w:p>
    <w:p w14:paraId="13C03939">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23" w:name="_Toc447265257"/>
      <w:bookmarkStart w:id="424" w:name="_Toc139026915"/>
      <w:bookmarkStart w:id="425" w:name="_Toc450489317"/>
      <w:bookmarkStart w:id="426" w:name="_Toc15939"/>
      <w:bookmarkStart w:id="427" w:name="_Toc447265543"/>
      <w:bookmarkStart w:id="428" w:name="_Toc38007993"/>
      <w:bookmarkStart w:id="429" w:name="_Toc447188705"/>
      <w:r>
        <w:rPr>
          <w:rFonts w:asciiTheme="minorEastAsia" w:hAnsiTheme="minorEastAsia" w:eastAsiaTheme="minorEastAsia"/>
          <w:sz w:val="24"/>
          <w:szCs w:val="24"/>
          <w:highlight w:val="none"/>
        </w:rPr>
        <w:t>7.2</w:t>
      </w:r>
      <w:r>
        <w:rPr>
          <w:rFonts w:hint="eastAsia" w:asciiTheme="minorEastAsia" w:hAnsiTheme="minorEastAsia" w:eastAsiaTheme="minorEastAsia"/>
          <w:sz w:val="24"/>
          <w:szCs w:val="24"/>
          <w:highlight w:val="none"/>
        </w:rPr>
        <w:t>确定中标人</w:t>
      </w:r>
      <w:bookmarkEnd w:id="423"/>
      <w:bookmarkEnd w:id="424"/>
      <w:bookmarkEnd w:id="425"/>
      <w:bookmarkEnd w:id="426"/>
      <w:bookmarkEnd w:id="427"/>
      <w:bookmarkEnd w:id="428"/>
      <w:bookmarkEnd w:id="429"/>
    </w:p>
    <w:p w14:paraId="3AAB5A4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7.2.1除投标人须知前附表规定评标委员会直接确定中标人外，招标人依据评标委员会推荐的中标候选人确定中标人，中标人数量见投标人须知前附表。</w:t>
      </w:r>
    </w:p>
    <w:p w14:paraId="17C8344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7.2.2</w:t>
      </w:r>
      <w:r>
        <w:rPr>
          <w:rFonts w:hint="eastAsia" w:asciiTheme="minorEastAsia" w:hAnsiTheme="minorEastAsia" w:eastAsiaTheme="minorEastAsia"/>
          <w:highlight w:val="none"/>
        </w:rPr>
        <w:t>招标人根据评标委员会推荐的中标候选人名单排序依次确定中标人，具体中标原则见投标人须知前附表。</w:t>
      </w:r>
    </w:p>
    <w:p w14:paraId="66C66D7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7.2.3在签订合同之前</w:t>
      </w:r>
      <w:r>
        <w:rPr>
          <w:rFonts w:hint="eastAsia" w:asciiTheme="minorEastAsia" w:hAnsiTheme="minorEastAsia" w:eastAsiaTheme="minorEastAsia"/>
          <w:highlight w:val="none"/>
        </w:rPr>
        <w:t>，中标人放弃中标或者不能履行合同的，招标人可以按照评标委员会提出的中标候选人名单排序依次确定其他中标候选人为中标人，也可以重新招标。</w:t>
      </w:r>
    </w:p>
    <w:p w14:paraId="3A5819D7">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30" w:name="_Toc38007994"/>
      <w:bookmarkStart w:id="431" w:name="_Toc296602458"/>
      <w:bookmarkStart w:id="432" w:name="_Toc179632586"/>
      <w:bookmarkStart w:id="433" w:name="_Toc247085726"/>
      <w:bookmarkStart w:id="434" w:name="_Toc447265258"/>
      <w:bookmarkStart w:id="435" w:name="_Toc447265544"/>
      <w:bookmarkStart w:id="436" w:name="_Toc246996212"/>
      <w:bookmarkStart w:id="437" w:name="_Toc152042344"/>
      <w:bookmarkStart w:id="438" w:name="_Toc1118"/>
      <w:bookmarkStart w:id="439" w:name="_Toc450489318"/>
      <w:bookmarkStart w:id="440" w:name="_Toc152045568"/>
      <w:bookmarkStart w:id="441" w:name="_Toc246996955"/>
      <w:bookmarkStart w:id="442" w:name="_Toc144974536"/>
      <w:bookmarkStart w:id="443" w:name="_Toc139026916"/>
      <w:bookmarkStart w:id="444" w:name="OLE_LINK6"/>
      <w:bookmarkStart w:id="445" w:name="OLE_LINK7"/>
      <w:r>
        <w:rPr>
          <w:rFonts w:hint="eastAsia" w:asciiTheme="minorEastAsia" w:hAnsiTheme="minorEastAsia" w:eastAsiaTheme="minorEastAsia"/>
          <w:sz w:val="24"/>
          <w:szCs w:val="24"/>
          <w:highlight w:val="none"/>
        </w:rPr>
        <w:t>7.3中标通知</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77E604FA">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7.3.1在中标通知书发出前，中标候选人的经营、财务状况发生较大变化或者存在违法行为，可能影响其履约能力的，投标人应当主动告知招标人。</w:t>
      </w:r>
      <w:bookmarkEnd w:id="444"/>
      <w:bookmarkEnd w:id="445"/>
      <w:r>
        <w:rPr>
          <w:rFonts w:hint="eastAsia" w:asciiTheme="minorEastAsia" w:hAnsiTheme="minorEastAsia" w:eastAsiaTheme="minorEastAsia"/>
          <w:highlight w:val="none"/>
        </w:rPr>
        <w:t>招标人认为可能影响其履约能力的，应当在发出中标通知书前由原评标委员会按照招标文件规定的标准和方法审查确认。</w:t>
      </w:r>
    </w:p>
    <w:p w14:paraId="7C1A565F">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7.3.2中标人确定后，招标人应当自行或者委托招标代理机构向中标人发出中标通知书，同时通知未中标人。</w:t>
      </w:r>
    </w:p>
    <w:p w14:paraId="15F5373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7.3.3</w:t>
      </w:r>
      <w:r>
        <w:rPr>
          <w:rFonts w:hint="eastAsia" w:asciiTheme="minorEastAsia" w:hAnsiTheme="minorEastAsia" w:eastAsiaTheme="minorEastAsia"/>
          <w:highlight w:val="none"/>
        </w:rPr>
        <w:t>中标通知书是招标投标档案和合同的组成部分。</w:t>
      </w:r>
    </w:p>
    <w:p w14:paraId="08ECB06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7.3.4</w:t>
      </w:r>
      <w:r>
        <w:rPr>
          <w:rFonts w:hint="eastAsia" w:asciiTheme="minorEastAsia" w:hAnsiTheme="minorEastAsia" w:eastAsiaTheme="minorEastAsia"/>
          <w:highlight w:val="none"/>
        </w:rPr>
        <w:t>中标通知书对招标人和中标人具有法律约束力。中标通知书发出后，招标人改变中标结果或者中标人放弃中标的，应当承担法律责任。</w:t>
      </w:r>
    </w:p>
    <w:p w14:paraId="19F147E3">
      <w:pPr>
        <w:pStyle w:val="40"/>
        <w:numPr>
          <w:ilvl w:val="0"/>
          <w:numId w:val="2"/>
        </w:numPr>
        <w:tabs>
          <w:tab w:val="left" w:pos="588"/>
        </w:tabs>
        <w:snapToGrid w:val="0"/>
        <w:spacing w:before="120" w:after="120" w:line="440" w:lineRule="exact"/>
        <w:ind w:left="0" w:firstLine="0"/>
        <w:jc w:val="left"/>
        <w:rPr>
          <w:rFonts w:asciiTheme="minorEastAsia" w:hAnsiTheme="minorEastAsia" w:eastAsiaTheme="minorEastAsia"/>
          <w:sz w:val="28"/>
          <w:szCs w:val="28"/>
          <w:highlight w:val="none"/>
        </w:rPr>
      </w:pPr>
      <w:bookmarkStart w:id="446" w:name="_Toc32389"/>
      <w:bookmarkStart w:id="447" w:name="_Toc38007995"/>
      <w:bookmarkStart w:id="448" w:name="_Toc139026917"/>
      <w:r>
        <w:rPr>
          <w:rFonts w:hint="eastAsia" w:asciiTheme="minorEastAsia" w:hAnsiTheme="minorEastAsia" w:eastAsiaTheme="minorEastAsia"/>
          <w:sz w:val="28"/>
          <w:szCs w:val="28"/>
          <w:highlight w:val="none"/>
        </w:rPr>
        <w:t>合同签订</w:t>
      </w:r>
      <w:bookmarkEnd w:id="410"/>
      <w:bookmarkEnd w:id="411"/>
      <w:bookmarkEnd w:id="446"/>
      <w:bookmarkEnd w:id="447"/>
      <w:bookmarkEnd w:id="448"/>
    </w:p>
    <w:p w14:paraId="260E12F4">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49" w:name="_Toc447265546"/>
      <w:bookmarkStart w:id="450" w:name="_Toc38007996"/>
      <w:bookmarkStart w:id="451" w:name="_Toc11417"/>
      <w:bookmarkStart w:id="452" w:name="_Toc447265260"/>
      <w:bookmarkStart w:id="453" w:name="_Toc139026918"/>
      <w:r>
        <w:rPr>
          <w:rFonts w:hint="eastAsia" w:asciiTheme="minorEastAsia" w:hAnsiTheme="minorEastAsia" w:eastAsiaTheme="minorEastAsia"/>
          <w:sz w:val="24"/>
          <w:szCs w:val="24"/>
          <w:highlight w:val="none"/>
        </w:rPr>
        <w:t>8.1履约</w:t>
      </w:r>
      <w:bookmarkEnd w:id="412"/>
      <w:bookmarkEnd w:id="413"/>
      <w:bookmarkEnd w:id="414"/>
      <w:bookmarkEnd w:id="415"/>
      <w:bookmarkEnd w:id="416"/>
      <w:bookmarkEnd w:id="417"/>
      <w:bookmarkEnd w:id="418"/>
      <w:bookmarkEnd w:id="419"/>
      <w:r>
        <w:rPr>
          <w:rFonts w:hint="eastAsia" w:asciiTheme="minorEastAsia" w:hAnsiTheme="minorEastAsia" w:eastAsiaTheme="minorEastAsia"/>
          <w:sz w:val="24"/>
          <w:szCs w:val="24"/>
          <w:highlight w:val="none"/>
        </w:rPr>
        <w:t>保证金</w:t>
      </w:r>
      <w:bookmarkEnd w:id="449"/>
      <w:bookmarkEnd w:id="450"/>
      <w:bookmarkEnd w:id="451"/>
      <w:bookmarkEnd w:id="452"/>
      <w:bookmarkEnd w:id="453"/>
    </w:p>
    <w:bookmarkEnd w:id="420"/>
    <w:bookmarkEnd w:id="421"/>
    <w:bookmarkEnd w:id="422"/>
    <w:p w14:paraId="714C99C4">
      <w:pPr>
        <w:pStyle w:val="25"/>
        <w:tabs>
          <w:tab w:val="left" w:pos="630"/>
        </w:tabs>
        <w:snapToGrid w:val="0"/>
        <w:spacing w:line="440" w:lineRule="exact"/>
        <w:ind w:firstLine="424" w:firstLineChars="202"/>
        <w:rPr>
          <w:rFonts w:asciiTheme="minorEastAsia" w:hAnsiTheme="minorEastAsia" w:eastAsiaTheme="minorEastAsia"/>
          <w:highlight w:val="none"/>
        </w:rPr>
      </w:pPr>
      <w:bookmarkStart w:id="454" w:name="_Toc227057918"/>
      <w:bookmarkStart w:id="455" w:name="_Toc447265263"/>
      <w:bookmarkStart w:id="456" w:name="_Toc226969312"/>
      <w:bookmarkStart w:id="457" w:name="_Toc447265549"/>
      <w:bookmarkStart w:id="458" w:name="_Toc447188707"/>
      <w:bookmarkStart w:id="459" w:name="_Toc107822519"/>
      <w:bookmarkStart w:id="460" w:name="_Toc488655867"/>
      <w:r>
        <w:rPr>
          <w:rFonts w:hint="eastAsia" w:asciiTheme="minorEastAsia" w:hAnsiTheme="minorEastAsia" w:eastAsiaTheme="minorEastAsia"/>
          <w:highlight w:val="none"/>
        </w:rPr>
        <w:t>8.1.1在签订合同前，中标人应当按照投标人须知前附表中规定的履约保证金的金额和形式向招标人递交履约保证金。</w:t>
      </w:r>
    </w:p>
    <w:p w14:paraId="2B805CE5">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8.1.2</w:t>
      </w:r>
      <w:r>
        <w:rPr>
          <w:rFonts w:hint="eastAsia" w:asciiTheme="minorEastAsia" w:hAnsiTheme="minorEastAsia" w:eastAsiaTheme="minorEastAsia"/>
          <w:highlight w:val="none"/>
        </w:rPr>
        <w:t>中标人不能按照招标文件要求递交履约担保的，视为放弃中标，其投标保证金不予退还，给招标人造成的损失超过投标保证金数额的，中标人还应当对超过部分予以赔偿。</w:t>
      </w:r>
    </w:p>
    <w:p w14:paraId="6BD4BB9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61" w:name="_Toc38007997"/>
      <w:bookmarkStart w:id="462" w:name="_Toc139026919"/>
      <w:bookmarkStart w:id="463" w:name="_Toc447265261"/>
      <w:bookmarkStart w:id="464" w:name="_Toc450489321"/>
      <w:bookmarkStart w:id="465" w:name="_Toc447265547"/>
      <w:bookmarkStart w:id="466" w:name="_Toc1780"/>
      <w:r>
        <w:rPr>
          <w:rFonts w:hint="eastAsia" w:asciiTheme="minorEastAsia" w:hAnsiTheme="minorEastAsia" w:eastAsiaTheme="minorEastAsia"/>
          <w:sz w:val="24"/>
          <w:szCs w:val="24"/>
          <w:highlight w:val="none"/>
        </w:rPr>
        <w:t>8.2合同签订</w:t>
      </w:r>
      <w:bookmarkEnd w:id="461"/>
      <w:bookmarkEnd w:id="462"/>
      <w:bookmarkEnd w:id="463"/>
      <w:bookmarkEnd w:id="464"/>
      <w:bookmarkEnd w:id="465"/>
      <w:bookmarkEnd w:id="466"/>
    </w:p>
    <w:p w14:paraId="07175BB6">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8.2.1招标人和中标人应当自中标通知书发出之日起30日内，根据招标文件和中标人的投标文件订立书面合同。招标人和中标人不得订立背离合同实质性内容的其他协议。</w:t>
      </w:r>
    </w:p>
    <w:p w14:paraId="031E63D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8.2.2中标人无正当理由拒签合同的，招标人取消其中标资格，其投标保证金不予退还；给招标人造成的损失超过投标保证金数额的，中标人还应当对超过部分予以赔偿。</w:t>
      </w:r>
    </w:p>
    <w:p w14:paraId="18569EB2">
      <w:pPr>
        <w:pStyle w:val="40"/>
        <w:numPr>
          <w:ilvl w:val="0"/>
          <w:numId w:val="2"/>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467" w:name="_Toc139026920"/>
      <w:bookmarkStart w:id="468" w:name="_Toc23442"/>
      <w:bookmarkStart w:id="469" w:name="_Toc38007998"/>
      <w:r>
        <w:rPr>
          <w:rFonts w:hint="eastAsia" w:asciiTheme="minorEastAsia" w:hAnsiTheme="minorEastAsia" w:eastAsiaTheme="minorEastAsia"/>
          <w:sz w:val="28"/>
          <w:szCs w:val="28"/>
          <w:highlight w:val="none"/>
        </w:rPr>
        <w:t>招标代理服务费</w:t>
      </w:r>
      <w:bookmarkEnd w:id="454"/>
      <w:bookmarkEnd w:id="455"/>
      <w:bookmarkEnd w:id="456"/>
      <w:bookmarkEnd w:id="457"/>
      <w:bookmarkEnd w:id="458"/>
      <w:bookmarkEnd w:id="459"/>
      <w:bookmarkEnd w:id="460"/>
      <w:bookmarkEnd w:id="467"/>
      <w:bookmarkEnd w:id="468"/>
      <w:bookmarkEnd w:id="469"/>
    </w:p>
    <w:p w14:paraId="2E076E5E">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中标人应当按照招标文件规定交纳招标代理服务费，招标人和招标代理机构另有约定的从其约定。招标代理服务费的金额、交纳方式和时限见投标人须知前附表。</w:t>
      </w:r>
    </w:p>
    <w:p w14:paraId="06BC3165">
      <w:pPr>
        <w:pStyle w:val="40"/>
        <w:numPr>
          <w:ilvl w:val="0"/>
          <w:numId w:val="2"/>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470" w:name="_Toc15961"/>
      <w:bookmarkStart w:id="471" w:name="_Toc139026921"/>
      <w:bookmarkStart w:id="472" w:name="_Toc447265550"/>
      <w:bookmarkStart w:id="473" w:name="_Toc38007999"/>
      <w:bookmarkStart w:id="474" w:name="_Toc296602461"/>
      <w:bookmarkStart w:id="475" w:name="_Toc447265264"/>
      <w:bookmarkStart w:id="476" w:name="_Toc447188708"/>
      <w:r>
        <w:rPr>
          <w:rFonts w:hint="eastAsia" w:asciiTheme="minorEastAsia" w:hAnsiTheme="minorEastAsia" w:eastAsiaTheme="minorEastAsia"/>
          <w:sz w:val="28"/>
          <w:szCs w:val="28"/>
          <w:highlight w:val="none"/>
        </w:rPr>
        <w:t>纪律和监督</w:t>
      </w:r>
      <w:bookmarkEnd w:id="470"/>
      <w:bookmarkEnd w:id="471"/>
      <w:bookmarkEnd w:id="472"/>
      <w:bookmarkEnd w:id="473"/>
      <w:bookmarkEnd w:id="474"/>
      <w:bookmarkEnd w:id="475"/>
      <w:bookmarkEnd w:id="476"/>
    </w:p>
    <w:p w14:paraId="427F1A63">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77" w:name="_Toc246996962"/>
      <w:bookmarkStart w:id="478" w:name="_Toc247085733"/>
      <w:bookmarkStart w:id="479" w:name="_Toc179632593"/>
      <w:bookmarkStart w:id="480" w:name="_Toc447265551"/>
      <w:bookmarkStart w:id="481" w:name="_Toc144974543"/>
      <w:bookmarkStart w:id="482" w:name="_Toc152045575"/>
      <w:bookmarkStart w:id="483" w:name="_Toc152042351"/>
      <w:bookmarkStart w:id="484" w:name="_Toc296590983"/>
      <w:bookmarkStart w:id="485" w:name="_Toc139026922"/>
      <w:bookmarkStart w:id="486" w:name="_Toc447265265"/>
      <w:bookmarkStart w:id="487" w:name="_Toc296602462"/>
      <w:bookmarkStart w:id="488" w:name="_Toc4364"/>
      <w:bookmarkStart w:id="489" w:name="_Toc246996219"/>
      <w:bookmarkStart w:id="490" w:name="_Toc38008000"/>
      <w:r>
        <w:rPr>
          <w:rFonts w:hint="eastAsia" w:asciiTheme="minorEastAsia" w:hAnsiTheme="minorEastAsia" w:eastAsiaTheme="minorEastAsia"/>
          <w:sz w:val="24"/>
          <w:szCs w:val="24"/>
          <w:highlight w:val="none"/>
        </w:rPr>
        <w:t>10.1对招标人的纪律要求</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p w14:paraId="69315ECE">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招标人不得泄露招标投标活动中应当保密的情况和资料，不得与投标人串通损害国家利益、社会公共利益或者他人合法权益。</w:t>
      </w:r>
    </w:p>
    <w:p w14:paraId="70EE584B">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491" w:name="_Toc152042352"/>
      <w:bookmarkStart w:id="492" w:name="_Toc139026923"/>
      <w:bookmarkStart w:id="493" w:name="_Toc246996220"/>
      <w:bookmarkStart w:id="494" w:name="_Toc447265552"/>
      <w:bookmarkStart w:id="495" w:name="_Toc179632594"/>
      <w:bookmarkStart w:id="496" w:name="_Toc38008001"/>
      <w:bookmarkStart w:id="497" w:name="_Toc447265266"/>
      <w:bookmarkStart w:id="498" w:name="_Toc152045576"/>
      <w:bookmarkStart w:id="499" w:name="_Toc296602463"/>
      <w:bookmarkStart w:id="500" w:name="_Toc4362"/>
      <w:bookmarkStart w:id="501" w:name="_Toc144974544"/>
      <w:bookmarkStart w:id="502" w:name="_Toc247085734"/>
      <w:bookmarkStart w:id="503" w:name="_Toc246996963"/>
      <w:r>
        <w:rPr>
          <w:rFonts w:hint="eastAsia" w:asciiTheme="minorEastAsia" w:hAnsiTheme="minorEastAsia" w:eastAsiaTheme="minorEastAsia"/>
          <w:sz w:val="24"/>
          <w:szCs w:val="24"/>
          <w:highlight w:val="none"/>
        </w:rPr>
        <w:t>10.2对投标人的纪律要求</w:t>
      </w:r>
      <w:bookmarkEnd w:id="491"/>
      <w:bookmarkEnd w:id="492"/>
      <w:bookmarkEnd w:id="493"/>
      <w:bookmarkEnd w:id="494"/>
      <w:bookmarkEnd w:id="495"/>
      <w:bookmarkEnd w:id="496"/>
      <w:bookmarkEnd w:id="497"/>
      <w:bookmarkEnd w:id="498"/>
      <w:bookmarkEnd w:id="499"/>
      <w:bookmarkEnd w:id="500"/>
      <w:bookmarkEnd w:id="501"/>
      <w:bookmarkEnd w:id="502"/>
      <w:bookmarkEnd w:id="503"/>
    </w:p>
    <w:p w14:paraId="3E667732">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30E5E42C">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04" w:name="_Toc246996964"/>
      <w:bookmarkStart w:id="505" w:name="_Toc139026924"/>
      <w:bookmarkStart w:id="506" w:name="_Toc152045577"/>
      <w:bookmarkStart w:id="507" w:name="_Toc296602464"/>
      <w:bookmarkStart w:id="508" w:name="_Toc246996221"/>
      <w:bookmarkStart w:id="509" w:name="_Toc152042353"/>
      <w:bookmarkStart w:id="510" w:name="_Toc179632595"/>
      <w:bookmarkStart w:id="511" w:name="_Toc11582"/>
      <w:bookmarkStart w:id="512" w:name="_Toc144974545"/>
      <w:bookmarkStart w:id="513" w:name="_Toc247085735"/>
      <w:bookmarkStart w:id="514" w:name="_Toc447265553"/>
      <w:bookmarkStart w:id="515" w:name="_Toc447265267"/>
      <w:bookmarkStart w:id="516" w:name="_Toc38008002"/>
      <w:r>
        <w:rPr>
          <w:rFonts w:hint="eastAsia" w:asciiTheme="minorEastAsia" w:hAnsiTheme="minorEastAsia" w:eastAsiaTheme="minorEastAsia"/>
          <w:sz w:val="24"/>
          <w:szCs w:val="24"/>
          <w:highlight w:val="none"/>
        </w:rPr>
        <w:t>10.3对评标委员会成员的纪律要求</w:t>
      </w:r>
      <w:bookmarkEnd w:id="504"/>
      <w:bookmarkEnd w:id="505"/>
      <w:bookmarkEnd w:id="506"/>
      <w:bookmarkEnd w:id="507"/>
      <w:bookmarkEnd w:id="508"/>
      <w:bookmarkEnd w:id="509"/>
      <w:bookmarkEnd w:id="510"/>
      <w:bookmarkEnd w:id="511"/>
      <w:bookmarkEnd w:id="512"/>
      <w:bookmarkEnd w:id="513"/>
      <w:bookmarkEnd w:id="514"/>
      <w:bookmarkEnd w:id="515"/>
      <w:bookmarkEnd w:id="516"/>
    </w:p>
    <w:p w14:paraId="6E9CDC40">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DD1F326">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17" w:name="_Toc38008003"/>
      <w:bookmarkStart w:id="518" w:name="_Toc447265554"/>
      <w:bookmarkStart w:id="519" w:name="_Toc247085736"/>
      <w:bookmarkStart w:id="520" w:name="_Toc152045578"/>
      <w:bookmarkStart w:id="521" w:name="_Toc14026"/>
      <w:bookmarkStart w:id="522" w:name="_Toc296602465"/>
      <w:bookmarkStart w:id="523" w:name="_Toc246996222"/>
      <w:bookmarkStart w:id="524" w:name="_Toc152042354"/>
      <w:bookmarkStart w:id="525" w:name="_Toc139026925"/>
      <w:bookmarkStart w:id="526" w:name="_Toc179632596"/>
      <w:bookmarkStart w:id="527" w:name="_Toc246996965"/>
      <w:bookmarkStart w:id="528" w:name="_Toc447265268"/>
      <w:bookmarkStart w:id="529" w:name="_Toc144974546"/>
      <w:r>
        <w:rPr>
          <w:rFonts w:hint="eastAsia" w:asciiTheme="minorEastAsia" w:hAnsiTheme="minorEastAsia" w:eastAsiaTheme="minorEastAsia"/>
          <w:sz w:val="24"/>
          <w:szCs w:val="24"/>
          <w:highlight w:val="none"/>
        </w:rPr>
        <w:t>10.4对与评标活动有关的工作人员的纪律要求</w:t>
      </w:r>
      <w:bookmarkEnd w:id="517"/>
      <w:bookmarkEnd w:id="518"/>
      <w:bookmarkEnd w:id="519"/>
      <w:bookmarkEnd w:id="520"/>
      <w:bookmarkEnd w:id="521"/>
      <w:bookmarkEnd w:id="522"/>
      <w:bookmarkEnd w:id="523"/>
      <w:bookmarkEnd w:id="524"/>
      <w:bookmarkEnd w:id="525"/>
      <w:bookmarkEnd w:id="526"/>
      <w:bookmarkEnd w:id="527"/>
      <w:bookmarkEnd w:id="528"/>
    </w:p>
    <w:p w14:paraId="7D48B8F7">
      <w:pPr>
        <w:adjustRightInd w:val="0"/>
        <w:snapToGrid w:val="0"/>
        <w:spacing w:line="440" w:lineRule="exact"/>
        <w:ind w:firstLine="420" w:firstLineChars="200"/>
        <w:rPr>
          <w:rFonts w:cs="宋体" w:asciiTheme="minorEastAsia" w:hAnsiTheme="minorEastAsia" w:eastAsiaTheme="minorEastAsia"/>
          <w:szCs w:val="21"/>
          <w:highlight w:val="none"/>
        </w:rPr>
      </w:pPr>
      <w:bookmarkStart w:id="530" w:name="_Toc152042355"/>
      <w:r>
        <w:rPr>
          <w:rFonts w:hint="eastAsia" w:cs="宋体" w:asciiTheme="minorEastAsia" w:hAnsiTheme="minorEastAsia" w:eastAsiaTheme="minorEastAsia"/>
          <w:szCs w:val="21"/>
          <w:highlight w:val="none"/>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bookmarkEnd w:id="530"/>
    </w:p>
    <w:p w14:paraId="62BB4C3B">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31" w:name="_Toc179632597"/>
      <w:bookmarkStart w:id="532" w:name="_Toc10140"/>
      <w:bookmarkStart w:id="533" w:name="_Toc296602466"/>
      <w:bookmarkStart w:id="534" w:name="_Toc447265555"/>
      <w:bookmarkStart w:id="535" w:name="_Toc246996966"/>
      <w:bookmarkStart w:id="536" w:name="_Toc152042356"/>
      <w:bookmarkStart w:id="537" w:name="_Toc139026926"/>
      <w:bookmarkStart w:id="538" w:name="_Toc247085737"/>
      <w:bookmarkStart w:id="539" w:name="_Toc246996223"/>
      <w:bookmarkStart w:id="540" w:name="_Toc38008004"/>
      <w:bookmarkStart w:id="541" w:name="_Toc447265269"/>
      <w:bookmarkStart w:id="542" w:name="_Toc152045579"/>
      <w:r>
        <w:rPr>
          <w:rFonts w:hint="eastAsia" w:asciiTheme="minorEastAsia" w:hAnsiTheme="minorEastAsia" w:eastAsiaTheme="minorEastAsia"/>
          <w:sz w:val="24"/>
          <w:szCs w:val="24"/>
          <w:highlight w:val="none"/>
        </w:rPr>
        <w:t>10.5投诉</w:t>
      </w:r>
      <w:bookmarkEnd w:id="529"/>
      <w:bookmarkEnd w:id="531"/>
      <w:bookmarkEnd w:id="532"/>
      <w:bookmarkEnd w:id="533"/>
      <w:bookmarkEnd w:id="534"/>
      <w:bookmarkEnd w:id="535"/>
      <w:bookmarkEnd w:id="536"/>
      <w:bookmarkEnd w:id="537"/>
      <w:bookmarkEnd w:id="538"/>
      <w:bookmarkEnd w:id="539"/>
      <w:bookmarkEnd w:id="540"/>
      <w:bookmarkEnd w:id="541"/>
      <w:bookmarkEnd w:id="542"/>
    </w:p>
    <w:p w14:paraId="153709AB">
      <w:pPr>
        <w:pStyle w:val="25"/>
        <w:tabs>
          <w:tab w:val="left" w:pos="630"/>
        </w:tabs>
        <w:snapToGrid w:val="0"/>
        <w:spacing w:line="440" w:lineRule="exact"/>
        <w:ind w:firstLine="420" w:firstLineChars="200"/>
        <w:rPr>
          <w:rFonts w:asciiTheme="minorEastAsia" w:hAnsiTheme="minorEastAsia" w:eastAsiaTheme="minorEastAsia"/>
          <w:highlight w:val="none"/>
        </w:rPr>
      </w:pPr>
      <w:r>
        <w:rPr>
          <w:rFonts w:hint="eastAsia" w:asciiTheme="minorEastAsia" w:hAnsiTheme="minorEastAsia" w:eastAsiaTheme="minorEastAsia"/>
          <w:highlight w:val="none"/>
        </w:rPr>
        <w:t>投标人或其他利害关系人认为招标投标活动不符合法律、法规规定的，可以自知道或者应当知道之日起10日内向有关行政监督部门投诉。投诉应当有明确的请求和必要的证明材料。</w:t>
      </w:r>
    </w:p>
    <w:p w14:paraId="7DC06D32">
      <w:pPr>
        <w:pStyle w:val="25"/>
        <w:tabs>
          <w:tab w:val="left" w:pos="630"/>
        </w:tabs>
        <w:snapToGrid w:val="0"/>
        <w:spacing w:line="440" w:lineRule="exact"/>
        <w:rPr>
          <w:rFonts w:asciiTheme="minorEastAsia" w:hAnsiTheme="minorEastAsia" w:eastAsiaTheme="minorEastAsia"/>
          <w:highlight w:val="none"/>
        </w:rPr>
      </w:pPr>
      <w:r>
        <w:rPr>
          <w:rFonts w:hint="eastAsia" w:asciiTheme="minorEastAsia" w:hAnsiTheme="minorEastAsia" w:eastAsiaTheme="minorEastAsia"/>
          <w:highlight w:val="none"/>
        </w:rPr>
        <w:t>就招标文件、开标、中标候选人公示投诉的，应当先向招标人提出异议，异议答复期间不计算在前款规定的期限内。</w:t>
      </w:r>
    </w:p>
    <w:p w14:paraId="78CF1B9F">
      <w:pPr>
        <w:pStyle w:val="40"/>
        <w:numPr>
          <w:ilvl w:val="0"/>
          <w:numId w:val="2"/>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543" w:name="_Toc447265556"/>
      <w:bookmarkStart w:id="544" w:name="_Toc139026927"/>
      <w:bookmarkStart w:id="545" w:name="_Toc29944"/>
      <w:bookmarkStart w:id="546" w:name="_Toc247085738"/>
      <w:bookmarkStart w:id="547" w:name="_Toc179632598"/>
      <w:bookmarkStart w:id="548" w:name="_Toc246996224"/>
      <w:bookmarkStart w:id="549" w:name="_Toc246996967"/>
      <w:bookmarkStart w:id="550" w:name="_Toc152042357"/>
      <w:bookmarkStart w:id="551" w:name="_Toc447265270"/>
      <w:bookmarkStart w:id="552" w:name="_Toc144974547"/>
      <w:bookmarkStart w:id="553" w:name="_Toc447188709"/>
      <w:bookmarkStart w:id="554" w:name="_Toc152045580"/>
      <w:bookmarkStart w:id="555" w:name="_Toc296602467"/>
      <w:bookmarkStart w:id="556" w:name="_Toc38008005"/>
      <w:r>
        <w:rPr>
          <w:rFonts w:hint="eastAsia" w:asciiTheme="minorEastAsia" w:hAnsiTheme="minorEastAsia" w:eastAsiaTheme="minorEastAsia"/>
          <w:sz w:val="28"/>
          <w:szCs w:val="28"/>
          <w:highlight w:val="none"/>
        </w:rPr>
        <w:t>需要补充的其他内容</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04B0CA03">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需要补充的其他内容：见投标人须知前附表。</w:t>
      </w:r>
    </w:p>
    <w:p w14:paraId="4A436169">
      <w:pPr>
        <w:tabs>
          <w:tab w:val="left" w:pos="851"/>
        </w:tabs>
        <w:adjustRightInd w:val="0"/>
        <w:snapToGrid w:val="0"/>
        <w:spacing w:line="440" w:lineRule="exact"/>
        <w:rPr>
          <w:rFonts w:ascii="宋体" w:hAnsi="宋体" w:cs="宋体"/>
          <w:sz w:val="24"/>
          <w:highlight w:val="none"/>
        </w:rPr>
      </w:pPr>
    </w:p>
    <w:p w14:paraId="13C2A305">
      <w:pPr>
        <w:widowControl/>
        <w:jc w:val="left"/>
        <w:rPr>
          <w:rFonts w:ascii="宋体" w:hAnsi="宋体" w:cs="宋体"/>
          <w:sz w:val="32"/>
          <w:szCs w:val="32"/>
          <w:highlight w:val="none"/>
        </w:rPr>
      </w:pPr>
      <w:r>
        <w:rPr>
          <w:rFonts w:ascii="宋体" w:hAnsi="宋体" w:eastAsia="宋体" w:cs="宋体"/>
          <w:sz w:val="28"/>
          <w:szCs w:val="28"/>
          <w:highlight w:val="none"/>
        </w:rPr>
        <w:br w:type="page"/>
      </w:r>
    </w:p>
    <w:p w14:paraId="1E1FCDA3">
      <w:pPr>
        <w:pStyle w:val="55"/>
        <w:spacing w:before="240" w:after="120"/>
        <w:rPr>
          <w:rFonts w:ascii="宋体" w:hAnsi="宋体" w:eastAsia="宋体" w:cs="宋体"/>
          <w:b/>
          <w:bCs w:val="0"/>
          <w:kern w:val="0"/>
          <w:sz w:val="28"/>
          <w:szCs w:val="28"/>
          <w:highlight w:val="none"/>
        </w:rPr>
      </w:pPr>
      <w:bookmarkStart w:id="557" w:name="_Toc447265559"/>
      <w:bookmarkStart w:id="558" w:name="_Toc38008018"/>
      <w:bookmarkStart w:id="559" w:name="_Toc447265273"/>
      <w:bookmarkStart w:id="560" w:name="_Toc5338"/>
      <w:r>
        <w:rPr>
          <w:rFonts w:hint="eastAsia" w:ascii="宋体" w:hAnsi="宋体" w:eastAsia="宋体" w:cs="宋体"/>
          <w:b/>
          <w:bCs w:val="0"/>
          <w:kern w:val="0"/>
          <w:sz w:val="28"/>
          <w:szCs w:val="28"/>
          <w:highlight w:val="none"/>
        </w:rPr>
        <w:t>第三章评标办法（综合评估法）</w:t>
      </w:r>
      <w:bookmarkEnd w:id="557"/>
      <w:bookmarkEnd w:id="558"/>
      <w:bookmarkEnd w:id="559"/>
      <w:bookmarkEnd w:id="560"/>
    </w:p>
    <w:p w14:paraId="0C1E2D8A">
      <w:pPr>
        <w:pStyle w:val="3"/>
        <w:snapToGrid w:val="0"/>
        <w:spacing w:before="240" w:after="120" w:line="240" w:lineRule="auto"/>
        <w:rPr>
          <w:rFonts w:ascii="宋体" w:hAnsi="宋体" w:eastAsia="宋体" w:cs="宋体"/>
          <w:b w:val="0"/>
          <w:bCs w:val="0"/>
          <w:sz w:val="24"/>
          <w:szCs w:val="24"/>
          <w:highlight w:val="none"/>
        </w:rPr>
      </w:pPr>
      <w:bookmarkStart w:id="561" w:name="_Toc38008019"/>
      <w:bookmarkStart w:id="562" w:name="_Toc447265274"/>
      <w:bookmarkStart w:id="563" w:name="_Toc450489344"/>
      <w:bookmarkStart w:id="564" w:name="_Toc447265560"/>
      <w:bookmarkStart w:id="565" w:name="_Toc9985"/>
      <w:bookmarkStart w:id="566" w:name="_Toc447265562"/>
      <w:bookmarkStart w:id="567" w:name="_Toc107822520"/>
      <w:bookmarkStart w:id="568" w:name="_Toc447265276"/>
      <w:bookmarkStart w:id="569" w:name="_Toc226969316"/>
      <w:bookmarkStart w:id="570" w:name="_Toc227057922"/>
      <w:r>
        <w:rPr>
          <w:rFonts w:hint="eastAsia" w:ascii="宋体" w:hAnsi="宋体" w:eastAsia="宋体" w:cs="宋体"/>
          <w:b w:val="0"/>
          <w:bCs w:val="0"/>
          <w:sz w:val="24"/>
          <w:szCs w:val="24"/>
          <w:highlight w:val="none"/>
        </w:rPr>
        <w:t>评标办法前附表</w:t>
      </w:r>
      <w:bookmarkEnd w:id="561"/>
      <w:bookmarkEnd w:id="562"/>
      <w:bookmarkEnd w:id="563"/>
      <w:bookmarkEnd w:id="564"/>
      <w:bookmarkEnd w:id="565"/>
    </w:p>
    <w:p w14:paraId="288486E8">
      <w:pPr>
        <w:adjustRightInd w:val="0"/>
        <w:snapToGrid w:val="0"/>
        <w:spacing w:line="440" w:lineRule="exact"/>
        <w:ind w:firstLine="420" w:firstLineChars="200"/>
        <w:rPr>
          <w:rFonts w:hint="eastAsia" w:cs="宋体" w:asciiTheme="minorEastAsia" w:hAnsiTheme="minorEastAsia" w:eastAsiaTheme="minorEastAsia"/>
          <w:szCs w:val="21"/>
          <w:highlight w:val="none"/>
        </w:rPr>
      </w:pPr>
      <w:r>
        <w:rPr>
          <w:rFonts w:hint="eastAsia" w:ascii="宋体" w:hAnsi="宋体" w:cs="宋体"/>
          <w:szCs w:val="21"/>
          <w:highlight w:val="none"/>
        </w:rPr>
        <w:t>本项目采用综合评估法，总分共100分，其中商务</w:t>
      </w:r>
      <w:r>
        <w:rPr>
          <w:rFonts w:hint="eastAsia" w:ascii="宋体" w:hAnsi="宋体" w:cs="宋体"/>
          <w:szCs w:val="21"/>
          <w:highlight w:val="none"/>
          <w:lang w:val="en-US" w:eastAsia="zh-CN"/>
        </w:rPr>
        <w:t>10</w:t>
      </w:r>
      <w:r>
        <w:rPr>
          <w:rFonts w:hint="eastAsia" w:ascii="宋体" w:hAnsi="宋体" w:cs="宋体"/>
          <w:szCs w:val="21"/>
          <w:highlight w:val="none"/>
        </w:rPr>
        <w:t>分，技术</w:t>
      </w:r>
      <w:r>
        <w:rPr>
          <w:rFonts w:hint="eastAsia" w:ascii="宋体" w:hAnsi="宋体" w:cs="宋体"/>
          <w:szCs w:val="21"/>
          <w:highlight w:val="none"/>
          <w:lang w:val="en-US" w:eastAsia="zh-CN"/>
        </w:rPr>
        <w:t>40</w:t>
      </w:r>
      <w:r>
        <w:rPr>
          <w:rFonts w:hint="eastAsia" w:ascii="宋体" w:hAnsi="宋体" w:cs="宋体"/>
          <w:szCs w:val="21"/>
          <w:highlight w:val="none"/>
        </w:rPr>
        <w:t>分，价格</w:t>
      </w:r>
      <w:r>
        <w:rPr>
          <w:rFonts w:hint="eastAsia" w:ascii="宋体" w:hAnsi="宋体" w:cs="宋体"/>
          <w:szCs w:val="21"/>
          <w:highlight w:val="none"/>
          <w:lang w:val="en-US" w:eastAsia="zh-CN"/>
        </w:rPr>
        <w:t>50</w:t>
      </w:r>
      <w:r>
        <w:rPr>
          <w:rFonts w:hint="eastAsia" w:ascii="宋体" w:hAnsi="宋体" w:cs="宋体"/>
          <w:szCs w:val="21"/>
          <w:highlight w:val="none"/>
        </w:rPr>
        <w:t>分。</w:t>
      </w:r>
      <w:r>
        <w:rPr>
          <w:rFonts w:hint="eastAsia" w:cs="宋体" w:asciiTheme="minorEastAsia" w:hAnsiTheme="minorEastAsia" w:eastAsiaTheme="minorEastAsia"/>
          <w:szCs w:val="21"/>
          <w:highlight w:val="none"/>
        </w:rPr>
        <w:t>评标时，评标委员会按照招标文件规定的量化因素和权重比值打分，</w:t>
      </w:r>
      <w:r>
        <w:rPr>
          <w:rFonts w:hint="eastAsia" w:cs="宋体" w:asciiTheme="minorEastAsia" w:hAnsiTheme="minorEastAsia" w:eastAsiaTheme="minorEastAsia"/>
          <w:kern w:val="0"/>
          <w:szCs w:val="21"/>
          <w:highlight w:val="none"/>
        </w:rPr>
        <w:t>按照《中国电信供应商不良行为管理规则》及处理结果，应对投标人的本次投标执行限制采购处理措施的</w:t>
      </w:r>
      <w:r>
        <w:rPr>
          <w:rFonts w:cs="宋体" w:asciiTheme="minorEastAsia" w:hAnsiTheme="minorEastAsia" w:eastAsiaTheme="minorEastAsia"/>
          <w:kern w:val="0"/>
          <w:szCs w:val="21"/>
          <w:highlight w:val="none"/>
        </w:rPr>
        <w:t>,</w:t>
      </w:r>
      <w:r>
        <w:rPr>
          <w:rFonts w:hint="eastAsia" w:cs="宋体" w:asciiTheme="minorEastAsia" w:hAnsiTheme="minorEastAsia" w:eastAsiaTheme="minorEastAsia"/>
          <w:kern w:val="0"/>
          <w:szCs w:val="21"/>
          <w:highlight w:val="none"/>
        </w:rPr>
        <w:t>评标委员会应按照该管理规则及处理结果扣减相应分值。</w:t>
      </w:r>
      <w:r>
        <w:rPr>
          <w:rFonts w:hint="eastAsia" w:cs="宋体" w:asciiTheme="minorEastAsia" w:hAnsiTheme="minorEastAsia" w:eastAsiaTheme="minorEastAsia"/>
          <w:szCs w:val="21"/>
          <w:highlight w:val="none"/>
        </w:rPr>
        <w:t>评标委员会全体成员对该投标人打分的算术平均值为该投标人的最终得分。</w:t>
      </w:r>
    </w:p>
    <w:tbl>
      <w:tblPr>
        <w:tblStyle w:val="42"/>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5"/>
        <w:gridCol w:w="1025"/>
        <w:gridCol w:w="976"/>
        <w:gridCol w:w="1799"/>
        <w:gridCol w:w="575"/>
        <w:gridCol w:w="4112"/>
      </w:tblGrid>
      <w:tr w14:paraId="189E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blHeader/>
          <w:jc w:val="center"/>
        </w:trPr>
        <w:tc>
          <w:tcPr>
            <w:tcW w:w="1650" w:type="dxa"/>
            <w:gridSpan w:val="2"/>
            <w:vAlign w:val="center"/>
          </w:tcPr>
          <w:p w14:paraId="66F61ED9">
            <w:pPr>
              <w:snapToGrid w:val="0"/>
              <w:jc w:val="center"/>
              <w:rPr>
                <w:rFonts w:ascii="宋体" w:hAnsi="宋体" w:cs="宋体"/>
                <w:kern w:val="0"/>
                <w:sz w:val="21"/>
                <w:szCs w:val="21"/>
                <w:highlight w:val="none"/>
              </w:rPr>
            </w:pPr>
            <w:r>
              <w:rPr>
                <w:rFonts w:hint="eastAsia" w:ascii="宋体" w:hAnsi="宋体" w:cs="宋体"/>
                <w:sz w:val="21"/>
                <w:szCs w:val="21"/>
                <w:highlight w:val="none"/>
              </w:rPr>
              <w:t>条款号</w:t>
            </w:r>
          </w:p>
        </w:tc>
        <w:tc>
          <w:tcPr>
            <w:tcW w:w="976" w:type="dxa"/>
            <w:vAlign w:val="center"/>
          </w:tcPr>
          <w:p w14:paraId="05B3DAFB">
            <w:pPr>
              <w:snapToGrid w:val="0"/>
              <w:jc w:val="center"/>
              <w:rPr>
                <w:rFonts w:ascii="宋体" w:hAnsi="宋体" w:cs="宋体"/>
                <w:sz w:val="21"/>
                <w:szCs w:val="21"/>
                <w:highlight w:val="none"/>
              </w:rPr>
            </w:pPr>
            <w:r>
              <w:rPr>
                <w:rFonts w:hint="eastAsia" w:ascii="宋体" w:hAnsi="宋体" w:cs="宋体"/>
                <w:kern w:val="0"/>
                <w:sz w:val="21"/>
                <w:szCs w:val="21"/>
                <w:highlight w:val="none"/>
              </w:rPr>
              <w:t>评审内容</w:t>
            </w:r>
          </w:p>
        </w:tc>
        <w:tc>
          <w:tcPr>
            <w:tcW w:w="1799" w:type="dxa"/>
            <w:vAlign w:val="center"/>
          </w:tcPr>
          <w:p w14:paraId="0C18559C">
            <w:pPr>
              <w:snapToGrid w:val="0"/>
              <w:jc w:val="center"/>
              <w:rPr>
                <w:rFonts w:ascii="宋体" w:hAnsi="宋体" w:cs="宋体"/>
                <w:sz w:val="21"/>
                <w:szCs w:val="21"/>
                <w:highlight w:val="none"/>
              </w:rPr>
            </w:pPr>
            <w:r>
              <w:rPr>
                <w:rFonts w:hint="eastAsia" w:ascii="宋体" w:hAnsi="宋体" w:cs="宋体"/>
                <w:kern w:val="0"/>
                <w:sz w:val="21"/>
                <w:szCs w:val="21"/>
                <w:highlight w:val="none"/>
              </w:rPr>
              <w:t>评审因素</w:t>
            </w:r>
          </w:p>
        </w:tc>
        <w:tc>
          <w:tcPr>
            <w:tcW w:w="4687" w:type="dxa"/>
            <w:gridSpan w:val="2"/>
            <w:vAlign w:val="center"/>
          </w:tcPr>
          <w:p w14:paraId="0E32DC3D">
            <w:pPr>
              <w:snapToGrid w:val="0"/>
              <w:jc w:val="center"/>
              <w:rPr>
                <w:rFonts w:ascii="宋体" w:hAnsi="宋体" w:cs="宋体"/>
                <w:sz w:val="21"/>
                <w:szCs w:val="21"/>
                <w:highlight w:val="none"/>
              </w:rPr>
            </w:pPr>
            <w:r>
              <w:rPr>
                <w:rFonts w:hint="eastAsia" w:ascii="宋体" w:hAnsi="宋体" w:cs="宋体"/>
                <w:kern w:val="0"/>
                <w:sz w:val="21"/>
                <w:szCs w:val="21"/>
                <w:highlight w:val="none"/>
              </w:rPr>
              <w:t>评审标准</w:t>
            </w:r>
          </w:p>
        </w:tc>
      </w:tr>
      <w:tr w14:paraId="326A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625" w:type="dxa"/>
            <w:vMerge w:val="restart"/>
            <w:vAlign w:val="center"/>
          </w:tcPr>
          <w:p w14:paraId="701A93A1">
            <w:pPr>
              <w:snapToGrid w:val="0"/>
              <w:jc w:val="center"/>
              <w:rPr>
                <w:rFonts w:ascii="宋体" w:hAnsi="宋体" w:cs="宋体"/>
                <w:sz w:val="21"/>
                <w:szCs w:val="21"/>
                <w:highlight w:val="none"/>
              </w:rPr>
            </w:pPr>
            <w:r>
              <w:rPr>
                <w:rFonts w:hint="eastAsia" w:ascii="宋体" w:hAnsi="宋体" w:cs="宋体"/>
                <w:sz w:val="21"/>
                <w:szCs w:val="21"/>
                <w:highlight w:val="none"/>
              </w:rPr>
              <w:t>2.1</w:t>
            </w:r>
          </w:p>
        </w:tc>
        <w:tc>
          <w:tcPr>
            <w:tcW w:w="1025" w:type="dxa"/>
            <w:vMerge w:val="restart"/>
            <w:vAlign w:val="center"/>
          </w:tcPr>
          <w:p w14:paraId="576DC1E1">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初步评审标准</w:t>
            </w:r>
          </w:p>
        </w:tc>
        <w:tc>
          <w:tcPr>
            <w:tcW w:w="976" w:type="dxa"/>
            <w:vMerge w:val="restart"/>
            <w:vAlign w:val="center"/>
          </w:tcPr>
          <w:p w14:paraId="42180D0E">
            <w:pPr>
              <w:snapToGrid w:val="0"/>
              <w:jc w:val="left"/>
              <w:rPr>
                <w:rFonts w:ascii="宋体" w:hAnsi="宋体" w:cs="宋体"/>
                <w:sz w:val="21"/>
                <w:szCs w:val="21"/>
                <w:highlight w:val="none"/>
              </w:rPr>
            </w:pPr>
            <w:r>
              <w:rPr>
                <w:rFonts w:hint="eastAsia" w:ascii="宋体" w:hAnsi="宋体" w:cs="宋体"/>
                <w:kern w:val="0"/>
                <w:sz w:val="21"/>
                <w:szCs w:val="21"/>
                <w:highlight w:val="none"/>
              </w:rPr>
              <w:t>形式评审</w:t>
            </w:r>
          </w:p>
        </w:tc>
        <w:tc>
          <w:tcPr>
            <w:tcW w:w="1799" w:type="dxa"/>
            <w:vAlign w:val="center"/>
          </w:tcPr>
          <w:p w14:paraId="32F0C0E1">
            <w:pPr>
              <w:snapToGrid w:val="0"/>
              <w:jc w:val="left"/>
              <w:rPr>
                <w:rFonts w:ascii="宋体" w:hAnsi="宋体" w:cs="宋体"/>
                <w:sz w:val="21"/>
                <w:szCs w:val="21"/>
                <w:highlight w:val="none"/>
              </w:rPr>
            </w:pPr>
            <w:r>
              <w:rPr>
                <w:rFonts w:hint="eastAsia" w:ascii="宋体" w:hAnsi="宋体" w:cs="宋体"/>
                <w:kern w:val="0"/>
                <w:sz w:val="21"/>
                <w:szCs w:val="21"/>
                <w:highlight w:val="none"/>
              </w:rPr>
              <w:t>投标人名称</w:t>
            </w:r>
          </w:p>
        </w:tc>
        <w:tc>
          <w:tcPr>
            <w:tcW w:w="4687" w:type="dxa"/>
            <w:gridSpan w:val="2"/>
            <w:vAlign w:val="center"/>
          </w:tcPr>
          <w:p w14:paraId="1864B255">
            <w:pPr>
              <w:snapToGrid w:val="0"/>
              <w:jc w:val="left"/>
              <w:rPr>
                <w:rFonts w:ascii="宋体" w:hAnsi="宋体" w:cs="宋体"/>
                <w:sz w:val="21"/>
                <w:szCs w:val="21"/>
                <w:highlight w:val="none"/>
              </w:rPr>
            </w:pPr>
            <w:r>
              <w:rPr>
                <w:rFonts w:hint="eastAsia" w:ascii="宋体" w:hAnsi="宋体" w:cs="宋体"/>
                <w:kern w:val="0"/>
                <w:sz w:val="21"/>
                <w:szCs w:val="21"/>
                <w:highlight w:val="none"/>
              </w:rPr>
              <w:t>与营业执照一致</w:t>
            </w:r>
          </w:p>
        </w:tc>
      </w:tr>
      <w:tr w14:paraId="46BE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5FF1DAE3">
            <w:pPr>
              <w:snapToGrid w:val="0"/>
              <w:jc w:val="center"/>
              <w:rPr>
                <w:rFonts w:ascii="宋体" w:hAnsi="宋体" w:cs="宋体"/>
                <w:sz w:val="21"/>
                <w:szCs w:val="21"/>
                <w:highlight w:val="none"/>
              </w:rPr>
            </w:pPr>
          </w:p>
        </w:tc>
        <w:tc>
          <w:tcPr>
            <w:tcW w:w="1025" w:type="dxa"/>
            <w:vMerge w:val="continue"/>
          </w:tcPr>
          <w:p w14:paraId="17C1D36D">
            <w:pPr>
              <w:snapToGrid w:val="0"/>
              <w:jc w:val="center"/>
              <w:rPr>
                <w:rFonts w:ascii="宋体" w:hAnsi="宋体" w:cs="宋体"/>
                <w:sz w:val="21"/>
                <w:szCs w:val="21"/>
                <w:highlight w:val="none"/>
              </w:rPr>
            </w:pPr>
          </w:p>
        </w:tc>
        <w:tc>
          <w:tcPr>
            <w:tcW w:w="976" w:type="dxa"/>
            <w:vMerge w:val="continue"/>
            <w:vAlign w:val="center"/>
          </w:tcPr>
          <w:p w14:paraId="0838079E">
            <w:pPr>
              <w:snapToGrid w:val="0"/>
              <w:jc w:val="left"/>
              <w:rPr>
                <w:rFonts w:ascii="宋体" w:hAnsi="宋体" w:cs="宋体"/>
                <w:sz w:val="21"/>
                <w:szCs w:val="21"/>
                <w:highlight w:val="none"/>
              </w:rPr>
            </w:pPr>
          </w:p>
        </w:tc>
        <w:tc>
          <w:tcPr>
            <w:tcW w:w="1799" w:type="dxa"/>
            <w:vAlign w:val="center"/>
          </w:tcPr>
          <w:p w14:paraId="62B85EAF">
            <w:pPr>
              <w:snapToGrid w:val="0"/>
              <w:jc w:val="left"/>
              <w:rPr>
                <w:rFonts w:ascii="宋体" w:hAnsi="宋体" w:cs="宋体"/>
                <w:kern w:val="0"/>
                <w:sz w:val="21"/>
                <w:szCs w:val="21"/>
                <w:highlight w:val="none"/>
              </w:rPr>
            </w:pPr>
            <w:r>
              <w:rPr>
                <w:rFonts w:hint="eastAsia" w:ascii="宋体" w:hAnsi="宋体" w:cs="宋体"/>
                <w:kern w:val="0"/>
                <w:sz w:val="21"/>
                <w:szCs w:val="21"/>
                <w:highlight w:val="none"/>
              </w:rPr>
              <w:t>投标函</w:t>
            </w:r>
          </w:p>
        </w:tc>
        <w:tc>
          <w:tcPr>
            <w:tcW w:w="4687" w:type="dxa"/>
            <w:gridSpan w:val="2"/>
            <w:vAlign w:val="center"/>
          </w:tcPr>
          <w:p w14:paraId="388B3E2A">
            <w:pPr>
              <w:snapToGrid w:val="0"/>
              <w:jc w:val="left"/>
              <w:rPr>
                <w:rFonts w:ascii="宋体" w:hAnsi="宋体"/>
                <w:sz w:val="21"/>
                <w:szCs w:val="21"/>
                <w:highlight w:val="none"/>
              </w:rPr>
            </w:pPr>
            <w:r>
              <w:rPr>
                <w:rFonts w:hint="eastAsia" w:ascii="宋体" w:hAnsi="宋体"/>
                <w:sz w:val="21"/>
                <w:szCs w:val="21"/>
                <w:highlight w:val="none"/>
              </w:rPr>
              <w:t>符合第二章“投标人须知”和第六章“投标文件格式”规定</w:t>
            </w:r>
          </w:p>
        </w:tc>
      </w:tr>
      <w:tr w14:paraId="62F1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379D3F56">
            <w:pPr>
              <w:snapToGrid w:val="0"/>
              <w:jc w:val="center"/>
              <w:rPr>
                <w:rFonts w:ascii="宋体" w:hAnsi="宋体" w:cs="宋体"/>
                <w:sz w:val="21"/>
                <w:szCs w:val="21"/>
                <w:highlight w:val="none"/>
              </w:rPr>
            </w:pPr>
          </w:p>
        </w:tc>
        <w:tc>
          <w:tcPr>
            <w:tcW w:w="1025" w:type="dxa"/>
            <w:vMerge w:val="continue"/>
          </w:tcPr>
          <w:p w14:paraId="14903DE7">
            <w:pPr>
              <w:snapToGrid w:val="0"/>
              <w:jc w:val="center"/>
              <w:rPr>
                <w:rFonts w:ascii="宋体" w:hAnsi="宋体" w:cs="宋体"/>
                <w:sz w:val="21"/>
                <w:szCs w:val="21"/>
                <w:highlight w:val="none"/>
              </w:rPr>
            </w:pPr>
          </w:p>
        </w:tc>
        <w:tc>
          <w:tcPr>
            <w:tcW w:w="976" w:type="dxa"/>
            <w:vMerge w:val="continue"/>
            <w:vAlign w:val="center"/>
          </w:tcPr>
          <w:p w14:paraId="3083969C">
            <w:pPr>
              <w:snapToGrid w:val="0"/>
              <w:jc w:val="left"/>
              <w:rPr>
                <w:rFonts w:ascii="宋体" w:hAnsi="宋体" w:cs="宋体"/>
                <w:sz w:val="21"/>
                <w:szCs w:val="21"/>
                <w:highlight w:val="none"/>
              </w:rPr>
            </w:pPr>
          </w:p>
        </w:tc>
        <w:tc>
          <w:tcPr>
            <w:tcW w:w="1799" w:type="dxa"/>
            <w:vAlign w:val="center"/>
          </w:tcPr>
          <w:p w14:paraId="4249855C">
            <w:pPr>
              <w:snapToGrid w:val="0"/>
              <w:jc w:val="left"/>
              <w:rPr>
                <w:rFonts w:ascii="宋体" w:hAnsi="宋体" w:cs="宋体"/>
                <w:sz w:val="21"/>
                <w:szCs w:val="21"/>
                <w:highlight w:val="none"/>
              </w:rPr>
            </w:pPr>
            <w:r>
              <w:rPr>
                <w:rFonts w:hint="eastAsia" w:ascii="宋体" w:hAnsi="宋体" w:cs="宋体"/>
                <w:kern w:val="0"/>
                <w:sz w:val="21"/>
                <w:szCs w:val="21"/>
                <w:highlight w:val="none"/>
              </w:rPr>
              <w:t>营业执照和资质证书</w:t>
            </w:r>
          </w:p>
        </w:tc>
        <w:tc>
          <w:tcPr>
            <w:tcW w:w="4687" w:type="dxa"/>
            <w:gridSpan w:val="2"/>
            <w:vAlign w:val="center"/>
          </w:tcPr>
          <w:p w14:paraId="751DE4F8">
            <w:pPr>
              <w:snapToGrid w:val="0"/>
              <w:jc w:val="left"/>
              <w:rPr>
                <w:rFonts w:ascii="宋体" w:hAnsi="宋体" w:cs="宋体"/>
                <w:sz w:val="21"/>
                <w:szCs w:val="21"/>
                <w:highlight w:val="none"/>
              </w:rPr>
            </w:pPr>
            <w:r>
              <w:rPr>
                <w:rFonts w:hint="eastAsia" w:ascii="宋体" w:hAnsi="宋体"/>
                <w:sz w:val="21"/>
                <w:szCs w:val="21"/>
                <w:highlight w:val="none"/>
              </w:rPr>
              <w:t>提供有效证明文件</w:t>
            </w:r>
          </w:p>
        </w:tc>
      </w:tr>
      <w:tr w14:paraId="75F6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1E7F1271">
            <w:pPr>
              <w:snapToGrid w:val="0"/>
              <w:ind w:firstLine="420" w:firstLineChars="200"/>
              <w:jc w:val="center"/>
              <w:rPr>
                <w:rFonts w:ascii="宋体" w:hAnsi="宋体" w:cs="宋体"/>
                <w:sz w:val="21"/>
                <w:szCs w:val="21"/>
                <w:highlight w:val="none"/>
              </w:rPr>
            </w:pPr>
          </w:p>
        </w:tc>
        <w:tc>
          <w:tcPr>
            <w:tcW w:w="1025" w:type="dxa"/>
            <w:vMerge w:val="continue"/>
          </w:tcPr>
          <w:p w14:paraId="7646506C">
            <w:pPr>
              <w:snapToGrid w:val="0"/>
              <w:jc w:val="center"/>
              <w:rPr>
                <w:rFonts w:ascii="宋体" w:hAnsi="宋体" w:cs="宋体"/>
                <w:sz w:val="21"/>
                <w:szCs w:val="21"/>
                <w:highlight w:val="none"/>
              </w:rPr>
            </w:pPr>
          </w:p>
        </w:tc>
        <w:tc>
          <w:tcPr>
            <w:tcW w:w="976" w:type="dxa"/>
            <w:vMerge w:val="continue"/>
            <w:vAlign w:val="center"/>
          </w:tcPr>
          <w:p w14:paraId="0F17201F">
            <w:pPr>
              <w:snapToGrid w:val="0"/>
              <w:jc w:val="left"/>
              <w:rPr>
                <w:rFonts w:ascii="宋体" w:hAnsi="宋体" w:cs="宋体"/>
                <w:sz w:val="21"/>
                <w:szCs w:val="21"/>
                <w:highlight w:val="none"/>
              </w:rPr>
            </w:pPr>
          </w:p>
        </w:tc>
        <w:tc>
          <w:tcPr>
            <w:tcW w:w="1799" w:type="dxa"/>
            <w:vAlign w:val="center"/>
          </w:tcPr>
          <w:p w14:paraId="2976A66A">
            <w:pPr>
              <w:snapToGrid w:val="0"/>
              <w:jc w:val="left"/>
              <w:rPr>
                <w:rFonts w:ascii="宋体" w:hAnsi="宋体" w:cs="宋体"/>
                <w:sz w:val="21"/>
                <w:szCs w:val="21"/>
                <w:highlight w:val="none"/>
              </w:rPr>
            </w:pPr>
            <w:r>
              <w:rPr>
                <w:rFonts w:hint="eastAsia" w:ascii="宋体" w:hAnsi="宋体" w:cs="宋体"/>
                <w:kern w:val="0"/>
                <w:sz w:val="21"/>
                <w:szCs w:val="21"/>
                <w:highlight w:val="none"/>
              </w:rPr>
              <w:t>投标文件签字盖章</w:t>
            </w:r>
          </w:p>
        </w:tc>
        <w:tc>
          <w:tcPr>
            <w:tcW w:w="4687" w:type="dxa"/>
            <w:gridSpan w:val="2"/>
            <w:vAlign w:val="center"/>
          </w:tcPr>
          <w:p w14:paraId="7C3B27F5">
            <w:pPr>
              <w:snapToGrid w:val="0"/>
              <w:jc w:val="left"/>
              <w:rPr>
                <w:rFonts w:ascii="宋体" w:hAnsi="宋体" w:cs="宋体"/>
                <w:sz w:val="21"/>
                <w:szCs w:val="21"/>
                <w:highlight w:val="none"/>
              </w:rPr>
            </w:pPr>
            <w:r>
              <w:rPr>
                <w:rFonts w:hint="eastAsia" w:ascii="宋体" w:hAnsi="宋体" w:cs="宋体"/>
                <w:kern w:val="0"/>
                <w:sz w:val="21"/>
                <w:szCs w:val="21"/>
                <w:highlight w:val="none"/>
              </w:rPr>
              <w:t>有法定代表人/负责人或其委托代理人签字或加盖单位公章</w:t>
            </w:r>
          </w:p>
        </w:tc>
      </w:tr>
      <w:tr w14:paraId="686C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3D6614D7">
            <w:pPr>
              <w:snapToGrid w:val="0"/>
              <w:ind w:firstLine="420" w:firstLineChars="200"/>
              <w:jc w:val="center"/>
              <w:rPr>
                <w:rFonts w:ascii="宋体" w:hAnsi="宋体" w:cs="宋体"/>
                <w:sz w:val="21"/>
                <w:szCs w:val="21"/>
                <w:highlight w:val="none"/>
              </w:rPr>
            </w:pPr>
          </w:p>
        </w:tc>
        <w:tc>
          <w:tcPr>
            <w:tcW w:w="1025" w:type="dxa"/>
            <w:vMerge w:val="continue"/>
          </w:tcPr>
          <w:p w14:paraId="3FE4F43F">
            <w:pPr>
              <w:snapToGrid w:val="0"/>
              <w:jc w:val="center"/>
              <w:rPr>
                <w:rFonts w:ascii="宋体" w:hAnsi="宋体" w:cs="宋体"/>
                <w:sz w:val="21"/>
                <w:szCs w:val="21"/>
                <w:highlight w:val="none"/>
              </w:rPr>
            </w:pPr>
          </w:p>
        </w:tc>
        <w:tc>
          <w:tcPr>
            <w:tcW w:w="976" w:type="dxa"/>
            <w:vMerge w:val="continue"/>
            <w:vAlign w:val="center"/>
          </w:tcPr>
          <w:p w14:paraId="39657C12">
            <w:pPr>
              <w:snapToGrid w:val="0"/>
              <w:jc w:val="left"/>
              <w:rPr>
                <w:rFonts w:ascii="宋体" w:hAnsi="宋体" w:cs="宋体"/>
                <w:sz w:val="21"/>
                <w:szCs w:val="21"/>
                <w:highlight w:val="none"/>
              </w:rPr>
            </w:pPr>
          </w:p>
        </w:tc>
        <w:tc>
          <w:tcPr>
            <w:tcW w:w="1799" w:type="dxa"/>
            <w:vAlign w:val="center"/>
          </w:tcPr>
          <w:p w14:paraId="40632394">
            <w:pPr>
              <w:snapToGrid w:val="0"/>
              <w:jc w:val="left"/>
              <w:rPr>
                <w:rFonts w:ascii="宋体" w:hAnsi="宋体" w:cs="宋体"/>
                <w:sz w:val="21"/>
                <w:szCs w:val="21"/>
                <w:highlight w:val="none"/>
              </w:rPr>
            </w:pPr>
            <w:r>
              <w:rPr>
                <w:rFonts w:hint="eastAsia" w:ascii="宋体" w:hAnsi="宋体" w:cs="宋体"/>
                <w:kern w:val="0"/>
                <w:sz w:val="21"/>
                <w:szCs w:val="21"/>
                <w:highlight w:val="none"/>
              </w:rPr>
              <w:t>法定代表人/负责人授权书</w:t>
            </w:r>
          </w:p>
        </w:tc>
        <w:tc>
          <w:tcPr>
            <w:tcW w:w="4687" w:type="dxa"/>
            <w:gridSpan w:val="2"/>
            <w:vAlign w:val="center"/>
          </w:tcPr>
          <w:p w14:paraId="160BF4C9">
            <w:pPr>
              <w:snapToGrid w:val="0"/>
              <w:jc w:val="left"/>
              <w:rPr>
                <w:rFonts w:ascii="宋体" w:hAnsi="宋体" w:cs="宋体"/>
                <w:sz w:val="21"/>
                <w:szCs w:val="21"/>
                <w:highlight w:val="none"/>
              </w:rPr>
            </w:pPr>
            <w:r>
              <w:rPr>
                <w:rFonts w:hint="eastAsia" w:ascii="宋体" w:hAnsi="宋体"/>
                <w:sz w:val="21"/>
                <w:szCs w:val="21"/>
                <w:highlight w:val="none"/>
              </w:rPr>
              <w:t>符合第二章“投标人须知前附表”规定和第六章“投标文件格式”规定</w:t>
            </w:r>
          </w:p>
        </w:tc>
      </w:tr>
      <w:tr w14:paraId="7494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35CD90C9">
            <w:pPr>
              <w:snapToGrid w:val="0"/>
              <w:ind w:firstLine="420" w:firstLineChars="200"/>
              <w:jc w:val="center"/>
              <w:rPr>
                <w:rFonts w:ascii="宋体" w:hAnsi="宋体" w:cs="宋体"/>
                <w:sz w:val="21"/>
                <w:szCs w:val="21"/>
                <w:highlight w:val="none"/>
              </w:rPr>
            </w:pPr>
          </w:p>
        </w:tc>
        <w:tc>
          <w:tcPr>
            <w:tcW w:w="1025" w:type="dxa"/>
            <w:vMerge w:val="continue"/>
          </w:tcPr>
          <w:p w14:paraId="5B47F5BD">
            <w:pPr>
              <w:snapToGrid w:val="0"/>
              <w:jc w:val="center"/>
              <w:rPr>
                <w:rFonts w:ascii="宋体" w:hAnsi="宋体" w:cs="宋体"/>
                <w:sz w:val="21"/>
                <w:szCs w:val="21"/>
                <w:highlight w:val="none"/>
              </w:rPr>
            </w:pPr>
          </w:p>
        </w:tc>
        <w:tc>
          <w:tcPr>
            <w:tcW w:w="976" w:type="dxa"/>
            <w:vMerge w:val="continue"/>
            <w:vAlign w:val="center"/>
          </w:tcPr>
          <w:p w14:paraId="141EA4DA">
            <w:pPr>
              <w:snapToGrid w:val="0"/>
              <w:jc w:val="left"/>
              <w:rPr>
                <w:rFonts w:ascii="宋体" w:hAnsi="宋体" w:cs="宋体"/>
                <w:sz w:val="21"/>
                <w:szCs w:val="21"/>
                <w:highlight w:val="none"/>
              </w:rPr>
            </w:pPr>
          </w:p>
        </w:tc>
        <w:tc>
          <w:tcPr>
            <w:tcW w:w="1799" w:type="dxa"/>
            <w:vAlign w:val="center"/>
          </w:tcPr>
          <w:p w14:paraId="751901FF">
            <w:pPr>
              <w:snapToGrid w:val="0"/>
              <w:jc w:val="left"/>
              <w:rPr>
                <w:rFonts w:ascii="宋体" w:hAnsi="宋体" w:cs="宋体"/>
                <w:sz w:val="21"/>
                <w:szCs w:val="21"/>
                <w:highlight w:val="none"/>
              </w:rPr>
            </w:pPr>
            <w:r>
              <w:rPr>
                <w:rFonts w:hint="eastAsia" w:ascii="宋体" w:hAnsi="宋体" w:cs="宋体"/>
                <w:kern w:val="0"/>
                <w:sz w:val="21"/>
                <w:szCs w:val="21"/>
                <w:highlight w:val="none"/>
              </w:rPr>
              <w:t>投标文件格式</w:t>
            </w:r>
          </w:p>
        </w:tc>
        <w:tc>
          <w:tcPr>
            <w:tcW w:w="4687" w:type="dxa"/>
            <w:gridSpan w:val="2"/>
            <w:vAlign w:val="center"/>
          </w:tcPr>
          <w:p w14:paraId="5CB7F93B">
            <w:pPr>
              <w:snapToGrid w:val="0"/>
              <w:jc w:val="left"/>
              <w:rPr>
                <w:rFonts w:ascii="宋体" w:hAnsi="宋体" w:cs="宋体"/>
                <w:sz w:val="21"/>
                <w:szCs w:val="21"/>
                <w:highlight w:val="none"/>
              </w:rPr>
            </w:pPr>
            <w:r>
              <w:rPr>
                <w:rFonts w:hint="eastAsia" w:ascii="宋体" w:hAnsi="宋体"/>
                <w:sz w:val="21"/>
                <w:szCs w:val="21"/>
                <w:highlight w:val="none"/>
              </w:rPr>
              <w:t>符合第二章“投标人须知前附表”规定和第六章“投标文件格式”规定</w:t>
            </w:r>
          </w:p>
        </w:tc>
      </w:tr>
      <w:tr w14:paraId="504C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4DA7DA13">
            <w:pPr>
              <w:snapToGrid w:val="0"/>
              <w:ind w:firstLine="420" w:firstLineChars="200"/>
              <w:jc w:val="center"/>
              <w:rPr>
                <w:rFonts w:ascii="宋体" w:hAnsi="宋体" w:cs="宋体"/>
                <w:sz w:val="21"/>
                <w:szCs w:val="21"/>
                <w:highlight w:val="none"/>
              </w:rPr>
            </w:pPr>
          </w:p>
        </w:tc>
        <w:tc>
          <w:tcPr>
            <w:tcW w:w="1025" w:type="dxa"/>
            <w:vMerge w:val="continue"/>
          </w:tcPr>
          <w:p w14:paraId="631F0177">
            <w:pPr>
              <w:snapToGrid w:val="0"/>
              <w:jc w:val="center"/>
              <w:rPr>
                <w:rFonts w:ascii="宋体" w:hAnsi="宋体" w:cs="宋体"/>
                <w:sz w:val="21"/>
                <w:szCs w:val="21"/>
                <w:highlight w:val="none"/>
              </w:rPr>
            </w:pPr>
          </w:p>
        </w:tc>
        <w:tc>
          <w:tcPr>
            <w:tcW w:w="976" w:type="dxa"/>
            <w:vMerge w:val="continue"/>
            <w:vAlign w:val="center"/>
          </w:tcPr>
          <w:p w14:paraId="352E4F19">
            <w:pPr>
              <w:snapToGrid w:val="0"/>
              <w:jc w:val="left"/>
              <w:rPr>
                <w:rFonts w:ascii="宋体" w:hAnsi="宋体" w:cs="宋体"/>
                <w:sz w:val="21"/>
                <w:szCs w:val="21"/>
                <w:highlight w:val="none"/>
              </w:rPr>
            </w:pPr>
          </w:p>
        </w:tc>
        <w:tc>
          <w:tcPr>
            <w:tcW w:w="1799" w:type="dxa"/>
            <w:vAlign w:val="center"/>
          </w:tcPr>
          <w:p w14:paraId="00FC282E">
            <w:pPr>
              <w:snapToGrid w:val="0"/>
              <w:jc w:val="left"/>
              <w:rPr>
                <w:rFonts w:ascii="宋体" w:hAnsi="宋体" w:cs="宋体"/>
                <w:sz w:val="21"/>
                <w:szCs w:val="21"/>
                <w:highlight w:val="none"/>
              </w:rPr>
            </w:pPr>
            <w:r>
              <w:rPr>
                <w:rFonts w:hint="eastAsia" w:ascii="宋体" w:hAnsi="宋体" w:cs="宋体"/>
                <w:kern w:val="0"/>
                <w:sz w:val="21"/>
                <w:szCs w:val="21"/>
                <w:highlight w:val="none"/>
              </w:rPr>
              <w:t>投标保证金</w:t>
            </w:r>
          </w:p>
        </w:tc>
        <w:tc>
          <w:tcPr>
            <w:tcW w:w="4687" w:type="dxa"/>
            <w:gridSpan w:val="2"/>
            <w:vAlign w:val="center"/>
          </w:tcPr>
          <w:p w14:paraId="0D07744D">
            <w:pPr>
              <w:snapToGrid w:val="0"/>
              <w:jc w:val="left"/>
              <w:rPr>
                <w:rFonts w:ascii="宋体" w:hAnsi="宋体" w:cs="宋体"/>
                <w:sz w:val="21"/>
                <w:szCs w:val="21"/>
                <w:highlight w:val="none"/>
              </w:rPr>
            </w:pPr>
            <w:r>
              <w:rPr>
                <w:rFonts w:hint="eastAsia" w:ascii="宋体" w:hAnsi="宋体"/>
                <w:sz w:val="21"/>
                <w:szCs w:val="21"/>
                <w:highlight w:val="none"/>
              </w:rPr>
              <w:t>符合第二章“投标人须知前附表”关于投标保证金的规定</w:t>
            </w:r>
          </w:p>
        </w:tc>
      </w:tr>
      <w:tr w14:paraId="1059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79D4EDF0">
            <w:pPr>
              <w:snapToGrid w:val="0"/>
              <w:ind w:firstLine="420" w:firstLineChars="200"/>
              <w:jc w:val="center"/>
              <w:rPr>
                <w:rFonts w:ascii="宋体" w:hAnsi="宋体" w:cs="宋体"/>
                <w:sz w:val="21"/>
                <w:szCs w:val="21"/>
                <w:highlight w:val="none"/>
              </w:rPr>
            </w:pPr>
          </w:p>
        </w:tc>
        <w:tc>
          <w:tcPr>
            <w:tcW w:w="1025" w:type="dxa"/>
            <w:vMerge w:val="continue"/>
          </w:tcPr>
          <w:p w14:paraId="300C34E1">
            <w:pPr>
              <w:snapToGrid w:val="0"/>
              <w:jc w:val="center"/>
              <w:rPr>
                <w:rFonts w:ascii="宋体" w:hAnsi="宋体" w:cs="宋体"/>
                <w:sz w:val="21"/>
                <w:szCs w:val="21"/>
                <w:highlight w:val="none"/>
              </w:rPr>
            </w:pPr>
          </w:p>
        </w:tc>
        <w:tc>
          <w:tcPr>
            <w:tcW w:w="976" w:type="dxa"/>
            <w:vMerge w:val="restart"/>
            <w:vAlign w:val="center"/>
          </w:tcPr>
          <w:p w14:paraId="61B0844C">
            <w:pPr>
              <w:snapToGrid w:val="0"/>
              <w:jc w:val="left"/>
              <w:rPr>
                <w:rFonts w:ascii="宋体" w:hAnsi="宋体" w:cs="宋体"/>
                <w:sz w:val="21"/>
                <w:szCs w:val="21"/>
                <w:highlight w:val="none"/>
              </w:rPr>
            </w:pPr>
            <w:r>
              <w:rPr>
                <w:rFonts w:hint="eastAsia" w:ascii="宋体" w:hAnsi="宋体" w:cs="宋体"/>
                <w:kern w:val="0"/>
                <w:sz w:val="21"/>
                <w:szCs w:val="21"/>
                <w:highlight w:val="none"/>
              </w:rPr>
              <w:t>资格评审</w:t>
            </w:r>
          </w:p>
        </w:tc>
        <w:tc>
          <w:tcPr>
            <w:tcW w:w="1799" w:type="dxa"/>
            <w:vAlign w:val="center"/>
          </w:tcPr>
          <w:p w14:paraId="33CA7EF6">
            <w:pPr>
              <w:keepNext w:val="0"/>
              <w:keepLines w:val="0"/>
              <w:pageBreakBefore w:val="0"/>
              <w:widowControl w:val="0"/>
              <w:kinsoku/>
              <w:wordWrap/>
              <w:overflowPunct/>
              <w:topLinePunct w:val="0"/>
              <w:autoSpaceDE/>
              <w:autoSpaceDN/>
              <w:bidi w:val="0"/>
              <w:adjustRightInd/>
              <w:snapToGrid w:val="0"/>
              <w:spacing w:line="240" w:lineRule="exact"/>
              <w:jc w:val="center"/>
              <w:textAlignment w:val="auto"/>
              <w:rPr>
                <w:rFonts w:hint="default" w:ascii="宋体" w:hAnsi="宋体" w:eastAsia="宋体" w:cs="宋体"/>
                <w:sz w:val="21"/>
                <w:szCs w:val="21"/>
                <w:highlight w:val="none"/>
                <w:lang w:val="en-US" w:eastAsia="zh-CN"/>
              </w:rPr>
            </w:pPr>
            <w:r>
              <w:rPr>
                <w:rFonts w:hint="eastAsia" w:ascii="宋体" w:hAnsi="宋体" w:cs="宋体"/>
                <w:kern w:val="0"/>
                <w:sz w:val="21"/>
                <w:szCs w:val="21"/>
                <w:highlight w:val="none"/>
                <w:lang w:val="en-US" w:eastAsia="zh-CN"/>
              </w:rPr>
              <w:t>基本要求</w:t>
            </w:r>
          </w:p>
        </w:tc>
        <w:tc>
          <w:tcPr>
            <w:tcW w:w="4687" w:type="dxa"/>
            <w:gridSpan w:val="2"/>
            <w:vAlign w:val="center"/>
          </w:tcPr>
          <w:p w14:paraId="60D8B5E3">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jc w:val="left"/>
              <w:textAlignment w:val="auto"/>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1.投标人应为中华人民共和国境内法律上和财务上独立的法人或依法登记注册的其他组织，合法运作并独立于招标人和招标代理机构。法人下属不具备法人资格的分支机构参与投标的，应提供所属法人针对本项目或覆盖本项目的经营事项的有效授权。</w:t>
            </w:r>
          </w:p>
          <w:p w14:paraId="0C3608DB">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2.本项目要求投标人满足以下财务要求：投标人能够或承诺能够为本项目开具增值税专用发票。（须提供证明材料或承诺函）</w:t>
            </w:r>
          </w:p>
          <w:p w14:paraId="3B72D31A">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3.投标人的法定代表人或负责人为同一人或者存在控股、管理关系的不同投标人，不得参加同一标包投标或者未划分标包的同一招标项目投标。</w:t>
            </w:r>
          </w:p>
          <w:p w14:paraId="37F6FC53">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ascii="宋体" w:hAnsi="宋体" w:cs="宋体"/>
                <w:sz w:val="21"/>
                <w:szCs w:val="21"/>
                <w:highlight w:val="none"/>
              </w:rPr>
            </w:pPr>
            <w:r>
              <w:rPr>
                <w:rFonts w:hint="eastAsia" w:ascii="宋体" w:hAnsi="宋体" w:cs="宋体"/>
                <w:sz w:val="21"/>
                <w:szCs w:val="21"/>
                <w:highlight w:val="none"/>
                <w:lang w:val="en-US" w:eastAsia="zh-CN"/>
              </w:rPr>
              <w:t>4.本次招标不接受联合体投标，不允许转包和违法分包。</w:t>
            </w:r>
          </w:p>
        </w:tc>
      </w:tr>
      <w:tr w14:paraId="7ABD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25" w:type="dxa"/>
            <w:vMerge w:val="continue"/>
            <w:vAlign w:val="center"/>
          </w:tcPr>
          <w:p w14:paraId="01636B7D">
            <w:pPr>
              <w:snapToGrid w:val="0"/>
              <w:ind w:firstLine="420" w:firstLineChars="200"/>
              <w:jc w:val="center"/>
              <w:rPr>
                <w:rFonts w:ascii="宋体" w:hAnsi="宋体" w:cs="宋体"/>
                <w:sz w:val="21"/>
                <w:szCs w:val="21"/>
                <w:highlight w:val="none"/>
              </w:rPr>
            </w:pPr>
          </w:p>
        </w:tc>
        <w:tc>
          <w:tcPr>
            <w:tcW w:w="1025" w:type="dxa"/>
            <w:vMerge w:val="continue"/>
          </w:tcPr>
          <w:p w14:paraId="63EDDB3D">
            <w:pPr>
              <w:snapToGrid w:val="0"/>
              <w:jc w:val="center"/>
              <w:rPr>
                <w:rFonts w:ascii="宋体" w:hAnsi="宋体" w:cs="宋体"/>
                <w:sz w:val="21"/>
                <w:szCs w:val="21"/>
                <w:highlight w:val="none"/>
              </w:rPr>
            </w:pPr>
          </w:p>
        </w:tc>
        <w:tc>
          <w:tcPr>
            <w:tcW w:w="976" w:type="dxa"/>
            <w:vMerge w:val="continue"/>
            <w:vAlign w:val="center"/>
          </w:tcPr>
          <w:p w14:paraId="25024ACD">
            <w:pPr>
              <w:snapToGrid w:val="0"/>
              <w:jc w:val="left"/>
              <w:rPr>
                <w:rFonts w:ascii="宋体" w:hAnsi="宋体" w:cs="宋体"/>
                <w:kern w:val="0"/>
                <w:sz w:val="21"/>
                <w:szCs w:val="21"/>
                <w:highlight w:val="none"/>
              </w:rPr>
            </w:pPr>
          </w:p>
        </w:tc>
        <w:tc>
          <w:tcPr>
            <w:tcW w:w="1799" w:type="dxa"/>
            <w:vAlign w:val="center"/>
          </w:tcPr>
          <w:p w14:paraId="5BD2B4F2">
            <w:pPr>
              <w:keepNext w:val="0"/>
              <w:keepLines w:val="0"/>
              <w:pageBreakBefore w:val="0"/>
              <w:widowControl w:val="0"/>
              <w:kinsoku/>
              <w:wordWrap/>
              <w:overflowPunct/>
              <w:topLinePunct w:val="0"/>
              <w:autoSpaceDE/>
              <w:autoSpaceDN/>
              <w:bidi w:val="0"/>
              <w:adjustRightInd/>
              <w:snapToGrid w:val="0"/>
              <w:spacing w:line="240" w:lineRule="exact"/>
              <w:jc w:val="center"/>
              <w:textAlignment w:val="auto"/>
              <w:rPr>
                <w:rFonts w:hint="default" w:ascii="宋体" w:hAnsi="宋体" w:cs="宋体"/>
                <w:kern w:val="0"/>
                <w:sz w:val="21"/>
                <w:szCs w:val="21"/>
                <w:highlight w:val="none"/>
                <w:lang w:val="en-US" w:eastAsia="zh-CN"/>
              </w:rPr>
            </w:pPr>
            <w:r>
              <w:rPr>
                <w:rFonts w:hint="eastAsia" w:ascii="宋体" w:hAnsi="宋体" w:cs="宋体"/>
                <w:kern w:val="0"/>
                <w:sz w:val="21"/>
                <w:szCs w:val="21"/>
                <w:highlight w:val="none"/>
                <w:lang w:val="en-US" w:eastAsia="zh-CN"/>
              </w:rPr>
              <w:t>业绩要求</w:t>
            </w:r>
          </w:p>
        </w:tc>
        <w:tc>
          <w:tcPr>
            <w:tcW w:w="4687" w:type="dxa"/>
            <w:gridSpan w:val="2"/>
            <w:vAlign w:val="center"/>
          </w:tcPr>
          <w:p w14:paraId="0C9E49E0">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投标人须具备2021年1月1日至投标截止时间的类似项目（采控中心、采集、网管等系统开发）业绩，应满足下列要求：须提供合同或框架协议，合同须提供关键页复印件（首页、金额页、签字盖章页），如提供框架协议或集中采购合同，必须提供相应的订单或其他证明材料，单项合同时间以合同签订时间为准，框架协议或集中采购合同以订单或其他证明材料时间为准。资料不全、评标委员会无法确定业绩的不予认可。</w:t>
            </w:r>
          </w:p>
        </w:tc>
      </w:tr>
      <w:tr w14:paraId="3626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7F66D283">
            <w:pPr>
              <w:snapToGrid w:val="0"/>
              <w:ind w:firstLine="420" w:firstLineChars="200"/>
              <w:jc w:val="center"/>
              <w:rPr>
                <w:rFonts w:ascii="宋体" w:hAnsi="宋体" w:cs="宋体"/>
                <w:sz w:val="21"/>
                <w:szCs w:val="21"/>
                <w:highlight w:val="none"/>
              </w:rPr>
            </w:pPr>
          </w:p>
        </w:tc>
        <w:tc>
          <w:tcPr>
            <w:tcW w:w="1025" w:type="dxa"/>
            <w:vMerge w:val="continue"/>
          </w:tcPr>
          <w:p w14:paraId="18A3631F">
            <w:pPr>
              <w:snapToGrid w:val="0"/>
              <w:jc w:val="center"/>
              <w:rPr>
                <w:rFonts w:ascii="宋体" w:hAnsi="宋体" w:cs="宋体"/>
                <w:sz w:val="21"/>
                <w:szCs w:val="21"/>
                <w:highlight w:val="none"/>
              </w:rPr>
            </w:pPr>
          </w:p>
        </w:tc>
        <w:tc>
          <w:tcPr>
            <w:tcW w:w="976" w:type="dxa"/>
            <w:vMerge w:val="continue"/>
            <w:vAlign w:val="center"/>
          </w:tcPr>
          <w:p w14:paraId="216A9DAA">
            <w:pPr>
              <w:snapToGrid w:val="0"/>
              <w:jc w:val="left"/>
              <w:rPr>
                <w:rFonts w:ascii="宋体" w:hAnsi="宋体" w:cs="宋体"/>
                <w:kern w:val="0"/>
                <w:sz w:val="21"/>
                <w:szCs w:val="21"/>
                <w:highlight w:val="none"/>
              </w:rPr>
            </w:pPr>
          </w:p>
        </w:tc>
        <w:tc>
          <w:tcPr>
            <w:tcW w:w="1799" w:type="dxa"/>
            <w:vAlign w:val="center"/>
          </w:tcPr>
          <w:p w14:paraId="199FA155">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ascii="宋体" w:hAnsi="宋体" w:cs="宋体"/>
                <w:kern w:val="0"/>
                <w:sz w:val="21"/>
                <w:szCs w:val="21"/>
                <w:highlight w:val="none"/>
              </w:rPr>
            </w:pPr>
            <w:r>
              <w:rPr>
                <w:rFonts w:hint="eastAsia" w:ascii="宋体" w:hAnsi="宋体" w:cs="宋体"/>
                <w:kern w:val="0"/>
                <w:sz w:val="21"/>
                <w:szCs w:val="21"/>
                <w:highlight w:val="none"/>
              </w:rPr>
              <w:t>不得存在的情形</w:t>
            </w:r>
          </w:p>
        </w:tc>
        <w:tc>
          <w:tcPr>
            <w:tcW w:w="4687" w:type="dxa"/>
            <w:gridSpan w:val="2"/>
            <w:vAlign w:val="center"/>
          </w:tcPr>
          <w:p w14:paraId="20764F6A">
            <w:pPr>
              <w:numPr>
                <w:ilvl w:val="0"/>
                <w:numId w:val="0"/>
              </w:numPr>
              <w:tabs>
                <w:tab w:val="left" w:pos="0"/>
                <w:tab w:val="left" w:pos="993"/>
              </w:tabs>
              <w:spacing w:line="240" w:lineRule="auto"/>
              <w:ind w:left="0" w:leftChars="0" w:firstLine="0" w:firstLineChars="0"/>
              <w:rPr>
                <w:rFonts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1）</w:t>
            </w:r>
            <w:r>
              <w:rPr>
                <w:rFonts w:hint="eastAsia" w:asciiTheme="minorEastAsia" w:hAnsiTheme="minorEastAsia" w:eastAsiaTheme="minorEastAsia"/>
                <w:szCs w:val="21"/>
                <w:highlight w:val="none"/>
              </w:rPr>
              <w:t>为招标人不具有独立法人资格的附属机构（单位）；</w:t>
            </w:r>
          </w:p>
          <w:p w14:paraId="14F6903D">
            <w:pPr>
              <w:numPr>
                <w:ilvl w:val="0"/>
                <w:numId w:val="0"/>
              </w:numPr>
              <w:tabs>
                <w:tab w:val="left" w:pos="0"/>
                <w:tab w:val="left" w:pos="993"/>
              </w:tabs>
              <w:spacing w:line="240" w:lineRule="auto"/>
              <w:ind w:left="0" w:leftChars="0" w:firstLine="0" w:firstLineChars="0"/>
              <w:rPr>
                <w:rFonts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2）</w:t>
            </w:r>
            <w:r>
              <w:rPr>
                <w:rFonts w:hint="eastAsia" w:asciiTheme="minorEastAsia" w:hAnsiTheme="minorEastAsia" w:eastAsiaTheme="minorEastAsia"/>
                <w:szCs w:val="21"/>
                <w:highlight w:val="none"/>
              </w:rPr>
              <w:t>被依法暂停或取消投标资格的；</w:t>
            </w:r>
          </w:p>
          <w:p w14:paraId="41B479EC">
            <w:pPr>
              <w:numPr>
                <w:ilvl w:val="0"/>
                <w:numId w:val="0"/>
              </w:numPr>
              <w:tabs>
                <w:tab w:val="left" w:pos="0"/>
                <w:tab w:val="left" w:pos="993"/>
              </w:tabs>
              <w:spacing w:line="240" w:lineRule="auto"/>
              <w:ind w:left="0" w:leftChars="0" w:firstLine="0" w:firstLineChars="0"/>
              <w:rPr>
                <w:rFonts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3）</w:t>
            </w:r>
            <w:r>
              <w:rPr>
                <w:rFonts w:asciiTheme="minorEastAsia" w:hAnsiTheme="minorEastAsia" w:eastAsiaTheme="minorEastAsia"/>
                <w:szCs w:val="21"/>
                <w:highlight w:val="none"/>
              </w:rPr>
              <w:t>被责令停产停业、暂扣或者吊销许可证、暂扣或者吊销执照；</w:t>
            </w:r>
          </w:p>
          <w:p w14:paraId="34CA9698">
            <w:pPr>
              <w:numPr>
                <w:ilvl w:val="0"/>
                <w:numId w:val="0"/>
              </w:numPr>
              <w:tabs>
                <w:tab w:val="left" w:pos="0"/>
                <w:tab w:val="left" w:pos="993"/>
              </w:tabs>
              <w:spacing w:line="240" w:lineRule="auto"/>
              <w:ind w:left="0" w:leftChars="0" w:firstLine="0" w:firstLineChars="0"/>
              <w:rPr>
                <w:rFonts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4）</w:t>
            </w:r>
            <w:r>
              <w:rPr>
                <w:rFonts w:asciiTheme="minorEastAsia" w:hAnsiTheme="minorEastAsia" w:eastAsiaTheme="minorEastAsia"/>
                <w:szCs w:val="21"/>
                <w:highlight w:val="none"/>
              </w:rPr>
              <w:t>进入清算程序，或被宣告破产，或其他丧失履约能力的情形；</w:t>
            </w:r>
          </w:p>
          <w:p w14:paraId="5252352A">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szCs w:val="21"/>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5）</w:t>
            </w:r>
            <w:r>
              <w:rPr>
                <w:rFonts w:hint="eastAsia" w:asciiTheme="minorEastAsia" w:hAnsiTheme="minorEastAsia" w:eastAsiaTheme="minorEastAsia"/>
                <w:highlight w:val="none"/>
              </w:rPr>
              <w:t>在最近三年内[投标截止时间前36个月]被相关行业主管部门或司法机关认定有骗取中标、严重违约、重大工程质量或者安全问题的；</w:t>
            </w:r>
          </w:p>
          <w:p w14:paraId="1529DCD2">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6）</w:t>
            </w:r>
            <w:r>
              <w:rPr>
                <w:rFonts w:hint="eastAsia" w:asciiTheme="minorEastAsia" w:hAnsiTheme="minorEastAsia" w:eastAsiaTheme="minorEastAsia"/>
                <w:highlight w:val="none"/>
              </w:rPr>
              <w:t>在最近五年内[投标截止时间前60个月]被判处单位行贿罪，且行贿行为与采购活动相关的（以“中国裁判文书网”的生效判决为准）；</w:t>
            </w:r>
          </w:p>
          <w:p w14:paraId="00C49900">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7）</w:t>
            </w:r>
            <w:r>
              <w:rPr>
                <w:rFonts w:hint="eastAsia" w:asciiTheme="minorEastAsia" w:hAnsiTheme="minorEastAsia" w:eastAsiaTheme="minorEastAsia"/>
                <w:highlight w:val="none"/>
              </w:rPr>
              <w:t>在最近五年内[投标截止时间前60个月]被判处合同诈骗罪的（以“中国裁判文书网”的生效判决为准）；</w:t>
            </w:r>
          </w:p>
          <w:p w14:paraId="5D17705D">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8）</w:t>
            </w:r>
            <w:r>
              <w:rPr>
                <w:rFonts w:hint="eastAsia" w:asciiTheme="minorEastAsia" w:hAnsiTheme="minorEastAsia" w:eastAsiaTheme="minorEastAsia"/>
                <w:highlight w:val="none"/>
              </w:rPr>
              <w:t>被最高人民法院认定为失信被执行人的</w:t>
            </w:r>
            <w:r>
              <w:rPr>
                <w:rFonts w:asciiTheme="minorEastAsia" w:hAnsiTheme="minorEastAsia" w:eastAsiaTheme="minorEastAsia"/>
                <w:highlight w:val="none"/>
              </w:rPr>
              <w:t>(以“信用中国”网站（www.creditchina.gov.cn）或各级信用信息共享平台</w:t>
            </w:r>
            <w:r>
              <w:rPr>
                <w:rFonts w:hint="eastAsia" w:asciiTheme="minorEastAsia" w:hAnsiTheme="minorEastAsia" w:eastAsiaTheme="minorEastAsia"/>
                <w:highlight w:val="none"/>
              </w:rPr>
              <w:t>公布的</w:t>
            </w:r>
            <w:r>
              <w:rPr>
                <w:rFonts w:asciiTheme="minorEastAsia" w:hAnsiTheme="minorEastAsia" w:eastAsiaTheme="minorEastAsia"/>
                <w:highlight w:val="none"/>
              </w:rPr>
              <w:t>失信被执行人名单</w:t>
            </w:r>
            <w:r>
              <w:rPr>
                <w:rFonts w:hint="eastAsia" w:asciiTheme="minorEastAsia" w:hAnsiTheme="minorEastAsia" w:eastAsiaTheme="minorEastAsia"/>
                <w:highlight w:val="none"/>
              </w:rPr>
              <w:t>为准</w:t>
            </w:r>
            <w:r>
              <w:rPr>
                <w:rFonts w:asciiTheme="minorEastAsia" w:hAnsiTheme="minorEastAsia" w:eastAsiaTheme="minorEastAsia"/>
                <w:highlight w:val="none"/>
              </w:rPr>
              <w:t>)</w:t>
            </w:r>
            <w:r>
              <w:rPr>
                <w:rFonts w:hint="eastAsia" w:asciiTheme="minorEastAsia" w:hAnsiTheme="minorEastAsia" w:eastAsiaTheme="minorEastAsia"/>
                <w:highlight w:val="none"/>
              </w:rPr>
              <w:t>，已执行完毕或不再执行的除外</w:t>
            </w:r>
            <w:r>
              <w:rPr>
                <w:rFonts w:asciiTheme="minorEastAsia" w:hAnsiTheme="minorEastAsia" w:eastAsiaTheme="minorEastAsia"/>
                <w:highlight w:val="none"/>
              </w:rPr>
              <w:t>；</w:t>
            </w:r>
          </w:p>
          <w:p w14:paraId="539E64FB">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9）</w:t>
            </w:r>
            <w:r>
              <w:rPr>
                <w:rFonts w:hint="eastAsia" w:asciiTheme="minorEastAsia" w:hAnsiTheme="minorEastAsia" w:eastAsiaTheme="minorEastAsia"/>
                <w:highlight w:val="none"/>
              </w:rPr>
              <w:t>为本招标项目提供过设计、编制技术规范和其他文件的咨询服务；</w:t>
            </w:r>
          </w:p>
          <w:p w14:paraId="697B0BD6">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10）</w:t>
            </w:r>
            <w:r>
              <w:rPr>
                <w:rFonts w:hint="eastAsia" w:asciiTheme="minorEastAsia" w:hAnsiTheme="minorEastAsia" w:eastAsiaTheme="minorEastAsia"/>
                <w:highlight w:val="none"/>
              </w:rPr>
              <w:t>为本工程项目的相关监理人，或者与本工程项目的相关监理人存在隶属关系或者其他利害关系；</w:t>
            </w:r>
          </w:p>
          <w:p w14:paraId="74E878C1">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11）</w:t>
            </w:r>
            <w:r>
              <w:rPr>
                <w:rFonts w:hint="eastAsia" w:asciiTheme="minorEastAsia" w:hAnsiTheme="minorEastAsia" w:eastAsiaTheme="minorEastAsia"/>
                <w:highlight w:val="none"/>
              </w:rPr>
              <w:t>为本招标项目的代建人；</w:t>
            </w:r>
          </w:p>
          <w:p w14:paraId="57D4CAF8">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12）</w:t>
            </w:r>
            <w:r>
              <w:rPr>
                <w:rFonts w:hint="eastAsia" w:asciiTheme="minorEastAsia" w:hAnsiTheme="minorEastAsia" w:eastAsiaTheme="minorEastAsia"/>
                <w:highlight w:val="none"/>
              </w:rPr>
              <w:t>为本招标项目的招标代理机构；</w:t>
            </w:r>
          </w:p>
          <w:p w14:paraId="662238D1">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13）</w:t>
            </w:r>
            <w:r>
              <w:rPr>
                <w:rFonts w:hint="eastAsia" w:asciiTheme="minorEastAsia" w:hAnsiTheme="minorEastAsia" w:eastAsiaTheme="minorEastAsia"/>
                <w:highlight w:val="none"/>
              </w:rPr>
              <w:t>与本招标项目的监理人或代建人或招标代理机构同为一个法定代表人；</w:t>
            </w:r>
          </w:p>
          <w:p w14:paraId="7084D0FD">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14）</w:t>
            </w:r>
            <w:r>
              <w:rPr>
                <w:rFonts w:hint="eastAsia" w:asciiTheme="minorEastAsia" w:hAnsiTheme="minorEastAsia" w:eastAsiaTheme="minorEastAsia"/>
                <w:highlight w:val="none"/>
              </w:rPr>
              <w:t>与本招标项目的监理人或代建人或招标代理机构存在控股或参股关系；</w:t>
            </w:r>
          </w:p>
          <w:p w14:paraId="4BDFAA0A">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15）</w:t>
            </w:r>
            <w:r>
              <w:rPr>
                <w:rFonts w:hint="eastAsia" w:asciiTheme="minorEastAsia" w:hAnsiTheme="minorEastAsia" w:eastAsiaTheme="minorEastAsia"/>
                <w:highlight w:val="none"/>
              </w:rPr>
              <w:t>被工商行政管理机关在国家企业信用信息公示系统中列入严重违法失信企业名单</w:t>
            </w:r>
            <w:r>
              <w:rPr>
                <w:rFonts w:asciiTheme="minorEastAsia" w:hAnsiTheme="minorEastAsia" w:eastAsiaTheme="minorEastAsia"/>
                <w:highlight w:val="none"/>
              </w:rPr>
              <w:t>的；</w:t>
            </w:r>
          </w:p>
          <w:p w14:paraId="4CA1D297">
            <w:pPr>
              <w:numPr>
                <w:ilvl w:val="0"/>
                <w:numId w:val="0"/>
              </w:numPr>
              <w:tabs>
                <w:tab w:val="left" w:pos="0"/>
                <w:tab w:val="left" w:pos="993"/>
                <w:tab w:val="left" w:pos="2564"/>
              </w:tabs>
              <w:spacing w:line="240" w:lineRule="auto"/>
              <w:ind w:left="0" w:leftChars="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16）</w:t>
            </w:r>
            <w:r>
              <w:rPr>
                <w:rFonts w:hint="eastAsia" w:asciiTheme="minorEastAsia" w:hAnsiTheme="minorEastAsia" w:eastAsiaTheme="minorEastAsia"/>
                <w:highlight w:val="none"/>
              </w:rPr>
              <w:t>其他按照《中国电信供应商不良行为管理规则》及处理结果，应对投标人及其投标产品品类在本项目中执行禁止采购处理措施的。同一标包或未划分标包的同一招标项目涉及多个产品的，投标人及其任一投标产品品类涉及相关禁止采购处理结果的，该标包或招标项目应适用相关的禁止采购处理措施；</w:t>
            </w:r>
          </w:p>
          <w:p w14:paraId="6BD1F49F">
            <w:pPr>
              <w:pStyle w:val="56"/>
              <w:numPr>
                <w:ilvl w:val="0"/>
                <w:numId w:val="0"/>
              </w:numPr>
              <w:adjustRightInd w:val="0"/>
              <w:snapToGrid w:val="0"/>
              <w:spacing w:line="240" w:lineRule="auto"/>
              <w:ind w:left="0" w:leftChars="0" w:firstLine="0" w:firstLineChars="0"/>
              <w:rPr>
                <w:rFonts w:ascii="宋体" w:hAnsi="宋体" w:cs="宋体"/>
                <w:kern w:val="0"/>
                <w:sz w:val="21"/>
                <w:szCs w:val="21"/>
                <w:highlight w:val="none"/>
              </w:rPr>
            </w:pP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17）</w:t>
            </w:r>
            <w:r>
              <w:rPr>
                <w:rFonts w:hint="eastAsia" w:asciiTheme="minorEastAsia" w:hAnsiTheme="minorEastAsia" w:eastAsiaTheme="minorEastAsia"/>
                <w:highlight w:val="none"/>
              </w:rPr>
              <w:t>法律法规、招标文件限定的其他情形。</w:t>
            </w:r>
          </w:p>
        </w:tc>
      </w:tr>
      <w:tr w14:paraId="6F0F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625" w:type="dxa"/>
            <w:vMerge w:val="continue"/>
            <w:vAlign w:val="center"/>
          </w:tcPr>
          <w:p w14:paraId="0FC4D2CE">
            <w:pPr>
              <w:snapToGrid w:val="0"/>
              <w:ind w:firstLine="420" w:firstLineChars="200"/>
              <w:jc w:val="center"/>
              <w:rPr>
                <w:rFonts w:ascii="宋体" w:hAnsi="宋体" w:cs="宋体"/>
                <w:sz w:val="21"/>
                <w:szCs w:val="21"/>
                <w:highlight w:val="none"/>
              </w:rPr>
            </w:pPr>
          </w:p>
        </w:tc>
        <w:tc>
          <w:tcPr>
            <w:tcW w:w="1025" w:type="dxa"/>
            <w:vMerge w:val="continue"/>
          </w:tcPr>
          <w:p w14:paraId="77431A28">
            <w:pPr>
              <w:snapToGrid w:val="0"/>
              <w:jc w:val="center"/>
              <w:rPr>
                <w:rFonts w:ascii="宋体" w:hAnsi="宋体" w:cs="宋体"/>
                <w:sz w:val="21"/>
                <w:szCs w:val="21"/>
                <w:highlight w:val="none"/>
              </w:rPr>
            </w:pPr>
          </w:p>
        </w:tc>
        <w:tc>
          <w:tcPr>
            <w:tcW w:w="976" w:type="dxa"/>
            <w:vMerge w:val="restart"/>
            <w:vAlign w:val="center"/>
          </w:tcPr>
          <w:p w14:paraId="183089D8">
            <w:pPr>
              <w:snapToGrid w:val="0"/>
              <w:jc w:val="left"/>
              <w:rPr>
                <w:rFonts w:ascii="宋体" w:hAnsi="宋体" w:cs="宋体"/>
                <w:kern w:val="0"/>
                <w:sz w:val="21"/>
                <w:szCs w:val="21"/>
                <w:highlight w:val="none"/>
              </w:rPr>
            </w:pPr>
            <w:r>
              <w:rPr>
                <w:rFonts w:hint="eastAsia" w:ascii="宋体" w:hAnsi="宋体" w:cs="宋体"/>
                <w:kern w:val="0"/>
                <w:sz w:val="21"/>
                <w:szCs w:val="21"/>
                <w:highlight w:val="none"/>
              </w:rPr>
              <w:t>响应性评审</w:t>
            </w:r>
          </w:p>
        </w:tc>
        <w:tc>
          <w:tcPr>
            <w:tcW w:w="1799" w:type="dxa"/>
            <w:vAlign w:val="center"/>
          </w:tcPr>
          <w:p w14:paraId="75212A67">
            <w:pPr>
              <w:keepNext w:val="0"/>
              <w:keepLines w:val="0"/>
              <w:pageBreakBefore w:val="0"/>
              <w:widowControl w:val="0"/>
              <w:kinsoku/>
              <w:wordWrap/>
              <w:overflowPunct/>
              <w:topLinePunct w:val="0"/>
              <w:autoSpaceDE/>
              <w:autoSpaceDN/>
              <w:bidi w:val="0"/>
              <w:adjustRightInd/>
              <w:snapToGrid w:val="0"/>
              <w:spacing w:line="240" w:lineRule="exact"/>
              <w:jc w:val="center"/>
              <w:textAlignment w:val="auto"/>
              <w:rPr>
                <w:rFonts w:ascii="宋体" w:hAnsi="宋体" w:cs="宋体"/>
                <w:kern w:val="0"/>
                <w:sz w:val="21"/>
                <w:szCs w:val="21"/>
                <w:highlight w:val="none"/>
              </w:rPr>
            </w:pPr>
            <w:r>
              <w:rPr>
                <w:rFonts w:hint="eastAsia" w:ascii="宋体" w:hAnsi="宋体" w:cs="宋体"/>
                <w:kern w:val="0"/>
                <w:sz w:val="21"/>
                <w:szCs w:val="21"/>
                <w:highlight w:val="none"/>
              </w:rPr>
              <w:t>投标有效期</w:t>
            </w:r>
          </w:p>
        </w:tc>
        <w:tc>
          <w:tcPr>
            <w:tcW w:w="4687" w:type="dxa"/>
            <w:gridSpan w:val="2"/>
            <w:vAlign w:val="center"/>
          </w:tcPr>
          <w:p w14:paraId="60DDB276">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default" w:ascii="宋体" w:hAnsi="宋体" w:eastAsia="宋体"/>
                <w:sz w:val="21"/>
                <w:szCs w:val="21"/>
                <w:highlight w:val="none"/>
                <w:lang w:val="en-US" w:eastAsia="zh-CN"/>
              </w:rPr>
            </w:pPr>
            <w:r>
              <w:rPr>
                <w:rFonts w:hint="eastAsia" w:ascii="宋体" w:hAnsi="宋体"/>
                <w:sz w:val="21"/>
                <w:szCs w:val="21"/>
                <w:highlight w:val="none"/>
                <w:lang w:val="en-US" w:eastAsia="zh-CN"/>
              </w:rPr>
              <w:t>120天</w:t>
            </w:r>
          </w:p>
        </w:tc>
      </w:tr>
      <w:tr w14:paraId="750A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625" w:type="dxa"/>
            <w:vMerge w:val="continue"/>
            <w:vAlign w:val="center"/>
          </w:tcPr>
          <w:p w14:paraId="56376B38">
            <w:pPr>
              <w:snapToGrid w:val="0"/>
              <w:ind w:firstLine="420" w:firstLineChars="200"/>
              <w:jc w:val="center"/>
              <w:rPr>
                <w:rFonts w:ascii="宋体" w:hAnsi="宋体" w:cs="宋体"/>
                <w:sz w:val="21"/>
                <w:szCs w:val="21"/>
                <w:highlight w:val="none"/>
              </w:rPr>
            </w:pPr>
          </w:p>
        </w:tc>
        <w:tc>
          <w:tcPr>
            <w:tcW w:w="1025" w:type="dxa"/>
            <w:vMerge w:val="continue"/>
          </w:tcPr>
          <w:p w14:paraId="7E28B5EF">
            <w:pPr>
              <w:snapToGrid w:val="0"/>
              <w:jc w:val="center"/>
              <w:rPr>
                <w:rFonts w:ascii="宋体" w:hAnsi="宋体" w:cs="宋体"/>
                <w:sz w:val="21"/>
                <w:szCs w:val="21"/>
                <w:highlight w:val="none"/>
              </w:rPr>
            </w:pPr>
          </w:p>
        </w:tc>
        <w:tc>
          <w:tcPr>
            <w:tcW w:w="976" w:type="dxa"/>
            <w:vMerge w:val="continue"/>
            <w:vAlign w:val="center"/>
          </w:tcPr>
          <w:p w14:paraId="59CD892A">
            <w:pPr>
              <w:snapToGrid w:val="0"/>
              <w:jc w:val="left"/>
              <w:rPr>
                <w:rFonts w:ascii="宋体" w:hAnsi="宋体" w:cs="宋体"/>
                <w:sz w:val="21"/>
                <w:szCs w:val="21"/>
                <w:highlight w:val="none"/>
              </w:rPr>
            </w:pPr>
          </w:p>
        </w:tc>
        <w:tc>
          <w:tcPr>
            <w:tcW w:w="1799" w:type="dxa"/>
            <w:vAlign w:val="center"/>
          </w:tcPr>
          <w:p w14:paraId="3BD451A7">
            <w:pPr>
              <w:keepNext w:val="0"/>
              <w:keepLines w:val="0"/>
              <w:pageBreakBefore w:val="0"/>
              <w:widowControl w:val="0"/>
              <w:kinsoku/>
              <w:wordWrap/>
              <w:overflowPunct/>
              <w:topLinePunct w:val="0"/>
              <w:autoSpaceDE/>
              <w:autoSpaceDN/>
              <w:bidi w:val="0"/>
              <w:adjustRightInd/>
              <w:snapToGrid w:val="0"/>
              <w:spacing w:line="240" w:lineRule="exact"/>
              <w:jc w:val="center"/>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技术规范应答</w:t>
            </w:r>
          </w:p>
        </w:tc>
        <w:tc>
          <w:tcPr>
            <w:tcW w:w="4687" w:type="dxa"/>
            <w:gridSpan w:val="2"/>
            <w:vAlign w:val="center"/>
          </w:tcPr>
          <w:p w14:paraId="03472AE5">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不存在负偏离</w:t>
            </w:r>
          </w:p>
        </w:tc>
      </w:tr>
      <w:tr w14:paraId="163B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625" w:type="dxa"/>
            <w:vMerge w:val="continue"/>
            <w:vAlign w:val="center"/>
          </w:tcPr>
          <w:p w14:paraId="050F432C">
            <w:pPr>
              <w:snapToGrid w:val="0"/>
              <w:ind w:firstLine="420" w:firstLineChars="200"/>
              <w:jc w:val="center"/>
              <w:rPr>
                <w:rFonts w:ascii="宋体" w:hAnsi="宋体" w:cs="宋体"/>
                <w:sz w:val="21"/>
                <w:szCs w:val="21"/>
                <w:highlight w:val="none"/>
              </w:rPr>
            </w:pPr>
          </w:p>
        </w:tc>
        <w:tc>
          <w:tcPr>
            <w:tcW w:w="1025" w:type="dxa"/>
            <w:vMerge w:val="continue"/>
          </w:tcPr>
          <w:p w14:paraId="34C5306D">
            <w:pPr>
              <w:snapToGrid w:val="0"/>
              <w:jc w:val="center"/>
              <w:rPr>
                <w:rFonts w:ascii="宋体" w:hAnsi="宋体" w:cs="宋体"/>
                <w:sz w:val="21"/>
                <w:szCs w:val="21"/>
                <w:highlight w:val="none"/>
              </w:rPr>
            </w:pPr>
          </w:p>
        </w:tc>
        <w:tc>
          <w:tcPr>
            <w:tcW w:w="976" w:type="dxa"/>
            <w:vMerge w:val="continue"/>
            <w:vAlign w:val="center"/>
          </w:tcPr>
          <w:p w14:paraId="713FFDAA">
            <w:pPr>
              <w:snapToGrid w:val="0"/>
              <w:jc w:val="left"/>
              <w:rPr>
                <w:rFonts w:ascii="宋体" w:hAnsi="宋体" w:cs="宋体"/>
                <w:kern w:val="0"/>
                <w:sz w:val="21"/>
                <w:szCs w:val="21"/>
                <w:highlight w:val="none"/>
              </w:rPr>
            </w:pPr>
          </w:p>
        </w:tc>
        <w:tc>
          <w:tcPr>
            <w:tcW w:w="1799" w:type="dxa"/>
            <w:vAlign w:val="center"/>
          </w:tcPr>
          <w:p w14:paraId="744D9647">
            <w:pPr>
              <w:keepNext w:val="0"/>
              <w:keepLines w:val="0"/>
              <w:pageBreakBefore w:val="0"/>
              <w:widowControl w:val="0"/>
              <w:kinsoku/>
              <w:wordWrap/>
              <w:overflowPunct/>
              <w:topLinePunct w:val="0"/>
              <w:autoSpaceDE/>
              <w:autoSpaceDN/>
              <w:bidi w:val="0"/>
              <w:adjustRightInd/>
              <w:spacing w:line="240" w:lineRule="exact"/>
              <w:jc w:val="center"/>
              <w:textAlignment w:val="auto"/>
              <w:rPr>
                <w:rFonts w:ascii="宋体" w:hAnsi="宋体" w:cs="宋体"/>
                <w:sz w:val="21"/>
                <w:szCs w:val="21"/>
                <w:highlight w:val="none"/>
              </w:rPr>
            </w:pPr>
            <w:r>
              <w:rPr>
                <w:rFonts w:hint="eastAsia" w:ascii="宋体" w:hAnsi="宋体" w:cs="宋体"/>
                <w:sz w:val="21"/>
                <w:szCs w:val="21"/>
                <w:highlight w:val="none"/>
              </w:rPr>
              <w:t>合同条款应答</w:t>
            </w:r>
          </w:p>
        </w:tc>
        <w:tc>
          <w:tcPr>
            <w:tcW w:w="4687" w:type="dxa"/>
            <w:gridSpan w:val="2"/>
            <w:vAlign w:val="center"/>
          </w:tcPr>
          <w:p w14:paraId="28A6B86E">
            <w:pPr>
              <w:keepNext w:val="0"/>
              <w:keepLines w:val="0"/>
              <w:pageBreakBefore w:val="0"/>
              <w:widowControl w:val="0"/>
              <w:kinsoku/>
              <w:wordWrap/>
              <w:overflowPunct/>
              <w:topLinePunct w:val="0"/>
              <w:autoSpaceDE/>
              <w:autoSpaceDN/>
              <w:bidi w:val="0"/>
              <w:adjustRightInd/>
              <w:spacing w:line="240" w:lineRule="exact"/>
              <w:jc w:val="left"/>
              <w:textAlignment w:val="auto"/>
              <w:rPr>
                <w:rFonts w:ascii="宋体" w:hAnsi="宋体" w:cs="宋体"/>
                <w:sz w:val="21"/>
                <w:szCs w:val="21"/>
                <w:highlight w:val="none"/>
              </w:rPr>
            </w:pPr>
            <w:r>
              <w:rPr>
                <w:rFonts w:hint="eastAsia" w:ascii="宋体" w:hAnsi="宋体" w:cs="宋体"/>
                <w:color w:val="000000"/>
                <w:sz w:val="21"/>
                <w:szCs w:val="21"/>
                <w:highlight w:val="none"/>
              </w:rPr>
              <w:t>不存在负偏离</w:t>
            </w:r>
          </w:p>
        </w:tc>
      </w:tr>
      <w:tr w14:paraId="6498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625" w:type="dxa"/>
            <w:vMerge w:val="continue"/>
            <w:vAlign w:val="center"/>
          </w:tcPr>
          <w:p w14:paraId="0EE6D38C">
            <w:pPr>
              <w:snapToGrid w:val="0"/>
              <w:ind w:firstLine="420" w:firstLineChars="200"/>
              <w:jc w:val="center"/>
              <w:rPr>
                <w:rFonts w:ascii="宋体" w:hAnsi="宋体" w:cs="宋体"/>
                <w:sz w:val="21"/>
                <w:szCs w:val="21"/>
                <w:highlight w:val="none"/>
              </w:rPr>
            </w:pPr>
          </w:p>
        </w:tc>
        <w:tc>
          <w:tcPr>
            <w:tcW w:w="1025" w:type="dxa"/>
            <w:vMerge w:val="continue"/>
          </w:tcPr>
          <w:p w14:paraId="0D461CB7">
            <w:pPr>
              <w:snapToGrid w:val="0"/>
              <w:jc w:val="center"/>
              <w:rPr>
                <w:rFonts w:ascii="宋体" w:hAnsi="宋体" w:cs="宋体"/>
                <w:sz w:val="21"/>
                <w:szCs w:val="21"/>
                <w:highlight w:val="none"/>
              </w:rPr>
            </w:pPr>
          </w:p>
        </w:tc>
        <w:tc>
          <w:tcPr>
            <w:tcW w:w="976" w:type="dxa"/>
            <w:vMerge w:val="continue"/>
            <w:vAlign w:val="center"/>
          </w:tcPr>
          <w:p w14:paraId="01C3431F">
            <w:pPr>
              <w:snapToGrid w:val="0"/>
              <w:jc w:val="left"/>
              <w:rPr>
                <w:rFonts w:ascii="宋体" w:hAnsi="宋体" w:cs="宋体"/>
                <w:sz w:val="21"/>
                <w:szCs w:val="21"/>
                <w:highlight w:val="none"/>
              </w:rPr>
            </w:pPr>
          </w:p>
        </w:tc>
        <w:tc>
          <w:tcPr>
            <w:tcW w:w="1799" w:type="dxa"/>
            <w:vAlign w:val="center"/>
          </w:tcPr>
          <w:p w14:paraId="7E54E913">
            <w:pPr>
              <w:keepNext w:val="0"/>
              <w:keepLines w:val="0"/>
              <w:pageBreakBefore w:val="0"/>
              <w:widowControl w:val="0"/>
              <w:kinsoku/>
              <w:wordWrap/>
              <w:overflowPunct/>
              <w:topLinePunct w:val="0"/>
              <w:autoSpaceDE/>
              <w:autoSpaceDN/>
              <w:bidi w:val="0"/>
              <w:adjustRightInd/>
              <w:spacing w:line="240" w:lineRule="exact"/>
              <w:jc w:val="center"/>
              <w:textAlignment w:val="auto"/>
              <w:rPr>
                <w:rFonts w:hint="eastAsia" w:ascii="宋体" w:hAnsi="宋体" w:cs="宋体"/>
                <w:sz w:val="21"/>
                <w:szCs w:val="21"/>
                <w:highlight w:val="none"/>
                <w:lang w:val="en-US" w:eastAsia="zh-CN"/>
              </w:rPr>
            </w:pPr>
            <w:r>
              <w:rPr>
                <w:rFonts w:hint="eastAsia" w:ascii="宋体" w:hAnsi="宋体" w:cs="宋体"/>
                <w:sz w:val="21"/>
                <w:szCs w:val="21"/>
                <w:highlight w:val="none"/>
              </w:rPr>
              <w:t>实质性条款应答</w:t>
            </w:r>
          </w:p>
        </w:tc>
        <w:tc>
          <w:tcPr>
            <w:tcW w:w="4687" w:type="dxa"/>
            <w:gridSpan w:val="2"/>
            <w:vAlign w:val="center"/>
          </w:tcPr>
          <w:p w14:paraId="139BED08">
            <w:pPr>
              <w:keepNext w:val="0"/>
              <w:keepLines w:val="0"/>
              <w:pageBreakBefore w:val="0"/>
              <w:widowControl w:val="0"/>
              <w:kinsoku/>
              <w:wordWrap/>
              <w:overflowPunct/>
              <w:topLinePunct w:val="0"/>
              <w:autoSpaceDE/>
              <w:autoSpaceDN/>
              <w:bidi w:val="0"/>
              <w:adjustRightInd/>
              <w:spacing w:line="240" w:lineRule="exact"/>
              <w:jc w:val="both"/>
              <w:textAlignment w:val="auto"/>
              <w:rPr>
                <w:rFonts w:hint="eastAsia" w:ascii="宋体" w:hAnsi="宋体" w:cs="宋体"/>
                <w:sz w:val="21"/>
                <w:szCs w:val="21"/>
                <w:highlight w:val="none"/>
              </w:rPr>
            </w:pPr>
            <w:r>
              <w:rPr>
                <w:rFonts w:hint="eastAsia" w:ascii="宋体" w:hAnsi="宋体" w:cs="宋体"/>
                <w:sz w:val="21"/>
                <w:szCs w:val="21"/>
                <w:highlight w:val="none"/>
              </w:rPr>
              <w:t>满足招标文件中标识“★”条款的要求</w:t>
            </w:r>
          </w:p>
        </w:tc>
      </w:tr>
      <w:tr w14:paraId="0F98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625" w:type="dxa"/>
            <w:vMerge w:val="continue"/>
            <w:vAlign w:val="center"/>
          </w:tcPr>
          <w:p w14:paraId="64ACE97B">
            <w:pPr>
              <w:snapToGrid w:val="0"/>
              <w:ind w:firstLine="420" w:firstLineChars="200"/>
              <w:jc w:val="center"/>
              <w:rPr>
                <w:rFonts w:ascii="宋体" w:hAnsi="宋体" w:cs="宋体"/>
                <w:sz w:val="21"/>
                <w:szCs w:val="21"/>
                <w:highlight w:val="none"/>
              </w:rPr>
            </w:pPr>
          </w:p>
        </w:tc>
        <w:tc>
          <w:tcPr>
            <w:tcW w:w="1025" w:type="dxa"/>
            <w:vMerge w:val="continue"/>
          </w:tcPr>
          <w:p w14:paraId="59EA6972">
            <w:pPr>
              <w:snapToGrid w:val="0"/>
              <w:jc w:val="center"/>
              <w:rPr>
                <w:rFonts w:ascii="宋体" w:hAnsi="宋体" w:cs="宋体"/>
                <w:sz w:val="21"/>
                <w:szCs w:val="21"/>
                <w:highlight w:val="none"/>
              </w:rPr>
            </w:pPr>
          </w:p>
        </w:tc>
        <w:tc>
          <w:tcPr>
            <w:tcW w:w="976" w:type="dxa"/>
            <w:vMerge w:val="continue"/>
            <w:vAlign w:val="center"/>
          </w:tcPr>
          <w:p w14:paraId="31FD8C7C">
            <w:pPr>
              <w:snapToGrid w:val="0"/>
              <w:jc w:val="left"/>
              <w:rPr>
                <w:rFonts w:ascii="宋体" w:hAnsi="宋体" w:cs="宋体"/>
                <w:sz w:val="21"/>
                <w:szCs w:val="21"/>
                <w:highlight w:val="none"/>
              </w:rPr>
            </w:pPr>
          </w:p>
        </w:tc>
        <w:tc>
          <w:tcPr>
            <w:tcW w:w="1799" w:type="dxa"/>
            <w:vAlign w:val="center"/>
          </w:tcPr>
          <w:p w14:paraId="2432F363">
            <w:pPr>
              <w:keepNext w:val="0"/>
              <w:keepLines w:val="0"/>
              <w:pageBreakBefore w:val="0"/>
              <w:widowControl w:val="0"/>
              <w:kinsoku/>
              <w:wordWrap/>
              <w:overflowPunct/>
              <w:topLinePunct w:val="0"/>
              <w:autoSpaceDE/>
              <w:autoSpaceDN/>
              <w:bidi w:val="0"/>
              <w:adjustRightInd/>
              <w:spacing w:line="240" w:lineRule="exact"/>
              <w:jc w:val="center"/>
              <w:textAlignment w:val="auto"/>
              <w:rPr>
                <w:rFonts w:ascii="宋体" w:hAnsi="宋体" w:cs="宋体"/>
                <w:sz w:val="21"/>
                <w:szCs w:val="21"/>
                <w:highlight w:val="none"/>
              </w:rPr>
            </w:pPr>
            <w:r>
              <w:rPr>
                <w:rFonts w:hint="eastAsia" w:ascii="宋体" w:hAnsi="宋体" w:eastAsia="宋体" w:cs="宋体"/>
                <w:sz w:val="21"/>
                <w:szCs w:val="21"/>
                <w:highlight w:val="none"/>
              </w:rPr>
              <w:t>报价唯一且有效</w:t>
            </w:r>
          </w:p>
        </w:tc>
        <w:tc>
          <w:tcPr>
            <w:tcW w:w="4687" w:type="dxa"/>
            <w:gridSpan w:val="2"/>
            <w:vAlign w:val="center"/>
          </w:tcPr>
          <w:p w14:paraId="271731C1">
            <w:pPr>
              <w:keepNext w:val="0"/>
              <w:keepLines w:val="0"/>
              <w:pageBreakBefore w:val="0"/>
              <w:widowControl w:val="0"/>
              <w:kinsoku/>
              <w:wordWrap/>
              <w:overflowPunct/>
              <w:topLinePunct w:val="0"/>
              <w:autoSpaceDE/>
              <w:autoSpaceDN/>
              <w:bidi w:val="0"/>
              <w:adjustRightInd/>
              <w:spacing w:line="240" w:lineRule="exact"/>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rPr>
              <w:t>具有唯一有效报价</w:t>
            </w:r>
            <w:r>
              <w:rPr>
                <w:rFonts w:hint="eastAsia" w:ascii="宋体" w:hAnsi="宋体" w:cs="宋体"/>
                <w:sz w:val="21"/>
                <w:szCs w:val="21"/>
                <w:highlight w:val="none"/>
                <w:lang w:val="en-US" w:eastAsia="zh-CN"/>
              </w:rPr>
              <w:t>且不高于最高投标限价</w:t>
            </w:r>
          </w:p>
        </w:tc>
      </w:tr>
      <w:tr w14:paraId="01FF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625" w:type="dxa"/>
            <w:vMerge w:val="continue"/>
            <w:vAlign w:val="center"/>
          </w:tcPr>
          <w:p w14:paraId="62C2A73F">
            <w:pPr>
              <w:snapToGrid w:val="0"/>
              <w:ind w:firstLine="420" w:firstLineChars="200"/>
              <w:jc w:val="center"/>
              <w:rPr>
                <w:rFonts w:ascii="宋体" w:hAnsi="宋体" w:cs="宋体"/>
                <w:sz w:val="21"/>
                <w:szCs w:val="21"/>
                <w:highlight w:val="none"/>
              </w:rPr>
            </w:pPr>
          </w:p>
        </w:tc>
        <w:tc>
          <w:tcPr>
            <w:tcW w:w="1025" w:type="dxa"/>
            <w:vMerge w:val="continue"/>
          </w:tcPr>
          <w:p w14:paraId="1BAC8DFE">
            <w:pPr>
              <w:snapToGrid w:val="0"/>
              <w:jc w:val="center"/>
              <w:rPr>
                <w:rFonts w:ascii="宋体" w:hAnsi="宋体" w:cs="宋体"/>
                <w:sz w:val="21"/>
                <w:szCs w:val="21"/>
                <w:highlight w:val="none"/>
              </w:rPr>
            </w:pPr>
          </w:p>
        </w:tc>
        <w:tc>
          <w:tcPr>
            <w:tcW w:w="976" w:type="dxa"/>
            <w:vMerge w:val="continue"/>
            <w:vAlign w:val="center"/>
          </w:tcPr>
          <w:p w14:paraId="5655C5D2">
            <w:pPr>
              <w:snapToGrid w:val="0"/>
              <w:jc w:val="left"/>
              <w:rPr>
                <w:rFonts w:ascii="宋体" w:hAnsi="宋体" w:cs="宋体"/>
                <w:sz w:val="21"/>
                <w:szCs w:val="21"/>
                <w:highlight w:val="none"/>
              </w:rPr>
            </w:pPr>
          </w:p>
        </w:tc>
        <w:tc>
          <w:tcPr>
            <w:tcW w:w="1799" w:type="dxa"/>
            <w:vAlign w:val="center"/>
          </w:tcPr>
          <w:p w14:paraId="1CA73BD1">
            <w:pPr>
              <w:jc w:val="center"/>
              <w:rPr>
                <w:rFonts w:hint="eastAsia" w:ascii="宋体" w:hAnsi="宋体" w:eastAsia="宋体" w:cs="宋体"/>
                <w:sz w:val="21"/>
                <w:szCs w:val="21"/>
                <w:highlight w:val="none"/>
              </w:rPr>
            </w:pPr>
            <w:r>
              <w:rPr>
                <w:rFonts w:hint="eastAsia" w:ascii="宋体" w:hAnsi="宋体" w:cs="宋体"/>
                <w:szCs w:val="21"/>
                <w:highlight w:val="none"/>
              </w:rPr>
              <w:t>其他</w:t>
            </w:r>
          </w:p>
        </w:tc>
        <w:tc>
          <w:tcPr>
            <w:tcW w:w="4687" w:type="dxa"/>
            <w:gridSpan w:val="2"/>
            <w:vAlign w:val="center"/>
          </w:tcPr>
          <w:p w14:paraId="482CFD35">
            <w:pPr>
              <w:jc w:val="left"/>
              <w:rPr>
                <w:rFonts w:hint="eastAsia" w:ascii="宋体" w:hAnsi="宋体" w:eastAsia="宋体" w:cs="宋体"/>
                <w:sz w:val="21"/>
                <w:szCs w:val="21"/>
                <w:highlight w:val="none"/>
              </w:rPr>
            </w:pPr>
            <w:r>
              <w:rPr>
                <w:rFonts w:hint="eastAsia" w:ascii="宋体" w:hAnsi="宋体" w:cs="宋体"/>
                <w:szCs w:val="21"/>
                <w:highlight w:val="none"/>
              </w:rPr>
              <w:t>无法律、法规和招标文件规定的其他无效情形。</w:t>
            </w:r>
          </w:p>
        </w:tc>
      </w:tr>
      <w:tr w14:paraId="47E2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50" w:type="dxa"/>
            <w:gridSpan w:val="2"/>
            <w:vAlign w:val="center"/>
          </w:tcPr>
          <w:p w14:paraId="2478FB68">
            <w:pPr>
              <w:snapToGrid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条款号</w:t>
            </w:r>
          </w:p>
        </w:tc>
        <w:tc>
          <w:tcPr>
            <w:tcW w:w="976" w:type="dxa"/>
            <w:vAlign w:val="center"/>
          </w:tcPr>
          <w:p w14:paraId="32D6E880">
            <w:pPr>
              <w:snapToGrid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评审内容</w:t>
            </w:r>
          </w:p>
        </w:tc>
        <w:tc>
          <w:tcPr>
            <w:tcW w:w="1799" w:type="dxa"/>
            <w:vAlign w:val="center"/>
          </w:tcPr>
          <w:p w14:paraId="7D5CC256">
            <w:pPr>
              <w:keepNext w:val="0"/>
              <w:keepLines w:val="0"/>
              <w:pageBreakBefore w:val="0"/>
              <w:widowControl w:val="0"/>
              <w:kinsoku/>
              <w:wordWrap/>
              <w:overflowPunct/>
              <w:topLinePunct w:val="0"/>
              <w:autoSpaceDE/>
              <w:autoSpaceDN/>
              <w:bidi w:val="0"/>
              <w:adjustRightInd/>
              <w:spacing w:line="240" w:lineRule="exact"/>
              <w:jc w:val="center"/>
              <w:textAlignment w:val="auto"/>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评审因素</w:t>
            </w:r>
          </w:p>
        </w:tc>
        <w:tc>
          <w:tcPr>
            <w:tcW w:w="575" w:type="dxa"/>
            <w:vAlign w:val="center"/>
          </w:tcPr>
          <w:p w14:paraId="7B677119">
            <w:pPr>
              <w:keepNext w:val="0"/>
              <w:keepLines w:val="0"/>
              <w:pageBreakBefore w:val="0"/>
              <w:widowControl w:val="0"/>
              <w:kinsoku/>
              <w:wordWrap/>
              <w:overflowPunct/>
              <w:topLinePunct w:val="0"/>
              <w:autoSpaceDE/>
              <w:autoSpaceDN/>
              <w:bidi w:val="0"/>
              <w:adjustRightInd/>
              <w:spacing w:line="240" w:lineRule="exact"/>
              <w:jc w:val="center"/>
              <w:textAlignment w:val="auto"/>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权重</w:t>
            </w:r>
          </w:p>
        </w:tc>
        <w:tc>
          <w:tcPr>
            <w:tcW w:w="4112" w:type="dxa"/>
            <w:vAlign w:val="center"/>
          </w:tcPr>
          <w:p w14:paraId="532B722E">
            <w:pPr>
              <w:keepNext w:val="0"/>
              <w:keepLines w:val="0"/>
              <w:pageBreakBefore w:val="0"/>
              <w:widowControl w:val="0"/>
              <w:kinsoku/>
              <w:wordWrap/>
              <w:overflowPunct/>
              <w:topLinePunct w:val="0"/>
              <w:autoSpaceDE/>
              <w:autoSpaceDN/>
              <w:bidi w:val="0"/>
              <w:adjustRightInd/>
              <w:spacing w:line="240" w:lineRule="exact"/>
              <w:jc w:val="center"/>
              <w:textAlignment w:val="auto"/>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评审标准</w:t>
            </w:r>
          </w:p>
        </w:tc>
      </w:tr>
      <w:tr w14:paraId="62C5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625" w:type="dxa"/>
            <w:vMerge w:val="restart"/>
            <w:vAlign w:val="center"/>
          </w:tcPr>
          <w:p w14:paraId="57888656">
            <w:pPr>
              <w:snapToGrid w:val="0"/>
              <w:jc w:val="center"/>
              <w:rPr>
                <w:rFonts w:ascii="宋体" w:hAnsi="宋体" w:cs="宋体"/>
                <w:sz w:val="21"/>
                <w:szCs w:val="21"/>
                <w:highlight w:val="none"/>
              </w:rPr>
            </w:pPr>
            <w:r>
              <w:rPr>
                <w:rFonts w:hint="eastAsia" w:ascii="宋体" w:hAnsi="宋体" w:cs="宋体"/>
                <w:sz w:val="21"/>
                <w:szCs w:val="21"/>
                <w:highlight w:val="none"/>
              </w:rPr>
              <w:t>2.2</w:t>
            </w:r>
          </w:p>
        </w:tc>
        <w:tc>
          <w:tcPr>
            <w:tcW w:w="1025" w:type="dxa"/>
            <w:vMerge w:val="restart"/>
            <w:vAlign w:val="center"/>
          </w:tcPr>
          <w:p w14:paraId="361463B0">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详细评审标准</w:t>
            </w:r>
          </w:p>
        </w:tc>
        <w:tc>
          <w:tcPr>
            <w:tcW w:w="976" w:type="dxa"/>
            <w:vMerge w:val="restart"/>
            <w:vAlign w:val="center"/>
          </w:tcPr>
          <w:p w14:paraId="1A8D1A23">
            <w:pPr>
              <w:snapToGrid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rPr>
              <w:t>商务</w:t>
            </w:r>
            <w:r>
              <w:rPr>
                <w:rFonts w:hint="eastAsia" w:ascii="宋体" w:hAnsi="宋体" w:cs="宋体"/>
                <w:sz w:val="21"/>
                <w:szCs w:val="21"/>
                <w:highlight w:val="none"/>
                <w:lang w:val="en-US" w:eastAsia="zh-CN"/>
              </w:rPr>
              <w:t>部分（10分）</w:t>
            </w:r>
          </w:p>
        </w:tc>
        <w:tc>
          <w:tcPr>
            <w:tcW w:w="1799" w:type="dxa"/>
            <w:vAlign w:val="center"/>
          </w:tcPr>
          <w:p w14:paraId="55D7A0AD">
            <w:pPr>
              <w:keepNext w:val="0"/>
              <w:keepLines w:val="0"/>
              <w:widowControl/>
              <w:suppressLineNumbers w:val="0"/>
              <w:jc w:val="center"/>
              <w:textAlignment w:val="center"/>
              <w:rPr>
                <w:rFonts w:hint="default" w:ascii="宋体" w:hAnsi="宋体" w:eastAsia="宋体" w:cs="宋体"/>
                <w:b w:val="0"/>
                <w:bCs w:val="0"/>
                <w:color w:val="auto"/>
                <w:kern w:val="0"/>
                <w:sz w:val="21"/>
                <w:szCs w:val="21"/>
                <w:highlight w:val="none"/>
                <w:lang w:val="en-US" w:eastAsia="zh-CN"/>
              </w:rPr>
            </w:pPr>
            <w:r>
              <w:rPr>
                <w:rFonts w:hint="eastAsia" w:ascii="宋体" w:hAnsi="宋体" w:eastAsia="宋体" w:cs="宋体"/>
                <w:b w:val="0"/>
                <w:bCs w:val="0"/>
                <w:i w:val="0"/>
                <w:iCs w:val="0"/>
                <w:color w:val="auto"/>
                <w:kern w:val="0"/>
                <w:sz w:val="21"/>
                <w:szCs w:val="21"/>
                <w:u w:val="none"/>
                <w:lang w:val="en-US" w:eastAsia="zh-CN" w:bidi="ar"/>
              </w:rPr>
              <w:t>类似项目业绩</w:t>
            </w:r>
          </w:p>
        </w:tc>
        <w:tc>
          <w:tcPr>
            <w:tcW w:w="575" w:type="dxa"/>
            <w:vAlign w:val="center"/>
          </w:tcPr>
          <w:p w14:paraId="286E5C00">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lang w:val="en-US" w:eastAsia="zh-CN"/>
              </w:rPr>
            </w:pPr>
            <w:r>
              <w:rPr>
                <w:rFonts w:hint="eastAsia" w:ascii="宋体" w:hAnsi="宋体" w:eastAsia="宋体" w:cs="宋体"/>
                <w:b w:val="0"/>
                <w:bCs w:val="0"/>
                <w:i w:val="0"/>
                <w:iCs w:val="0"/>
                <w:color w:val="auto"/>
                <w:kern w:val="0"/>
                <w:sz w:val="21"/>
                <w:szCs w:val="21"/>
                <w:u w:val="none"/>
                <w:lang w:val="en-US" w:eastAsia="zh-CN" w:bidi="ar"/>
              </w:rPr>
              <w:t>3</w:t>
            </w:r>
          </w:p>
        </w:tc>
        <w:tc>
          <w:tcPr>
            <w:tcW w:w="4112" w:type="dxa"/>
            <w:vAlign w:val="center"/>
          </w:tcPr>
          <w:p w14:paraId="4211405E">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u w:val="none"/>
                <w:lang w:val="en-US" w:eastAsia="zh-CN" w:bidi="ar"/>
              </w:rPr>
              <w:t>根据投标人2021年1月1日至投标截止时间承担过的类似项目（采控中心、采集、网管等系统开发）业绩个数累加评分，提供 2 个得 1分，每增加1个加1分，加满为止。应满足下列要求：须提供合同或框架协议，合同须提供关键页复印件（首页，金额页、签字盖章页）；如提供框架协议或集中采购合同，必须提供相应的订单或其他证明材料。单项合同时间以合同签订时间为准，框架协议或集中采购以订单或其他证明材料时间为准。资料不全、评选委员会无法确定业绩的不予认可。</w:t>
            </w:r>
          </w:p>
        </w:tc>
      </w:tr>
      <w:tr w14:paraId="10C1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625" w:type="dxa"/>
            <w:vMerge w:val="continue"/>
            <w:vAlign w:val="center"/>
          </w:tcPr>
          <w:p w14:paraId="26866696">
            <w:pPr>
              <w:snapToGrid w:val="0"/>
              <w:jc w:val="center"/>
              <w:rPr>
                <w:rFonts w:ascii="宋体" w:hAnsi="宋体" w:cs="宋体"/>
                <w:kern w:val="0"/>
                <w:sz w:val="21"/>
                <w:szCs w:val="21"/>
                <w:highlight w:val="none"/>
              </w:rPr>
            </w:pPr>
          </w:p>
        </w:tc>
        <w:tc>
          <w:tcPr>
            <w:tcW w:w="1025" w:type="dxa"/>
            <w:vMerge w:val="continue"/>
          </w:tcPr>
          <w:p w14:paraId="572EFABC">
            <w:pPr>
              <w:snapToGrid w:val="0"/>
              <w:jc w:val="center"/>
              <w:rPr>
                <w:rFonts w:ascii="宋体" w:hAnsi="宋体" w:cs="宋体"/>
                <w:kern w:val="0"/>
                <w:sz w:val="21"/>
                <w:szCs w:val="21"/>
                <w:highlight w:val="none"/>
              </w:rPr>
            </w:pPr>
          </w:p>
        </w:tc>
        <w:tc>
          <w:tcPr>
            <w:tcW w:w="976" w:type="dxa"/>
            <w:vMerge w:val="continue"/>
            <w:vAlign w:val="center"/>
          </w:tcPr>
          <w:p w14:paraId="5B73729B">
            <w:pPr>
              <w:snapToGrid w:val="0"/>
              <w:jc w:val="left"/>
              <w:rPr>
                <w:rFonts w:ascii="宋体" w:hAnsi="宋体" w:cs="宋体"/>
                <w:sz w:val="21"/>
                <w:szCs w:val="21"/>
                <w:highlight w:val="none"/>
              </w:rPr>
            </w:pPr>
          </w:p>
        </w:tc>
        <w:tc>
          <w:tcPr>
            <w:tcW w:w="1799" w:type="dxa"/>
            <w:vAlign w:val="center"/>
          </w:tcPr>
          <w:p w14:paraId="60618F2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企业资质</w:t>
            </w:r>
          </w:p>
        </w:tc>
        <w:tc>
          <w:tcPr>
            <w:tcW w:w="575" w:type="dxa"/>
            <w:vAlign w:val="center"/>
          </w:tcPr>
          <w:p w14:paraId="5219C3E5">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4</w:t>
            </w:r>
          </w:p>
        </w:tc>
        <w:tc>
          <w:tcPr>
            <w:tcW w:w="4112" w:type="dxa"/>
            <w:vAlign w:val="center"/>
          </w:tcPr>
          <w:p w14:paraId="5DDFA68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1、投标人具备有效的CCRC信息安全服务资质认证证书（软件安全开发类）一级得2分，二级得1分，三级得0.5分，其他不得分。需提供相关认证证书复印件或扫描件。</w:t>
            </w:r>
            <w:r>
              <w:rPr>
                <w:rFonts w:hint="eastAsia" w:ascii="宋体" w:hAnsi="宋体" w:eastAsia="宋体" w:cs="宋体"/>
                <w:b w:val="0"/>
                <w:bCs w:val="0"/>
                <w:i w:val="0"/>
                <w:iCs w:val="0"/>
                <w:color w:val="auto"/>
                <w:kern w:val="0"/>
                <w:sz w:val="21"/>
                <w:szCs w:val="21"/>
                <w:u w:val="none"/>
                <w:lang w:val="en-US" w:eastAsia="zh-CN" w:bidi="ar"/>
              </w:rPr>
              <w:br w:type="textWrapping"/>
            </w:r>
            <w:r>
              <w:rPr>
                <w:rFonts w:hint="eastAsia" w:ascii="宋体" w:hAnsi="宋体" w:eastAsia="宋体" w:cs="宋体"/>
                <w:b w:val="0"/>
                <w:bCs w:val="0"/>
                <w:i w:val="0"/>
                <w:iCs w:val="0"/>
                <w:color w:val="auto"/>
                <w:kern w:val="0"/>
                <w:sz w:val="21"/>
                <w:szCs w:val="21"/>
                <w:u w:val="none"/>
                <w:lang w:val="en-US" w:eastAsia="zh-CN" w:bidi="ar"/>
              </w:rPr>
              <w:t>2、投标人具备有效的信息技术服务运行维护服务能力成熟度证书 (ITSS)，一级得2分，二级得1.5分，三级得1分；四级得0.5分，其他不得分。需提供相关认证证书复印件或扫描件。</w:t>
            </w:r>
          </w:p>
        </w:tc>
      </w:tr>
      <w:tr w14:paraId="3CEF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625" w:type="dxa"/>
            <w:vMerge w:val="continue"/>
            <w:vAlign w:val="center"/>
          </w:tcPr>
          <w:p w14:paraId="477AD34F">
            <w:pPr>
              <w:snapToGrid w:val="0"/>
              <w:jc w:val="center"/>
              <w:rPr>
                <w:rFonts w:ascii="宋体" w:hAnsi="宋体" w:cs="宋体"/>
                <w:kern w:val="0"/>
                <w:sz w:val="21"/>
                <w:szCs w:val="21"/>
                <w:highlight w:val="none"/>
              </w:rPr>
            </w:pPr>
          </w:p>
        </w:tc>
        <w:tc>
          <w:tcPr>
            <w:tcW w:w="1025" w:type="dxa"/>
            <w:vMerge w:val="continue"/>
          </w:tcPr>
          <w:p w14:paraId="0B25EAB3">
            <w:pPr>
              <w:snapToGrid w:val="0"/>
              <w:jc w:val="center"/>
              <w:rPr>
                <w:rFonts w:ascii="宋体" w:hAnsi="宋体" w:cs="宋体"/>
                <w:kern w:val="0"/>
                <w:sz w:val="21"/>
                <w:szCs w:val="21"/>
                <w:highlight w:val="none"/>
              </w:rPr>
            </w:pPr>
          </w:p>
        </w:tc>
        <w:tc>
          <w:tcPr>
            <w:tcW w:w="976" w:type="dxa"/>
            <w:vMerge w:val="continue"/>
            <w:vAlign w:val="center"/>
          </w:tcPr>
          <w:p w14:paraId="77F8D18F">
            <w:pPr>
              <w:snapToGrid w:val="0"/>
              <w:jc w:val="left"/>
              <w:rPr>
                <w:rFonts w:ascii="宋体" w:hAnsi="宋体" w:cs="宋体"/>
                <w:sz w:val="21"/>
                <w:szCs w:val="21"/>
                <w:highlight w:val="none"/>
              </w:rPr>
            </w:pPr>
          </w:p>
        </w:tc>
        <w:tc>
          <w:tcPr>
            <w:tcW w:w="1799" w:type="dxa"/>
            <w:vAlign w:val="center"/>
          </w:tcPr>
          <w:p w14:paraId="05DCE82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CMMI认证</w:t>
            </w:r>
          </w:p>
        </w:tc>
        <w:tc>
          <w:tcPr>
            <w:tcW w:w="575" w:type="dxa"/>
            <w:vAlign w:val="center"/>
          </w:tcPr>
          <w:p w14:paraId="2A6BEBC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2</w:t>
            </w:r>
          </w:p>
        </w:tc>
        <w:tc>
          <w:tcPr>
            <w:tcW w:w="4112" w:type="dxa"/>
            <w:vAlign w:val="center"/>
          </w:tcPr>
          <w:p w14:paraId="2FEED4E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投标人具备有效的CMMI认证证书，CMMI5级得2分，CMMI4级得1分，CMMI3级得0.5分，其他不得分，须提供相关认证证书复印件或扫描件，未提供不得分。</w:t>
            </w:r>
          </w:p>
        </w:tc>
      </w:tr>
      <w:tr w14:paraId="41F8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625" w:type="dxa"/>
            <w:vMerge w:val="continue"/>
            <w:vAlign w:val="center"/>
          </w:tcPr>
          <w:p w14:paraId="368B84FF">
            <w:pPr>
              <w:snapToGrid w:val="0"/>
              <w:jc w:val="center"/>
              <w:rPr>
                <w:rFonts w:ascii="宋体" w:hAnsi="宋体" w:cs="宋体"/>
                <w:kern w:val="0"/>
                <w:sz w:val="21"/>
                <w:szCs w:val="21"/>
                <w:highlight w:val="none"/>
              </w:rPr>
            </w:pPr>
          </w:p>
        </w:tc>
        <w:tc>
          <w:tcPr>
            <w:tcW w:w="1025" w:type="dxa"/>
            <w:vMerge w:val="continue"/>
          </w:tcPr>
          <w:p w14:paraId="2802F55E">
            <w:pPr>
              <w:snapToGrid w:val="0"/>
              <w:jc w:val="center"/>
              <w:rPr>
                <w:rFonts w:ascii="宋体" w:hAnsi="宋体" w:cs="宋体"/>
                <w:kern w:val="0"/>
                <w:sz w:val="21"/>
                <w:szCs w:val="21"/>
                <w:highlight w:val="none"/>
              </w:rPr>
            </w:pPr>
          </w:p>
        </w:tc>
        <w:tc>
          <w:tcPr>
            <w:tcW w:w="976" w:type="dxa"/>
            <w:vMerge w:val="continue"/>
            <w:vAlign w:val="center"/>
          </w:tcPr>
          <w:p w14:paraId="3260F826">
            <w:pPr>
              <w:snapToGrid w:val="0"/>
              <w:jc w:val="left"/>
              <w:rPr>
                <w:rFonts w:ascii="宋体" w:hAnsi="宋体" w:cs="宋体"/>
                <w:sz w:val="21"/>
                <w:szCs w:val="21"/>
                <w:highlight w:val="none"/>
              </w:rPr>
            </w:pPr>
          </w:p>
        </w:tc>
        <w:tc>
          <w:tcPr>
            <w:tcW w:w="1799" w:type="dxa"/>
            <w:vAlign w:val="center"/>
          </w:tcPr>
          <w:p w14:paraId="55EC404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投标文件制作质量</w:t>
            </w:r>
          </w:p>
        </w:tc>
        <w:tc>
          <w:tcPr>
            <w:tcW w:w="575" w:type="dxa"/>
            <w:vAlign w:val="center"/>
          </w:tcPr>
          <w:p w14:paraId="3782BAF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1</w:t>
            </w:r>
          </w:p>
        </w:tc>
        <w:tc>
          <w:tcPr>
            <w:tcW w:w="4112" w:type="dxa"/>
            <w:vAlign w:val="center"/>
          </w:tcPr>
          <w:p w14:paraId="08DFA60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u w:val="none"/>
                <w:lang w:val="en-US" w:eastAsia="zh-CN" w:bidi="ar"/>
              </w:rPr>
              <w:t>1.投标文件制作精良，内容完整，页面清晰，查找方便准确，得(0.6-1]分；</w:t>
            </w:r>
            <w:r>
              <w:rPr>
                <w:rFonts w:hint="eastAsia" w:ascii="宋体" w:hAnsi="宋体" w:eastAsia="宋体" w:cs="宋体"/>
                <w:b w:val="0"/>
                <w:bCs w:val="0"/>
                <w:i w:val="0"/>
                <w:iCs w:val="0"/>
                <w:color w:val="auto"/>
                <w:kern w:val="0"/>
                <w:sz w:val="21"/>
                <w:szCs w:val="21"/>
                <w:u w:val="none"/>
                <w:lang w:val="en-US" w:eastAsia="zh-CN" w:bidi="ar"/>
              </w:rPr>
              <w:br w:type="textWrapping"/>
            </w:r>
            <w:r>
              <w:rPr>
                <w:rFonts w:hint="eastAsia" w:ascii="宋体" w:hAnsi="宋体" w:eastAsia="宋体" w:cs="宋体"/>
                <w:b w:val="0"/>
                <w:bCs w:val="0"/>
                <w:i w:val="0"/>
                <w:iCs w:val="0"/>
                <w:color w:val="auto"/>
                <w:kern w:val="0"/>
                <w:sz w:val="21"/>
                <w:szCs w:val="21"/>
                <w:u w:val="none"/>
                <w:lang w:val="en-US" w:eastAsia="zh-CN" w:bidi="ar"/>
              </w:rPr>
              <w:t>2.投标文件制作一般，内容无严重缺漏，页面较清晰，查找比较方便，得(0.3-0.6]分；</w:t>
            </w:r>
            <w:r>
              <w:rPr>
                <w:rFonts w:hint="eastAsia" w:ascii="宋体" w:hAnsi="宋体" w:eastAsia="宋体" w:cs="宋体"/>
                <w:b w:val="0"/>
                <w:bCs w:val="0"/>
                <w:i w:val="0"/>
                <w:iCs w:val="0"/>
                <w:color w:val="auto"/>
                <w:kern w:val="0"/>
                <w:sz w:val="21"/>
                <w:szCs w:val="21"/>
                <w:u w:val="none"/>
                <w:lang w:val="en-US" w:eastAsia="zh-CN" w:bidi="ar"/>
              </w:rPr>
              <w:br w:type="textWrapping"/>
            </w:r>
            <w:r>
              <w:rPr>
                <w:rFonts w:hint="eastAsia" w:ascii="宋体" w:hAnsi="宋体" w:eastAsia="宋体" w:cs="宋体"/>
                <w:b w:val="0"/>
                <w:bCs w:val="0"/>
                <w:i w:val="0"/>
                <w:iCs w:val="0"/>
                <w:color w:val="auto"/>
                <w:kern w:val="0"/>
                <w:sz w:val="21"/>
                <w:szCs w:val="21"/>
                <w:u w:val="none"/>
                <w:lang w:val="en-US" w:eastAsia="zh-CN" w:bidi="ar"/>
              </w:rPr>
              <w:t>3.投标文件制作粗糙，内容无针对性，页面模糊，查找不便，得(0-0.3]分。</w:t>
            </w:r>
          </w:p>
        </w:tc>
      </w:tr>
      <w:tr w14:paraId="708B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2" w:hRule="atLeast"/>
          <w:jc w:val="center"/>
        </w:trPr>
        <w:tc>
          <w:tcPr>
            <w:tcW w:w="625" w:type="dxa"/>
            <w:vMerge w:val="continue"/>
            <w:vAlign w:val="center"/>
          </w:tcPr>
          <w:p w14:paraId="2CD07A15">
            <w:pPr>
              <w:snapToGrid w:val="0"/>
              <w:jc w:val="center"/>
              <w:rPr>
                <w:rFonts w:ascii="宋体" w:hAnsi="宋体" w:cs="宋体"/>
                <w:kern w:val="0"/>
                <w:sz w:val="21"/>
                <w:szCs w:val="21"/>
                <w:highlight w:val="none"/>
              </w:rPr>
            </w:pPr>
          </w:p>
        </w:tc>
        <w:tc>
          <w:tcPr>
            <w:tcW w:w="1025" w:type="dxa"/>
            <w:vMerge w:val="continue"/>
          </w:tcPr>
          <w:p w14:paraId="5095FAE2">
            <w:pPr>
              <w:snapToGrid w:val="0"/>
              <w:jc w:val="center"/>
              <w:rPr>
                <w:rFonts w:ascii="宋体" w:hAnsi="宋体" w:cs="宋体"/>
                <w:kern w:val="0"/>
                <w:sz w:val="21"/>
                <w:szCs w:val="21"/>
                <w:highlight w:val="none"/>
              </w:rPr>
            </w:pPr>
          </w:p>
        </w:tc>
        <w:tc>
          <w:tcPr>
            <w:tcW w:w="976" w:type="dxa"/>
            <w:vMerge w:val="restart"/>
            <w:vAlign w:val="center"/>
          </w:tcPr>
          <w:p w14:paraId="3C9F7EB7">
            <w:pPr>
              <w:snapToGrid w:val="0"/>
              <w:jc w:val="left"/>
              <w:rPr>
                <w:rFonts w:hint="default" w:ascii="宋体" w:hAnsi="宋体" w:eastAsia="宋体" w:cs="宋体"/>
                <w:kern w:val="0"/>
                <w:sz w:val="21"/>
                <w:szCs w:val="21"/>
                <w:highlight w:val="none"/>
                <w:lang w:val="en-US" w:eastAsia="zh-CN"/>
              </w:rPr>
            </w:pPr>
            <w:r>
              <w:rPr>
                <w:rFonts w:hint="eastAsia" w:ascii="宋体" w:hAnsi="宋体" w:cs="宋体"/>
                <w:kern w:val="0"/>
                <w:sz w:val="21"/>
                <w:szCs w:val="21"/>
                <w:highlight w:val="none"/>
              </w:rPr>
              <w:t>技术</w:t>
            </w:r>
            <w:r>
              <w:rPr>
                <w:rFonts w:hint="eastAsia" w:ascii="宋体" w:hAnsi="宋体" w:cs="宋体"/>
                <w:kern w:val="0"/>
                <w:sz w:val="21"/>
                <w:szCs w:val="21"/>
                <w:highlight w:val="none"/>
                <w:lang w:val="en-US" w:eastAsia="zh-CN"/>
              </w:rPr>
              <w:t>部分（40分）</w:t>
            </w:r>
          </w:p>
        </w:tc>
        <w:tc>
          <w:tcPr>
            <w:tcW w:w="1799" w:type="dxa"/>
            <w:vAlign w:val="center"/>
          </w:tcPr>
          <w:p w14:paraId="3AA68141">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总体架构与系统功能设计</w:t>
            </w:r>
          </w:p>
        </w:tc>
        <w:tc>
          <w:tcPr>
            <w:tcW w:w="575" w:type="dxa"/>
            <w:vAlign w:val="center"/>
          </w:tcPr>
          <w:p w14:paraId="5AFB0D69">
            <w:pPr>
              <w:keepNext w:val="0"/>
              <w:keepLines w:val="0"/>
              <w:widowControl/>
              <w:suppressLineNumbers w:val="0"/>
              <w:jc w:val="center"/>
              <w:textAlignment w:val="center"/>
              <w:rPr>
                <w:rFonts w:hint="eastAsia" w:ascii="宋体" w:hAnsi="宋体" w:eastAsia="宋体" w:cs="宋体"/>
                <w:b w:val="0"/>
                <w:bCs w:val="0"/>
                <w:color w:val="auto"/>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4112" w:type="dxa"/>
            <w:vAlign w:val="center"/>
          </w:tcPr>
          <w:p w14:paraId="2821C4F1">
            <w:pPr>
              <w:keepNext w:val="0"/>
              <w:keepLines w:val="0"/>
              <w:widowControl/>
              <w:suppressLineNumbers w:val="0"/>
              <w:jc w:val="left"/>
              <w:textAlignment w:val="center"/>
              <w:rPr>
                <w:rFonts w:hint="eastAsia" w:ascii="宋体" w:hAnsi="宋体" w:eastAsia="宋体" w:cs="宋体"/>
                <w:b w:val="0"/>
                <w:bCs w:val="0"/>
                <w:color w:val="auto"/>
                <w:sz w:val="21"/>
                <w:szCs w:val="21"/>
                <w:highlight w:val="none"/>
              </w:rPr>
            </w:pPr>
            <w:r>
              <w:rPr>
                <w:rFonts w:hint="eastAsia" w:ascii="宋体" w:hAnsi="宋体" w:cs="宋体"/>
                <w:b w:val="0"/>
                <w:bCs w:val="0"/>
                <w:i w:val="0"/>
                <w:iCs w:val="0"/>
                <w:color w:val="auto"/>
                <w:kern w:val="0"/>
                <w:sz w:val="21"/>
                <w:szCs w:val="21"/>
                <w:highlight w:val="none"/>
                <w:u w:val="none"/>
                <w:lang w:val="en-US" w:eastAsia="zh-CN" w:bidi="ar"/>
              </w:rPr>
              <w:t>投标</w:t>
            </w:r>
            <w:r>
              <w:rPr>
                <w:rFonts w:hint="eastAsia" w:ascii="宋体" w:hAnsi="宋体" w:eastAsia="宋体" w:cs="宋体"/>
                <w:b w:val="0"/>
                <w:bCs w:val="0"/>
                <w:i w:val="0"/>
                <w:iCs w:val="0"/>
                <w:color w:val="auto"/>
                <w:kern w:val="0"/>
                <w:sz w:val="21"/>
                <w:szCs w:val="21"/>
                <w:highlight w:val="none"/>
                <w:u w:val="none"/>
                <w:lang w:val="en-US" w:eastAsia="zh-CN" w:bidi="ar"/>
              </w:rPr>
              <w:t>人根据业务需求及相关的技术规范，提出完整的总体方案、系统总体架构、功能设计方案等。</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A:总体方案、系统总体架构、功能设计方案完整、合理、先进，完全满足招标文件，针对性强，切实可行，并有自身特色，得(3-4]分；</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B:总体方案、系统总体架构、功能设计方案较为合理、可行，有一定针对性，但方案需要补充、优化，得(1.5-3]分；</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C:总体方案、系统总体架构、功能设计方案不够全面，契合较差，方案需要修改调整，或照搬技术规范书，得(0-1.5]分。</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未提供不得分。</w:t>
            </w:r>
          </w:p>
        </w:tc>
      </w:tr>
      <w:tr w14:paraId="3C6D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148D3489">
            <w:pPr>
              <w:snapToGrid w:val="0"/>
              <w:jc w:val="center"/>
              <w:rPr>
                <w:rFonts w:ascii="宋体" w:hAnsi="宋体" w:cs="宋体"/>
                <w:kern w:val="0"/>
                <w:sz w:val="21"/>
                <w:szCs w:val="21"/>
                <w:highlight w:val="none"/>
              </w:rPr>
            </w:pPr>
          </w:p>
        </w:tc>
        <w:tc>
          <w:tcPr>
            <w:tcW w:w="1025" w:type="dxa"/>
            <w:vMerge w:val="continue"/>
          </w:tcPr>
          <w:p w14:paraId="31CE76EA">
            <w:pPr>
              <w:snapToGrid w:val="0"/>
              <w:jc w:val="center"/>
              <w:rPr>
                <w:rFonts w:ascii="宋体" w:hAnsi="宋体" w:cs="宋体"/>
                <w:kern w:val="0"/>
                <w:sz w:val="21"/>
                <w:szCs w:val="21"/>
                <w:highlight w:val="none"/>
              </w:rPr>
            </w:pPr>
          </w:p>
        </w:tc>
        <w:tc>
          <w:tcPr>
            <w:tcW w:w="976" w:type="dxa"/>
            <w:vMerge w:val="continue"/>
            <w:vAlign w:val="center"/>
          </w:tcPr>
          <w:p w14:paraId="1B45C836">
            <w:pPr>
              <w:snapToGrid w:val="0"/>
              <w:jc w:val="left"/>
              <w:rPr>
                <w:rFonts w:ascii="宋体" w:hAnsi="宋体" w:cs="宋体"/>
                <w:kern w:val="0"/>
                <w:sz w:val="21"/>
                <w:szCs w:val="21"/>
                <w:highlight w:val="none"/>
              </w:rPr>
            </w:pPr>
          </w:p>
        </w:tc>
        <w:tc>
          <w:tcPr>
            <w:tcW w:w="1799" w:type="dxa"/>
            <w:vAlign w:val="center"/>
          </w:tcPr>
          <w:p w14:paraId="7E51AB31">
            <w:pPr>
              <w:keepNext w:val="0"/>
              <w:keepLines w:val="0"/>
              <w:widowControl/>
              <w:suppressLineNumbers w:val="0"/>
              <w:jc w:val="center"/>
              <w:textAlignment w:val="center"/>
              <w:rPr>
                <w:rFonts w:hint="eastAsia" w:ascii="宋体" w:hAnsi="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bidi="ar"/>
              </w:rPr>
              <w:t>服务支撑方案</w:t>
            </w:r>
          </w:p>
        </w:tc>
        <w:tc>
          <w:tcPr>
            <w:tcW w:w="575" w:type="dxa"/>
            <w:vAlign w:val="center"/>
          </w:tcPr>
          <w:p w14:paraId="135C751F">
            <w:pPr>
              <w:keepNext w:val="0"/>
              <w:keepLines w:val="0"/>
              <w:widowControl/>
              <w:suppressLineNumbers w:val="0"/>
              <w:jc w:val="center"/>
              <w:textAlignment w:val="center"/>
              <w:rPr>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4112" w:type="dxa"/>
            <w:vAlign w:val="center"/>
          </w:tcPr>
          <w:p w14:paraId="68EDD18F">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投标人针对本项目提供的服务支撑进行评审，至少包括项目实施、测试验收、技术服务及培训的具体方案。综合分析方案清晰，功能完备，安全设计合理、成熟进行打分。分A（优秀）、B（良好）、C（一般）三等级评分，A（优秀）得（3-4]分、B（良好）得（1.5-3]分、C（一般）得（0-1.5]分，未提供不得分。</w:t>
            </w:r>
          </w:p>
        </w:tc>
      </w:tr>
      <w:tr w14:paraId="7096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3338DBFE">
            <w:pPr>
              <w:snapToGrid w:val="0"/>
              <w:jc w:val="center"/>
              <w:rPr>
                <w:rFonts w:ascii="宋体" w:hAnsi="宋体" w:cs="宋体"/>
                <w:kern w:val="0"/>
                <w:sz w:val="21"/>
                <w:szCs w:val="21"/>
                <w:highlight w:val="none"/>
              </w:rPr>
            </w:pPr>
          </w:p>
        </w:tc>
        <w:tc>
          <w:tcPr>
            <w:tcW w:w="1025" w:type="dxa"/>
            <w:vMerge w:val="continue"/>
          </w:tcPr>
          <w:p w14:paraId="7491B220">
            <w:pPr>
              <w:snapToGrid w:val="0"/>
              <w:jc w:val="center"/>
              <w:rPr>
                <w:rFonts w:ascii="宋体" w:hAnsi="宋体" w:cs="宋体"/>
                <w:kern w:val="0"/>
                <w:sz w:val="21"/>
                <w:szCs w:val="21"/>
                <w:highlight w:val="none"/>
              </w:rPr>
            </w:pPr>
          </w:p>
        </w:tc>
        <w:tc>
          <w:tcPr>
            <w:tcW w:w="976" w:type="dxa"/>
            <w:vMerge w:val="continue"/>
            <w:vAlign w:val="center"/>
          </w:tcPr>
          <w:p w14:paraId="11BD73B9">
            <w:pPr>
              <w:snapToGrid w:val="0"/>
              <w:jc w:val="left"/>
              <w:rPr>
                <w:rFonts w:ascii="宋体" w:hAnsi="宋体" w:cs="宋体"/>
                <w:kern w:val="0"/>
                <w:sz w:val="21"/>
                <w:szCs w:val="21"/>
                <w:highlight w:val="none"/>
              </w:rPr>
            </w:pPr>
          </w:p>
        </w:tc>
        <w:tc>
          <w:tcPr>
            <w:tcW w:w="1799" w:type="dxa"/>
            <w:vAlign w:val="center"/>
          </w:tcPr>
          <w:p w14:paraId="74D1C2D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两级数据质检重传</w:t>
            </w:r>
          </w:p>
        </w:tc>
        <w:tc>
          <w:tcPr>
            <w:tcW w:w="575" w:type="dxa"/>
            <w:vAlign w:val="center"/>
          </w:tcPr>
          <w:p w14:paraId="707F6C1E">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184AB22E">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根据技术规范书的要求,针对两级质检重传模块以下三项功能点：（1）IP城域网两级质检重传（2）IPRAN两级质检重传（3）PON两级质检重传，提供每项功能技术实现方案应答及功能设计图。要求每项有详细的功能设计含文字说明（详细说明各功能的具体实现方案）和功能产品设计图，满足要求每项得1分，满分3分。每项仅提供功能设计说明或功能产品设计图，每项仅得0.5分，未提供不得分。</w:t>
            </w:r>
          </w:p>
        </w:tc>
      </w:tr>
      <w:tr w14:paraId="47B6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754E78C2">
            <w:pPr>
              <w:snapToGrid w:val="0"/>
              <w:jc w:val="center"/>
              <w:rPr>
                <w:rFonts w:ascii="宋体" w:hAnsi="宋体" w:cs="宋体"/>
                <w:kern w:val="0"/>
                <w:sz w:val="21"/>
                <w:szCs w:val="21"/>
                <w:highlight w:val="none"/>
              </w:rPr>
            </w:pPr>
          </w:p>
        </w:tc>
        <w:tc>
          <w:tcPr>
            <w:tcW w:w="1025" w:type="dxa"/>
            <w:vMerge w:val="continue"/>
          </w:tcPr>
          <w:p w14:paraId="6058C3C2">
            <w:pPr>
              <w:snapToGrid w:val="0"/>
              <w:jc w:val="center"/>
              <w:rPr>
                <w:rFonts w:ascii="宋体" w:hAnsi="宋体" w:cs="宋体"/>
                <w:kern w:val="0"/>
                <w:sz w:val="21"/>
                <w:szCs w:val="21"/>
                <w:highlight w:val="none"/>
              </w:rPr>
            </w:pPr>
          </w:p>
        </w:tc>
        <w:tc>
          <w:tcPr>
            <w:tcW w:w="976" w:type="dxa"/>
            <w:vMerge w:val="continue"/>
            <w:vAlign w:val="center"/>
          </w:tcPr>
          <w:p w14:paraId="54CE56C6">
            <w:pPr>
              <w:snapToGrid w:val="0"/>
              <w:jc w:val="left"/>
              <w:rPr>
                <w:rFonts w:ascii="宋体" w:hAnsi="宋体" w:cs="宋体"/>
                <w:kern w:val="0"/>
                <w:sz w:val="21"/>
                <w:szCs w:val="21"/>
                <w:highlight w:val="none"/>
              </w:rPr>
            </w:pPr>
          </w:p>
        </w:tc>
        <w:tc>
          <w:tcPr>
            <w:tcW w:w="1799" w:type="dxa"/>
            <w:vAlign w:val="center"/>
          </w:tcPr>
          <w:p w14:paraId="0604F3DC">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全场景统一指令库</w:t>
            </w:r>
          </w:p>
        </w:tc>
        <w:tc>
          <w:tcPr>
            <w:tcW w:w="575" w:type="dxa"/>
            <w:vAlign w:val="center"/>
          </w:tcPr>
          <w:p w14:paraId="4DFA792C">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4112" w:type="dxa"/>
            <w:vAlign w:val="center"/>
          </w:tcPr>
          <w:p w14:paraId="5B10853A">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根据技术规范书的要求,实现全场景统一指令库，赋能全网能力快速就绪，包括：</w:t>
            </w:r>
            <w:r>
              <w:rPr>
                <w:rStyle w:val="129"/>
                <w:b w:val="0"/>
                <w:bCs w:val="0"/>
                <w:color w:val="auto"/>
                <w:highlight w:val="none"/>
                <w:lang w:val="en-US" w:eastAsia="zh-CN" w:bidi="ar"/>
              </w:rPr>
              <w:t>(1)省采控自动设计能力指令。(2)建立可用指令库。</w:t>
            </w:r>
            <w:r>
              <w:rPr>
                <w:rFonts w:hint="eastAsia" w:ascii="宋体" w:hAnsi="宋体" w:eastAsia="宋体" w:cs="宋体"/>
                <w:b w:val="0"/>
                <w:bCs w:val="0"/>
                <w:i w:val="0"/>
                <w:iCs w:val="0"/>
                <w:color w:val="auto"/>
                <w:kern w:val="0"/>
                <w:sz w:val="21"/>
                <w:szCs w:val="21"/>
                <w:highlight w:val="none"/>
                <w:u w:val="none"/>
                <w:lang w:val="en-US" w:eastAsia="zh-CN" w:bidi="ar"/>
              </w:rPr>
              <w:t>根据投标人对每项功能技术实现方案应答及设计图情况进行评分。要求每项有详细的功能设计含文字说明（详细说明各功能的具体实现方案）和功能产品设计图，满足要求每项得1分，满分2分。每项仅提供功能设计说明或功能产品设计图，每项仅得0.5分，未提供不得分。</w:t>
            </w:r>
          </w:p>
        </w:tc>
      </w:tr>
      <w:tr w14:paraId="50DC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0BC9F68C">
            <w:pPr>
              <w:snapToGrid w:val="0"/>
              <w:jc w:val="center"/>
              <w:rPr>
                <w:rFonts w:ascii="宋体" w:hAnsi="宋体" w:cs="宋体"/>
                <w:kern w:val="0"/>
                <w:sz w:val="21"/>
                <w:szCs w:val="21"/>
                <w:highlight w:val="none"/>
              </w:rPr>
            </w:pPr>
          </w:p>
        </w:tc>
        <w:tc>
          <w:tcPr>
            <w:tcW w:w="1025" w:type="dxa"/>
            <w:vMerge w:val="continue"/>
          </w:tcPr>
          <w:p w14:paraId="33E53306">
            <w:pPr>
              <w:snapToGrid w:val="0"/>
              <w:jc w:val="center"/>
              <w:rPr>
                <w:rFonts w:ascii="宋体" w:hAnsi="宋体" w:cs="宋体"/>
                <w:kern w:val="0"/>
                <w:sz w:val="21"/>
                <w:szCs w:val="21"/>
                <w:highlight w:val="none"/>
              </w:rPr>
            </w:pPr>
          </w:p>
        </w:tc>
        <w:tc>
          <w:tcPr>
            <w:tcW w:w="976" w:type="dxa"/>
            <w:vMerge w:val="continue"/>
            <w:vAlign w:val="center"/>
          </w:tcPr>
          <w:p w14:paraId="244F90D3">
            <w:pPr>
              <w:snapToGrid w:val="0"/>
              <w:jc w:val="left"/>
              <w:rPr>
                <w:rFonts w:ascii="宋体" w:hAnsi="宋体" w:cs="宋体"/>
                <w:kern w:val="0"/>
                <w:sz w:val="21"/>
                <w:szCs w:val="21"/>
                <w:highlight w:val="none"/>
              </w:rPr>
            </w:pPr>
          </w:p>
        </w:tc>
        <w:tc>
          <w:tcPr>
            <w:tcW w:w="1799" w:type="dxa"/>
            <w:vAlign w:val="center"/>
          </w:tcPr>
          <w:p w14:paraId="586C820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集约能力设计台</w:t>
            </w:r>
          </w:p>
        </w:tc>
        <w:tc>
          <w:tcPr>
            <w:tcW w:w="575" w:type="dxa"/>
            <w:vAlign w:val="center"/>
          </w:tcPr>
          <w:p w14:paraId="616F2D9C">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57E9ADDD">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根据技术规范书的要求,构建集约能力设计台，实现天级能力交付，包括：（1）能力接收验证。（2）能力加载（3）能力注册。根据投标人对每项功能技术实现方案应答及设计图情况进行评分。要求每项有详细的功能设计含文字说明（详细说明各功能的具体实现方案）和功能产品设计图，满足要求每项得1分，满分3分。每项仅提供功能设计说明或功能产品设计图，每项仅得0.5分，未提供不得分。</w:t>
            </w:r>
          </w:p>
        </w:tc>
      </w:tr>
      <w:tr w14:paraId="1CF0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694C1D63">
            <w:pPr>
              <w:snapToGrid w:val="0"/>
              <w:jc w:val="center"/>
              <w:rPr>
                <w:rFonts w:ascii="宋体" w:hAnsi="宋体" w:cs="宋体"/>
                <w:kern w:val="0"/>
                <w:sz w:val="21"/>
                <w:szCs w:val="21"/>
                <w:highlight w:val="none"/>
              </w:rPr>
            </w:pPr>
          </w:p>
        </w:tc>
        <w:tc>
          <w:tcPr>
            <w:tcW w:w="1025" w:type="dxa"/>
            <w:vMerge w:val="continue"/>
          </w:tcPr>
          <w:p w14:paraId="1FA7E8EE">
            <w:pPr>
              <w:snapToGrid w:val="0"/>
              <w:jc w:val="center"/>
              <w:rPr>
                <w:rFonts w:ascii="宋体" w:hAnsi="宋体" w:cs="宋体"/>
                <w:kern w:val="0"/>
                <w:sz w:val="21"/>
                <w:szCs w:val="21"/>
                <w:highlight w:val="none"/>
              </w:rPr>
            </w:pPr>
          </w:p>
        </w:tc>
        <w:tc>
          <w:tcPr>
            <w:tcW w:w="976" w:type="dxa"/>
            <w:vMerge w:val="continue"/>
            <w:vAlign w:val="center"/>
          </w:tcPr>
          <w:p w14:paraId="20ACE551">
            <w:pPr>
              <w:snapToGrid w:val="0"/>
              <w:jc w:val="left"/>
              <w:rPr>
                <w:rFonts w:ascii="宋体" w:hAnsi="宋体" w:cs="宋体"/>
                <w:kern w:val="0"/>
                <w:sz w:val="21"/>
                <w:szCs w:val="21"/>
                <w:highlight w:val="none"/>
              </w:rPr>
            </w:pPr>
          </w:p>
        </w:tc>
        <w:tc>
          <w:tcPr>
            <w:tcW w:w="1799" w:type="dxa"/>
            <w:vAlign w:val="center"/>
          </w:tcPr>
          <w:p w14:paraId="423CD5D1">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网元孪生工作台</w:t>
            </w:r>
          </w:p>
        </w:tc>
        <w:tc>
          <w:tcPr>
            <w:tcW w:w="575" w:type="dxa"/>
            <w:vAlign w:val="center"/>
          </w:tcPr>
          <w:p w14:paraId="3FA14377">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4112" w:type="dxa"/>
            <w:vAlign w:val="center"/>
          </w:tcPr>
          <w:p w14:paraId="4DAAA806">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根据技术规范书的要求,构建网元孪生工作台，指引全网数据标准化处理：包括（1）模型指标自动加载（2）指标加载执行监控。根据投标人对每项功能技术实现方案应答及设计图情况进行评分。要求每项有详细的功能设计含文字说明（详细说明各功能的具体实现方案）和功能产品设计图，满足要求每项得1分，满分2分。每项仅提供功能设计说明或功能产品设计图，每项仅得0.5分，未提供不得分。</w:t>
            </w:r>
          </w:p>
        </w:tc>
      </w:tr>
      <w:tr w14:paraId="74B5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4EDD0E80">
            <w:pPr>
              <w:snapToGrid w:val="0"/>
              <w:jc w:val="center"/>
              <w:rPr>
                <w:rFonts w:ascii="宋体" w:hAnsi="宋体" w:cs="宋体"/>
                <w:kern w:val="0"/>
                <w:sz w:val="21"/>
                <w:szCs w:val="21"/>
                <w:highlight w:val="none"/>
              </w:rPr>
            </w:pPr>
          </w:p>
        </w:tc>
        <w:tc>
          <w:tcPr>
            <w:tcW w:w="1025" w:type="dxa"/>
            <w:vMerge w:val="continue"/>
          </w:tcPr>
          <w:p w14:paraId="6B09C6D4">
            <w:pPr>
              <w:snapToGrid w:val="0"/>
              <w:jc w:val="center"/>
              <w:rPr>
                <w:rFonts w:ascii="宋体" w:hAnsi="宋体" w:cs="宋体"/>
                <w:kern w:val="0"/>
                <w:sz w:val="21"/>
                <w:szCs w:val="21"/>
                <w:highlight w:val="none"/>
              </w:rPr>
            </w:pPr>
          </w:p>
        </w:tc>
        <w:tc>
          <w:tcPr>
            <w:tcW w:w="976" w:type="dxa"/>
            <w:vMerge w:val="continue"/>
            <w:vAlign w:val="center"/>
          </w:tcPr>
          <w:p w14:paraId="526E6AF4">
            <w:pPr>
              <w:snapToGrid w:val="0"/>
              <w:jc w:val="left"/>
              <w:rPr>
                <w:rFonts w:ascii="宋体" w:hAnsi="宋体" w:cs="宋体"/>
                <w:kern w:val="0"/>
                <w:sz w:val="21"/>
                <w:szCs w:val="21"/>
                <w:highlight w:val="none"/>
              </w:rPr>
            </w:pPr>
          </w:p>
        </w:tc>
        <w:tc>
          <w:tcPr>
            <w:tcW w:w="1799" w:type="dxa"/>
            <w:vAlign w:val="center"/>
          </w:tcPr>
          <w:p w14:paraId="789DDB5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逻辑资源数据采集</w:t>
            </w:r>
          </w:p>
        </w:tc>
        <w:tc>
          <w:tcPr>
            <w:tcW w:w="575" w:type="dxa"/>
            <w:vAlign w:val="center"/>
          </w:tcPr>
          <w:p w14:paraId="174067BD">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3E224DF3">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根据技术规范书的要求,扩充逻辑资源采集,包括:（1）IP逻辑资源采集（2）IPRAN逻辑资源采集（3）PON逻辑资源采集（4）IP逻辑资源孪生处理（5）IPRAN逻辑资源孪生处理（6）PON逻辑资源孪生处理。根据投标人对每项功能技术实现方案应答及设计图情况进行评分。要求每项有详细的功能设计含文字说明（详细说明各功能的具体实现方案）和功能产品设计图，满足要求每项得0.5分，满分3分。每项仅提供功能设计说明或功能产品设计图，每项仅得0.25分，未提供不得分。</w:t>
            </w:r>
          </w:p>
        </w:tc>
      </w:tr>
      <w:tr w14:paraId="7284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009C4F0A">
            <w:pPr>
              <w:snapToGrid w:val="0"/>
              <w:jc w:val="center"/>
              <w:rPr>
                <w:rFonts w:ascii="宋体" w:hAnsi="宋体" w:cs="宋体"/>
                <w:kern w:val="0"/>
                <w:sz w:val="21"/>
                <w:szCs w:val="21"/>
                <w:highlight w:val="none"/>
              </w:rPr>
            </w:pPr>
          </w:p>
        </w:tc>
        <w:tc>
          <w:tcPr>
            <w:tcW w:w="1025" w:type="dxa"/>
            <w:vMerge w:val="continue"/>
          </w:tcPr>
          <w:p w14:paraId="465B6C42">
            <w:pPr>
              <w:snapToGrid w:val="0"/>
              <w:jc w:val="center"/>
              <w:rPr>
                <w:rFonts w:ascii="宋体" w:hAnsi="宋体" w:cs="宋体"/>
                <w:kern w:val="0"/>
                <w:sz w:val="21"/>
                <w:szCs w:val="21"/>
                <w:highlight w:val="none"/>
              </w:rPr>
            </w:pPr>
          </w:p>
        </w:tc>
        <w:tc>
          <w:tcPr>
            <w:tcW w:w="976" w:type="dxa"/>
            <w:vMerge w:val="continue"/>
            <w:vAlign w:val="center"/>
          </w:tcPr>
          <w:p w14:paraId="48FE4CF5">
            <w:pPr>
              <w:snapToGrid w:val="0"/>
              <w:jc w:val="left"/>
              <w:rPr>
                <w:rFonts w:ascii="宋体" w:hAnsi="宋体" w:cs="宋体"/>
                <w:kern w:val="0"/>
                <w:sz w:val="21"/>
                <w:szCs w:val="21"/>
                <w:highlight w:val="none"/>
              </w:rPr>
            </w:pPr>
          </w:p>
        </w:tc>
        <w:tc>
          <w:tcPr>
            <w:tcW w:w="1799" w:type="dxa"/>
            <w:vAlign w:val="center"/>
          </w:tcPr>
          <w:p w14:paraId="65D5D693">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网元生命周期管理</w:t>
            </w:r>
          </w:p>
        </w:tc>
        <w:tc>
          <w:tcPr>
            <w:tcW w:w="575" w:type="dxa"/>
            <w:vAlign w:val="center"/>
          </w:tcPr>
          <w:p w14:paraId="74F37708">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4112" w:type="dxa"/>
            <w:vAlign w:val="center"/>
          </w:tcPr>
          <w:p w14:paraId="5749A35C">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根据技术规范书的要求，针对网元生命周期管理模块以下四项功能点：(1）PON设备周期管理(2)IPRAN设备周期管理(3)IP城域网设备周期管理(4)网元实时同步，提供实现方案应答及功能设计图。要求每项有详细的功能设计含文字说明（详细说明各功能的具体实现方案）和功能产品设计图，满足要求每项得0.5分，满分2分。每项仅提供功能设计说明或功能产品设计图，每项仅得0.25分，未提供不得分。</w:t>
            </w:r>
          </w:p>
        </w:tc>
      </w:tr>
      <w:tr w14:paraId="040C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0C3B8E67">
            <w:pPr>
              <w:snapToGrid w:val="0"/>
              <w:jc w:val="center"/>
              <w:rPr>
                <w:rFonts w:ascii="宋体" w:hAnsi="宋体" w:cs="宋体"/>
                <w:kern w:val="0"/>
                <w:sz w:val="21"/>
                <w:szCs w:val="21"/>
                <w:highlight w:val="none"/>
              </w:rPr>
            </w:pPr>
          </w:p>
        </w:tc>
        <w:tc>
          <w:tcPr>
            <w:tcW w:w="1025" w:type="dxa"/>
            <w:vMerge w:val="continue"/>
          </w:tcPr>
          <w:p w14:paraId="65191333">
            <w:pPr>
              <w:snapToGrid w:val="0"/>
              <w:jc w:val="center"/>
              <w:rPr>
                <w:rFonts w:ascii="宋体" w:hAnsi="宋体" w:cs="宋体"/>
                <w:kern w:val="0"/>
                <w:sz w:val="21"/>
                <w:szCs w:val="21"/>
                <w:highlight w:val="none"/>
              </w:rPr>
            </w:pPr>
          </w:p>
        </w:tc>
        <w:tc>
          <w:tcPr>
            <w:tcW w:w="976" w:type="dxa"/>
            <w:vMerge w:val="continue"/>
            <w:vAlign w:val="center"/>
          </w:tcPr>
          <w:p w14:paraId="48BC3A7A">
            <w:pPr>
              <w:snapToGrid w:val="0"/>
              <w:jc w:val="left"/>
              <w:rPr>
                <w:rFonts w:ascii="宋体" w:hAnsi="宋体" w:cs="宋体"/>
                <w:kern w:val="0"/>
                <w:sz w:val="21"/>
                <w:szCs w:val="21"/>
                <w:highlight w:val="none"/>
              </w:rPr>
            </w:pPr>
          </w:p>
        </w:tc>
        <w:tc>
          <w:tcPr>
            <w:tcW w:w="1799" w:type="dxa"/>
            <w:vAlign w:val="center"/>
          </w:tcPr>
          <w:p w14:paraId="0B89D5D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系统运行监控提升</w:t>
            </w:r>
          </w:p>
        </w:tc>
        <w:tc>
          <w:tcPr>
            <w:tcW w:w="575" w:type="dxa"/>
            <w:vAlign w:val="center"/>
          </w:tcPr>
          <w:p w14:paraId="0568C5ED">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4112" w:type="dxa"/>
            <w:vAlign w:val="center"/>
          </w:tcPr>
          <w:p w14:paraId="7B3F2622">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根据技术规范书的要求,针对系统运行监控提升模块以下四项功能点：(1）系统内部业务调用链监控，提升系统运行稳定性(2)网元/平台异常自愈，提升故障自动恢复能力(3)PAAS组件异常自愈，提升故障恢复能力(4)强化权限管控，保障系统的稳定运行，提供每项功能技术实现方案应答及功能设计图。要求每项有详细的功能设计含文字说明（详细说明各功能的具体实现方案）和功能产品设计图，满足要求每项得0.5分，满分2分。每项仅提供功能设计说明或功能产品设计图，每项仅得0.25分，未提供不得分。</w:t>
            </w:r>
          </w:p>
        </w:tc>
      </w:tr>
      <w:tr w14:paraId="70E3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27149FD8">
            <w:pPr>
              <w:snapToGrid w:val="0"/>
              <w:jc w:val="center"/>
              <w:rPr>
                <w:rFonts w:ascii="宋体" w:hAnsi="宋体" w:cs="宋体"/>
                <w:kern w:val="0"/>
                <w:sz w:val="21"/>
                <w:szCs w:val="21"/>
                <w:highlight w:val="none"/>
              </w:rPr>
            </w:pPr>
          </w:p>
        </w:tc>
        <w:tc>
          <w:tcPr>
            <w:tcW w:w="1025" w:type="dxa"/>
            <w:vMerge w:val="continue"/>
          </w:tcPr>
          <w:p w14:paraId="25EBFEBF">
            <w:pPr>
              <w:snapToGrid w:val="0"/>
              <w:jc w:val="center"/>
              <w:rPr>
                <w:rFonts w:ascii="宋体" w:hAnsi="宋体" w:cs="宋体"/>
                <w:kern w:val="0"/>
                <w:sz w:val="21"/>
                <w:szCs w:val="21"/>
                <w:highlight w:val="none"/>
              </w:rPr>
            </w:pPr>
          </w:p>
        </w:tc>
        <w:tc>
          <w:tcPr>
            <w:tcW w:w="976" w:type="dxa"/>
            <w:vMerge w:val="continue"/>
            <w:vAlign w:val="center"/>
          </w:tcPr>
          <w:p w14:paraId="1C83C291">
            <w:pPr>
              <w:snapToGrid w:val="0"/>
              <w:jc w:val="left"/>
              <w:rPr>
                <w:rFonts w:ascii="宋体" w:hAnsi="宋体" w:cs="宋体"/>
                <w:kern w:val="0"/>
                <w:sz w:val="21"/>
                <w:szCs w:val="21"/>
                <w:highlight w:val="none"/>
              </w:rPr>
            </w:pPr>
          </w:p>
        </w:tc>
        <w:tc>
          <w:tcPr>
            <w:tcW w:w="1799" w:type="dxa"/>
            <w:vAlign w:val="center"/>
          </w:tcPr>
          <w:p w14:paraId="4335C357">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集团翼支付业务开通</w:t>
            </w:r>
          </w:p>
        </w:tc>
        <w:tc>
          <w:tcPr>
            <w:tcW w:w="575" w:type="dxa"/>
            <w:vAlign w:val="center"/>
          </w:tcPr>
          <w:p w14:paraId="7A1D34AE">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023EC243">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根据技术规范书的要求,实现直连集团翼支付业务开通能力。包括：（1）根据集团翼支付接口协议，开发集团翼支付业务开通插件（2）充分测试各指令和API能力，确保业务正常开通无错误（3）集群部署加根据集团翼支付业务处理能力进行流量控制，不对平台形成压力和故障。根据投标人对每项功能技术实现方案应答及设计图情况进行评分。要求每项有详细的功能设计含文字说明（详细说明各功能的具体实现方案）和功能产品设计图，满足要求每项得1分，满分3分。每项仅提供功能设计说明或功能产品设计图，每项仅得0.5分，未提供不得分。</w:t>
            </w:r>
          </w:p>
        </w:tc>
      </w:tr>
      <w:tr w14:paraId="0CAE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5E6FABF5">
            <w:pPr>
              <w:snapToGrid w:val="0"/>
              <w:jc w:val="center"/>
              <w:rPr>
                <w:rFonts w:ascii="宋体" w:hAnsi="宋体" w:cs="宋体"/>
                <w:kern w:val="0"/>
                <w:sz w:val="21"/>
                <w:szCs w:val="21"/>
                <w:highlight w:val="none"/>
              </w:rPr>
            </w:pPr>
          </w:p>
        </w:tc>
        <w:tc>
          <w:tcPr>
            <w:tcW w:w="1025" w:type="dxa"/>
            <w:vMerge w:val="continue"/>
          </w:tcPr>
          <w:p w14:paraId="36E3F04C">
            <w:pPr>
              <w:snapToGrid w:val="0"/>
              <w:jc w:val="center"/>
              <w:rPr>
                <w:rFonts w:ascii="宋体" w:hAnsi="宋体" w:cs="宋体"/>
                <w:kern w:val="0"/>
                <w:sz w:val="21"/>
                <w:szCs w:val="21"/>
                <w:highlight w:val="none"/>
              </w:rPr>
            </w:pPr>
          </w:p>
        </w:tc>
        <w:tc>
          <w:tcPr>
            <w:tcW w:w="976" w:type="dxa"/>
            <w:vMerge w:val="continue"/>
            <w:vAlign w:val="center"/>
          </w:tcPr>
          <w:p w14:paraId="0CA4ED90">
            <w:pPr>
              <w:snapToGrid w:val="0"/>
              <w:jc w:val="left"/>
              <w:rPr>
                <w:rFonts w:ascii="宋体" w:hAnsi="宋体" w:cs="宋体"/>
                <w:kern w:val="0"/>
                <w:sz w:val="21"/>
                <w:szCs w:val="21"/>
                <w:highlight w:val="none"/>
              </w:rPr>
            </w:pPr>
          </w:p>
        </w:tc>
        <w:tc>
          <w:tcPr>
            <w:tcW w:w="1799" w:type="dxa"/>
            <w:vAlign w:val="center"/>
          </w:tcPr>
          <w:p w14:paraId="50ECBB1E">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拟投入本项目团队</w:t>
            </w:r>
          </w:p>
        </w:tc>
        <w:tc>
          <w:tcPr>
            <w:tcW w:w="575" w:type="dxa"/>
            <w:vAlign w:val="center"/>
          </w:tcPr>
          <w:p w14:paraId="68C1B3AD">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08B82164">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投标人为本项目提供以下项目团队：</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1.现场配备1名项目经理，应具备有效期内的中国信息安全认证中心颁发的CISAW信息安全保障人员认证证书。满足得1分，未提供不得分。</w:t>
            </w:r>
            <w:r>
              <w:rPr>
                <w:rFonts w:hint="eastAsia" w:ascii="宋体" w:hAnsi="宋体" w:eastAsia="宋体" w:cs="宋体"/>
                <w:b w:val="0"/>
                <w:bCs w:val="0"/>
                <w:i w:val="0"/>
                <w:iCs w:val="0"/>
                <w:color w:val="auto"/>
                <w:kern w:val="0"/>
                <w:sz w:val="21"/>
                <w:szCs w:val="21"/>
                <w:highlight w:val="none"/>
                <w:u w:val="none"/>
                <w:lang w:val="en-US" w:eastAsia="zh-CN" w:bidi="ar"/>
              </w:rPr>
              <w:br w:type="textWrapping"/>
            </w:r>
            <w:r>
              <w:rPr>
                <w:rFonts w:hint="eastAsia" w:ascii="宋体" w:hAnsi="宋体" w:eastAsia="宋体" w:cs="宋体"/>
                <w:b w:val="0"/>
                <w:bCs w:val="0"/>
                <w:i w:val="0"/>
                <w:iCs w:val="0"/>
                <w:color w:val="auto"/>
                <w:kern w:val="0"/>
                <w:sz w:val="21"/>
                <w:szCs w:val="21"/>
                <w:highlight w:val="none"/>
                <w:u w:val="none"/>
                <w:lang w:val="en-US" w:eastAsia="zh-CN" w:bidi="ar"/>
              </w:rPr>
              <w:t>2.现场配备不少于 3 名开发工程师，应具备软考类证书 (计算机技术与软件专业技术资格证书，NISP-PTE 或 CISP 等) 。在3名基础上每增加一名加 1 分， 总计不超过 2 分。注：需提供上述人员有效认证证书复印件或扫描件及 2024 年 1 月以来任意连续三个月社保证明。</w:t>
            </w:r>
          </w:p>
        </w:tc>
      </w:tr>
      <w:tr w14:paraId="1E64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60339396">
            <w:pPr>
              <w:snapToGrid w:val="0"/>
              <w:jc w:val="center"/>
              <w:rPr>
                <w:rFonts w:ascii="宋体" w:hAnsi="宋体" w:cs="宋体"/>
                <w:kern w:val="0"/>
                <w:sz w:val="21"/>
                <w:szCs w:val="21"/>
                <w:highlight w:val="none"/>
              </w:rPr>
            </w:pPr>
          </w:p>
        </w:tc>
        <w:tc>
          <w:tcPr>
            <w:tcW w:w="1025" w:type="dxa"/>
            <w:vMerge w:val="continue"/>
          </w:tcPr>
          <w:p w14:paraId="2747CCD8">
            <w:pPr>
              <w:snapToGrid w:val="0"/>
              <w:jc w:val="center"/>
              <w:rPr>
                <w:rFonts w:ascii="宋体" w:hAnsi="宋体" w:cs="宋体"/>
                <w:kern w:val="0"/>
                <w:sz w:val="21"/>
                <w:szCs w:val="21"/>
                <w:highlight w:val="none"/>
              </w:rPr>
            </w:pPr>
          </w:p>
        </w:tc>
        <w:tc>
          <w:tcPr>
            <w:tcW w:w="976" w:type="dxa"/>
            <w:vMerge w:val="continue"/>
            <w:vAlign w:val="center"/>
          </w:tcPr>
          <w:p w14:paraId="0EFB020E">
            <w:pPr>
              <w:snapToGrid w:val="0"/>
              <w:jc w:val="left"/>
              <w:rPr>
                <w:rFonts w:ascii="宋体" w:hAnsi="宋体" w:cs="宋体"/>
                <w:kern w:val="0"/>
                <w:sz w:val="21"/>
                <w:szCs w:val="21"/>
                <w:highlight w:val="none"/>
              </w:rPr>
            </w:pPr>
          </w:p>
        </w:tc>
        <w:tc>
          <w:tcPr>
            <w:tcW w:w="1799" w:type="dxa"/>
            <w:vAlign w:val="center"/>
          </w:tcPr>
          <w:p w14:paraId="536CC22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质量保障方案</w:t>
            </w:r>
          </w:p>
        </w:tc>
        <w:tc>
          <w:tcPr>
            <w:tcW w:w="575" w:type="dxa"/>
            <w:vAlign w:val="center"/>
          </w:tcPr>
          <w:p w14:paraId="6228F7A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4112" w:type="dxa"/>
            <w:vAlign w:val="center"/>
          </w:tcPr>
          <w:p w14:paraId="0AFB92F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投标人针对本项目提供质量保障方案，包括系统可靠性、安全性、易用性、可维护性等方面进行评估。根据质量保障方案的完整性、合理性及可行性进行分档评分，优秀得(3-4]分；良好得(1.5-3]分；一般得（0-1.5]分,未提供不得分。</w:t>
            </w:r>
          </w:p>
        </w:tc>
      </w:tr>
      <w:tr w14:paraId="3478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2746F9EC">
            <w:pPr>
              <w:snapToGrid w:val="0"/>
              <w:jc w:val="center"/>
              <w:rPr>
                <w:rFonts w:ascii="宋体" w:hAnsi="宋体" w:cs="宋体"/>
                <w:kern w:val="0"/>
                <w:sz w:val="21"/>
                <w:szCs w:val="21"/>
                <w:highlight w:val="none"/>
              </w:rPr>
            </w:pPr>
          </w:p>
        </w:tc>
        <w:tc>
          <w:tcPr>
            <w:tcW w:w="1025" w:type="dxa"/>
            <w:vMerge w:val="continue"/>
          </w:tcPr>
          <w:p w14:paraId="22600206">
            <w:pPr>
              <w:snapToGrid w:val="0"/>
              <w:jc w:val="center"/>
              <w:rPr>
                <w:rFonts w:ascii="宋体" w:hAnsi="宋体" w:cs="宋体"/>
                <w:kern w:val="0"/>
                <w:sz w:val="21"/>
                <w:szCs w:val="21"/>
                <w:highlight w:val="none"/>
              </w:rPr>
            </w:pPr>
          </w:p>
        </w:tc>
        <w:tc>
          <w:tcPr>
            <w:tcW w:w="976" w:type="dxa"/>
            <w:vMerge w:val="continue"/>
            <w:vAlign w:val="center"/>
          </w:tcPr>
          <w:p w14:paraId="70FBBC36">
            <w:pPr>
              <w:snapToGrid w:val="0"/>
              <w:jc w:val="left"/>
              <w:rPr>
                <w:rFonts w:ascii="宋体" w:hAnsi="宋体" w:cs="宋体"/>
                <w:kern w:val="0"/>
                <w:sz w:val="21"/>
                <w:szCs w:val="21"/>
                <w:highlight w:val="none"/>
              </w:rPr>
            </w:pPr>
          </w:p>
        </w:tc>
        <w:tc>
          <w:tcPr>
            <w:tcW w:w="1799" w:type="dxa"/>
            <w:vAlign w:val="center"/>
          </w:tcPr>
          <w:p w14:paraId="7EFB722B">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软件开发安全建议方案</w:t>
            </w:r>
          </w:p>
        </w:tc>
        <w:tc>
          <w:tcPr>
            <w:tcW w:w="575" w:type="dxa"/>
            <w:vAlign w:val="center"/>
          </w:tcPr>
          <w:p w14:paraId="257FD8E5">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4112" w:type="dxa"/>
            <w:vAlign w:val="center"/>
          </w:tcPr>
          <w:p w14:paraId="30689C3B">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投标人提供整个软件开发过程中各个环节的安全管控方案，包括但不限于开发人员安全意识培训、开源组件/第三方软件的选型、开发/测试工具的选用、对引入组件/各类工具的安全漏洞/病毒的定位、修复策略、软件安全方面的测试、安全检测工具、风险应急响应机制、是否建立开源组件/工具的资产台账，并动态管理、人员保密性要求等内容。根据软件开发安全建议方案的完整性、合理性进行分档评分，优秀得(2-3]分；良好得(1-2]分；一般得（0-1]分,未提供不得分。</w:t>
            </w:r>
          </w:p>
        </w:tc>
      </w:tr>
      <w:tr w14:paraId="74CC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625" w:type="dxa"/>
            <w:vMerge w:val="continue"/>
            <w:vAlign w:val="center"/>
          </w:tcPr>
          <w:p w14:paraId="65D2D61B">
            <w:pPr>
              <w:snapToGrid w:val="0"/>
              <w:jc w:val="center"/>
              <w:rPr>
                <w:rFonts w:ascii="宋体" w:hAnsi="宋体" w:cs="宋体"/>
                <w:kern w:val="0"/>
                <w:sz w:val="21"/>
                <w:szCs w:val="21"/>
                <w:highlight w:val="none"/>
              </w:rPr>
            </w:pPr>
          </w:p>
        </w:tc>
        <w:tc>
          <w:tcPr>
            <w:tcW w:w="1025" w:type="dxa"/>
            <w:vMerge w:val="continue"/>
          </w:tcPr>
          <w:p w14:paraId="48830F71">
            <w:pPr>
              <w:snapToGrid w:val="0"/>
              <w:jc w:val="center"/>
              <w:rPr>
                <w:rFonts w:ascii="宋体" w:hAnsi="宋体" w:cs="宋体"/>
                <w:kern w:val="0"/>
                <w:sz w:val="21"/>
                <w:szCs w:val="21"/>
                <w:highlight w:val="none"/>
              </w:rPr>
            </w:pPr>
          </w:p>
        </w:tc>
        <w:tc>
          <w:tcPr>
            <w:tcW w:w="976" w:type="dxa"/>
            <w:vMerge w:val="continue"/>
            <w:vAlign w:val="center"/>
          </w:tcPr>
          <w:p w14:paraId="3D5C2695">
            <w:pPr>
              <w:snapToGrid w:val="0"/>
              <w:jc w:val="left"/>
              <w:rPr>
                <w:rFonts w:ascii="宋体" w:hAnsi="宋体" w:cs="宋体"/>
                <w:kern w:val="0"/>
                <w:sz w:val="21"/>
                <w:szCs w:val="21"/>
                <w:highlight w:val="none"/>
              </w:rPr>
            </w:pPr>
          </w:p>
        </w:tc>
        <w:tc>
          <w:tcPr>
            <w:tcW w:w="1799" w:type="dxa"/>
            <w:vAlign w:val="center"/>
          </w:tcPr>
          <w:p w14:paraId="6D2BA010">
            <w:pPr>
              <w:keepNext w:val="0"/>
              <w:keepLines w:val="0"/>
              <w:widowControl/>
              <w:suppressLineNumbers w:val="0"/>
              <w:jc w:val="center"/>
              <w:textAlignment w:val="center"/>
              <w:rPr>
                <w:rFonts w:hint="default" w:ascii="宋体" w:hAnsi="宋体" w:eastAsia="宋体" w:cs="宋体"/>
                <w:i w:val="0"/>
                <w:iCs w:val="0"/>
                <w:color w:val="000000"/>
                <w:kern w:val="2"/>
                <w:sz w:val="21"/>
                <w:szCs w:val="21"/>
                <w:highlight w:val="none"/>
                <w:u w:val="none"/>
                <w:lang w:val="en-US" w:eastAsia="zh-CN" w:bidi="ar-SA"/>
              </w:rPr>
            </w:pPr>
            <w:r>
              <w:rPr>
                <w:rFonts w:hint="eastAsia" w:ascii="宋体" w:hAnsi="宋体" w:eastAsia="宋体" w:cs="宋体"/>
                <w:i w:val="0"/>
                <w:iCs w:val="0"/>
                <w:color w:val="000000"/>
                <w:kern w:val="2"/>
                <w:sz w:val="21"/>
                <w:szCs w:val="21"/>
                <w:highlight w:val="none"/>
                <w:u w:val="none"/>
                <w:lang w:val="en-US" w:eastAsia="zh-CN" w:bidi="ar-SA"/>
              </w:rPr>
              <w:t>工程进度</w:t>
            </w:r>
            <w:r>
              <w:rPr>
                <w:rFonts w:hint="eastAsia" w:ascii="宋体" w:hAnsi="宋体" w:cs="宋体"/>
                <w:i w:val="0"/>
                <w:iCs w:val="0"/>
                <w:color w:val="000000"/>
                <w:kern w:val="2"/>
                <w:sz w:val="21"/>
                <w:szCs w:val="21"/>
                <w:highlight w:val="none"/>
                <w:u w:val="none"/>
                <w:lang w:val="en-US" w:eastAsia="zh-CN" w:bidi="ar-SA"/>
              </w:rPr>
              <w:t>承诺</w:t>
            </w:r>
          </w:p>
        </w:tc>
        <w:tc>
          <w:tcPr>
            <w:tcW w:w="575" w:type="dxa"/>
            <w:vAlign w:val="center"/>
          </w:tcPr>
          <w:p w14:paraId="7CC83A8E">
            <w:pPr>
              <w:keepNext w:val="0"/>
              <w:keepLines w:val="0"/>
              <w:widowControl/>
              <w:suppressLineNumbers w:val="0"/>
              <w:jc w:val="center"/>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i w:val="0"/>
                <w:iCs w:val="0"/>
                <w:color w:val="000000"/>
                <w:kern w:val="0"/>
                <w:sz w:val="21"/>
                <w:szCs w:val="21"/>
                <w:u w:val="none"/>
                <w:lang w:val="en-US" w:eastAsia="zh-CN" w:bidi="ar"/>
              </w:rPr>
              <w:t>2</w:t>
            </w:r>
          </w:p>
        </w:tc>
        <w:tc>
          <w:tcPr>
            <w:tcW w:w="4112" w:type="dxa"/>
            <w:vAlign w:val="center"/>
          </w:tcPr>
          <w:p w14:paraId="5A6BCC87">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rPr>
            </w:pPr>
            <w:r>
              <w:rPr>
                <w:rFonts w:hint="eastAsia" w:ascii="宋体" w:hAnsi="宋体" w:eastAsia="宋体" w:cs="宋体"/>
                <w:i w:val="0"/>
                <w:iCs w:val="0"/>
                <w:color w:val="000000"/>
                <w:kern w:val="0"/>
                <w:sz w:val="21"/>
                <w:szCs w:val="21"/>
                <w:u w:val="none"/>
                <w:lang w:val="en-US" w:eastAsia="zh-CN" w:bidi="ar"/>
              </w:rPr>
              <w:t>从合同签订日算起，工期为60个日历日完成软件的开发与实施上线，每提前1天，加0.2分，加满为止。须提供承诺函，格式自拟，未提供不得分。</w:t>
            </w:r>
          </w:p>
        </w:tc>
      </w:tr>
      <w:tr w14:paraId="3E33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0" w:hRule="atLeast"/>
          <w:jc w:val="center"/>
        </w:trPr>
        <w:tc>
          <w:tcPr>
            <w:tcW w:w="625" w:type="dxa"/>
            <w:vMerge w:val="continue"/>
            <w:vAlign w:val="center"/>
          </w:tcPr>
          <w:p w14:paraId="1CCCA6CC">
            <w:pPr>
              <w:snapToGrid w:val="0"/>
              <w:jc w:val="center"/>
              <w:rPr>
                <w:rFonts w:ascii="宋体" w:hAnsi="宋体" w:cs="宋体"/>
                <w:kern w:val="0"/>
                <w:sz w:val="21"/>
                <w:szCs w:val="21"/>
                <w:highlight w:val="none"/>
              </w:rPr>
            </w:pPr>
          </w:p>
        </w:tc>
        <w:tc>
          <w:tcPr>
            <w:tcW w:w="1025" w:type="dxa"/>
            <w:vMerge w:val="continue"/>
          </w:tcPr>
          <w:p w14:paraId="2A4C926B">
            <w:pPr>
              <w:snapToGrid w:val="0"/>
              <w:jc w:val="center"/>
              <w:rPr>
                <w:rFonts w:ascii="宋体" w:hAnsi="宋体" w:cs="宋体"/>
                <w:kern w:val="0"/>
                <w:sz w:val="21"/>
                <w:szCs w:val="21"/>
                <w:highlight w:val="none"/>
              </w:rPr>
            </w:pPr>
          </w:p>
        </w:tc>
        <w:tc>
          <w:tcPr>
            <w:tcW w:w="976" w:type="dxa"/>
            <w:vAlign w:val="center"/>
          </w:tcPr>
          <w:p w14:paraId="588223A4">
            <w:pPr>
              <w:snapToGrid w:val="0"/>
              <w:jc w:val="center"/>
              <w:rPr>
                <w:rFonts w:hint="default" w:ascii="宋体" w:hAnsi="宋体" w:eastAsia="宋体" w:cs="宋体"/>
                <w:kern w:val="0"/>
                <w:sz w:val="21"/>
                <w:szCs w:val="21"/>
                <w:highlight w:val="none"/>
                <w:lang w:val="en-US" w:eastAsia="zh-CN"/>
              </w:rPr>
            </w:pPr>
            <w:r>
              <w:rPr>
                <w:rFonts w:hint="eastAsia" w:ascii="宋体" w:hAnsi="宋体" w:cs="宋体"/>
                <w:kern w:val="0"/>
                <w:sz w:val="21"/>
                <w:szCs w:val="21"/>
                <w:highlight w:val="none"/>
              </w:rPr>
              <w:t>价格</w:t>
            </w:r>
            <w:r>
              <w:rPr>
                <w:rFonts w:hint="eastAsia" w:ascii="宋体" w:hAnsi="宋体" w:cs="宋体"/>
                <w:kern w:val="0"/>
                <w:sz w:val="21"/>
                <w:szCs w:val="21"/>
                <w:highlight w:val="none"/>
                <w:lang w:val="en-US" w:eastAsia="zh-CN"/>
              </w:rPr>
              <w:t>部分（50分）</w:t>
            </w:r>
          </w:p>
        </w:tc>
        <w:tc>
          <w:tcPr>
            <w:tcW w:w="1799" w:type="dxa"/>
            <w:vAlign w:val="center"/>
          </w:tcPr>
          <w:p w14:paraId="13997693">
            <w:pPr>
              <w:pStyle w:val="39"/>
              <w:keepNext w:val="0"/>
              <w:keepLines w:val="0"/>
              <w:widowControl/>
              <w:suppressLineNumbers w:val="0"/>
              <w:ind w:left="0" w:leftChars="0" w:right="0" w:right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经修正的基准价法</w:t>
            </w:r>
          </w:p>
        </w:tc>
        <w:tc>
          <w:tcPr>
            <w:tcW w:w="575" w:type="dxa"/>
            <w:vAlign w:val="center"/>
          </w:tcPr>
          <w:p w14:paraId="3EC3E71D">
            <w:pPr>
              <w:pStyle w:val="39"/>
              <w:keepNext w:val="0"/>
              <w:keepLines w:val="0"/>
              <w:widowControl/>
              <w:suppressLineNumbers w:val="0"/>
              <w:ind w:left="0" w:leftChars="0" w:right="0" w:rightChars="0"/>
              <w:jc w:val="center"/>
              <w:rPr>
                <w:rFonts w:hint="default" w:ascii="宋体" w:hAnsi="宋体" w:eastAsia="宋体" w:cs="宋体"/>
                <w:kern w:val="0"/>
                <w:sz w:val="21"/>
                <w:szCs w:val="21"/>
                <w:highlight w:val="none"/>
                <w:lang w:val="en-US" w:eastAsia="zh-CN"/>
              </w:rPr>
            </w:pPr>
            <w:r>
              <w:rPr>
                <w:rFonts w:hint="eastAsia" w:ascii="宋体" w:hAnsi="宋体" w:cs="宋体"/>
                <w:kern w:val="0"/>
                <w:sz w:val="21"/>
                <w:szCs w:val="21"/>
                <w:highlight w:val="none"/>
                <w:lang w:val="en-US" w:eastAsia="zh-CN"/>
              </w:rPr>
              <w:t>50</w:t>
            </w:r>
          </w:p>
        </w:tc>
        <w:tc>
          <w:tcPr>
            <w:tcW w:w="4112" w:type="dxa"/>
            <w:vAlign w:val="center"/>
          </w:tcPr>
          <w:p w14:paraId="4AB09F89">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价格评分方法：经修正的基准价法</w:t>
            </w:r>
          </w:p>
          <w:p w14:paraId="1F2A739C">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1. 价格得分=50×Q×[1-（投标人投标报价-基准价）/ 基准价×λ]。</w:t>
            </w:r>
          </w:p>
          <w:p w14:paraId="7B782B1A">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2. Q为基准价得分比率，取为0.9；有效投标报价高于基准价时λ=1; 有效投标报价低于基准价时λ=0.5（即正偏离的扣分系数为1，负偏离的加分系数为0.5）。</w:t>
            </w:r>
          </w:p>
          <w:p w14:paraId="3A874032">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3. 基准价：剔除异常价格，其余有效投标报价的算术平均值；若剔除异常价格后其余有效投标报价不足2个的，则不再作异常价格判断，基准价为所有有效投标报价的算术平均值。</w:t>
            </w:r>
          </w:p>
          <w:p w14:paraId="37B01229">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4.异常价格认定：所有有效投标报价算术平均值，正偏离20%（含）以上，负偏离30%（含）以上为异常价格。</w:t>
            </w:r>
          </w:p>
          <w:p w14:paraId="65ED0F5B">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5. 所有投标人价格得分（包含异常价格）均采用第1条公式计算，最高加至满分，最低扣至0分。</w:t>
            </w:r>
          </w:p>
          <w:p w14:paraId="396B6A0A">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rPr>
              <w:t>价格评审依据：</w:t>
            </w:r>
          </w:p>
          <w:p w14:paraId="307F66AC">
            <w:pPr>
              <w:keepNext w:val="0"/>
              <w:keepLines w:val="0"/>
              <w:pageBreakBefore w:val="0"/>
              <w:widowControl w:val="0"/>
              <w:kinsoku/>
              <w:wordWrap/>
              <w:overflowPunct/>
              <w:topLinePunct w:val="0"/>
              <w:autoSpaceDE/>
              <w:autoSpaceDN/>
              <w:bidi w:val="0"/>
              <w:adjustRightInd/>
              <w:snapToGrid w:val="0"/>
              <w:spacing w:line="240" w:lineRule="exact"/>
              <w:jc w:val="left"/>
              <w:textAlignment w:val="auto"/>
              <w:rPr>
                <w:rFonts w:ascii="宋体" w:hAnsi="宋体" w:cs="宋体"/>
                <w:kern w:val="0"/>
                <w:sz w:val="21"/>
                <w:szCs w:val="21"/>
                <w:highlight w:val="none"/>
              </w:rPr>
            </w:pPr>
            <w:r>
              <w:rPr>
                <w:rFonts w:hint="eastAsia" w:ascii="宋体" w:hAnsi="宋体" w:cs="宋体"/>
                <w:kern w:val="0"/>
                <w:sz w:val="21"/>
                <w:szCs w:val="21"/>
                <w:highlight w:val="none"/>
              </w:rPr>
              <w:t>以投标报价的“不含税报价”作为评审依据。</w:t>
            </w:r>
          </w:p>
        </w:tc>
      </w:tr>
      <w:tr w14:paraId="162C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Merge w:val="continue"/>
            <w:vAlign w:val="center"/>
          </w:tcPr>
          <w:p w14:paraId="46AA28AE">
            <w:pPr>
              <w:snapToGrid w:val="0"/>
              <w:jc w:val="center"/>
              <w:rPr>
                <w:rFonts w:ascii="宋体" w:hAnsi="宋体" w:cs="宋体"/>
                <w:kern w:val="0"/>
                <w:sz w:val="21"/>
                <w:szCs w:val="21"/>
                <w:highlight w:val="none"/>
              </w:rPr>
            </w:pPr>
          </w:p>
        </w:tc>
        <w:tc>
          <w:tcPr>
            <w:tcW w:w="1025" w:type="dxa"/>
            <w:vMerge w:val="continue"/>
          </w:tcPr>
          <w:p w14:paraId="21B25848">
            <w:pPr>
              <w:snapToGrid w:val="0"/>
              <w:jc w:val="center"/>
              <w:rPr>
                <w:rFonts w:ascii="宋体" w:hAnsi="宋体" w:cs="宋体"/>
                <w:kern w:val="0"/>
                <w:sz w:val="21"/>
                <w:szCs w:val="21"/>
                <w:highlight w:val="none"/>
              </w:rPr>
            </w:pPr>
          </w:p>
        </w:tc>
        <w:tc>
          <w:tcPr>
            <w:tcW w:w="976" w:type="dxa"/>
            <w:vAlign w:val="center"/>
          </w:tcPr>
          <w:p w14:paraId="6F70C738">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【扣分项】</w:t>
            </w:r>
          </w:p>
        </w:tc>
        <w:tc>
          <w:tcPr>
            <w:tcW w:w="1799" w:type="dxa"/>
            <w:vAlign w:val="center"/>
          </w:tcPr>
          <w:p w14:paraId="5D1DCFFF">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【《中国电信供应商不良行为管理规则》</w:t>
            </w:r>
            <w:r>
              <w:rPr>
                <w:rFonts w:hint="eastAsia" w:cs="宋体" w:asciiTheme="minorEastAsia" w:hAnsiTheme="minorEastAsia" w:eastAsiaTheme="minorEastAsia"/>
                <w:kern w:val="0"/>
                <w:szCs w:val="21"/>
                <w:highlight w:val="none"/>
              </w:rPr>
              <w:t>及处理结果</w:t>
            </w:r>
            <w:r>
              <w:rPr>
                <w:rFonts w:hint="eastAsia" w:cs="宋体" w:asciiTheme="minorEastAsia" w:hAnsiTheme="minorEastAsia" w:eastAsiaTheme="minorEastAsia"/>
                <w:kern w:val="0"/>
                <w:szCs w:val="21"/>
                <w:highlight w:val="none"/>
                <w:lang w:val="en-US" w:eastAsia="zh-CN"/>
              </w:rPr>
              <w:t>执行</w:t>
            </w:r>
            <w:r>
              <w:rPr>
                <w:rFonts w:hint="eastAsia" w:ascii="宋体" w:hAnsi="宋体" w:cs="宋体"/>
                <w:kern w:val="0"/>
                <w:sz w:val="21"/>
                <w:szCs w:val="21"/>
                <w:highlight w:val="none"/>
              </w:rPr>
              <w:t>】</w:t>
            </w:r>
          </w:p>
        </w:tc>
        <w:tc>
          <w:tcPr>
            <w:tcW w:w="575" w:type="dxa"/>
            <w:vAlign w:val="center"/>
          </w:tcPr>
          <w:p w14:paraId="3B020DB4">
            <w:pPr>
              <w:snapToGrid w:val="0"/>
              <w:jc w:val="center"/>
              <w:rPr>
                <w:rFonts w:ascii="宋体" w:hAnsi="宋体" w:cs="宋体"/>
                <w:kern w:val="0"/>
                <w:sz w:val="21"/>
                <w:szCs w:val="21"/>
                <w:highlight w:val="none"/>
              </w:rPr>
            </w:pPr>
            <w:r>
              <w:rPr>
                <w:rFonts w:ascii="宋体" w:hAnsi="宋体" w:cs="宋体"/>
                <w:kern w:val="0"/>
                <w:sz w:val="21"/>
                <w:szCs w:val="21"/>
                <w:highlight w:val="none"/>
              </w:rPr>
              <w:t>-</w:t>
            </w:r>
          </w:p>
        </w:tc>
        <w:tc>
          <w:tcPr>
            <w:tcW w:w="4112" w:type="dxa"/>
            <w:vAlign w:val="center"/>
          </w:tcPr>
          <w:p w14:paraId="167FD99A">
            <w:pPr>
              <w:snapToGrid w:val="0"/>
              <w:rPr>
                <w:rFonts w:ascii="宋体" w:hAnsi="宋体" w:cs="宋体"/>
                <w:kern w:val="0"/>
                <w:sz w:val="21"/>
                <w:szCs w:val="21"/>
                <w:highlight w:val="none"/>
              </w:rPr>
            </w:pPr>
            <w:r>
              <w:rPr>
                <w:rFonts w:hint="eastAsia" w:cs="宋体" w:asciiTheme="minorEastAsia" w:hAnsiTheme="minorEastAsia" w:eastAsiaTheme="minorEastAsia"/>
                <w:color w:val="000000" w:themeColor="text1"/>
                <w:szCs w:val="21"/>
                <w:highlight w:val="none"/>
                <w14:textFill>
                  <w14:solidFill>
                    <w14:schemeClr w14:val="tx1"/>
                  </w14:solidFill>
                </w14:textFill>
              </w:rPr>
              <w:t>按照《中国电信供应商不良行为管理规则》及处理结果，应对投标人的本次投标执行限制采购的处理措施的</w:t>
            </w:r>
            <w:r>
              <w:rPr>
                <w:rFonts w:cs="宋体" w:asciiTheme="minorEastAsia" w:hAnsiTheme="minorEastAsia" w:eastAsiaTheme="minorEastAsia"/>
                <w:color w:val="000000" w:themeColor="text1"/>
                <w:szCs w:val="21"/>
                <w:highlight w:val="none"/>
                <w14:textFill>
                  <w14:solidFill>
                    <w14:schemeClr w14:val="tx1"/>
                  </w14:solidFill>
                </w14:textFill>
              </w:rPr>
              <w:t>,</w:t>
            </w:r>
            <w:r>
              <w:rPr>
                <w:rFonts w:hint="eastAsia" w:cs="宋体" w:asciiTheme="minorEastAsia" w:hAnsiTheme="minorEastAsia" w:eastAsiaTheme="minorEastAsia"/>
                <w:color w:val="000000" w:themeColor="text1"/>
                <w:kern w:val="0"/>
                <w:szCs w:val="21"/>
                <w:highlight w:val="none"/>
                <w14:textFill>
                  <w14:solidFill>
                    <w14:schemeClr w14:val="tx1"/>
                  </w14:solidFill>
                </w14:textFill>
              </w:rPr>
              <w:t>评标委员会应按照规则及</w:t>
            </w:r>
            <w:r>
              <w:rPr>
                <w:rFonts w:cs="宋体" w:asciiTheme="minorEastAsia" w:hAnsiTheme="minorEastAsia" w:eastAsiaTheme="minorEastAsia"/>
                <w:color w:val="000000" w:themeColor="text1"/>
                <w:kern w:val="0"/>
                <w:szCs w:val="21"/>
                <w:highlight w:val="none"/>
                <w14:textFill>
                  <w14:solidFill>
                    <w14:schemeClr w14:val="tx1"/>
                  </w14:solidFill>
                </w14:textFill>
              </w:rPr>
              <w:t>处理结果</w:t>
            </w:r>
            <w:r>
              <w:rPr>
                <w:rFonts w:hint="eastAsia" w:cs="宋体" w:asciiTheme="minorEastAsia" w:hAnsiTheme="minorEastAsia" w:eastAsiaTheme="minorEastAsia"/>
                <w:color w:val="000000" w:themeColor="text1"/>
                <w:kern w:val="0"/>
                <w:szCs w:val="21"/>
                <w:highlight w:val="none"/>
                <w14:textFill>
                  <w14:solidFill>
                    <w14:schemeClr w14:val="tx1"/>
                  </w14:solidFill>
                </w14:textFill>
              </w:rPr>
              <w:t>上浮评审价格的比例</w:t>
            </w:r>
            <w:r>
              <w:rPr>
                <w:rFonts w:hint="eastAsia" w:asciiTheme="minorEastAsia" w:hAnsiTheme="minorEastAsia" w:eastAsiaTheme="minorEastAsia"/>
                <w:color w:val="000000" w:themeColor="text1"/>
                <w:szCs w:val="21"/>
                <w:highlight w:val="none"/>
                <w14:textFill>
                  <w14:solidFill>
                    <w14:schemeClr w14:val="tx1"/>
                  </w14:solidFill>
                </w14:textFill>
              </w:rPr>
              <w:t>；投标人存在多例相关</w:t>
            </w:r>
            <w:r>
              <w:rPr>
                <w:rFonts w:asciiTheme="minorEastAsia" w:hAnsiTheme="minorEastAsia" w:eastAsiaTheme="minorEastAsia"/>
                <w:color w:val="000000" w:themeColor="text1"/>
                <w:szCs w:val="21"/>
                <w:highlight w:val="none"/>
                <w14:textFill>
                  <w14:solidFill>
                    <w14:schemeClr w14:val="tx1"/>
                  </w14:solidFill>
                </w14:textFill>
              </w:rPr>
              <w:t>处理结果</w:t>
            </w:r>
            <w:r>
              <w:rPr>
                <w:rFonts w:hint="eastAsia" w:asciiTheme="minorEastAsia" w:hAnsiTheme="minorEastAsia" w:eastAsiaTheme="minorEastAsia"/>
                <w:color w:val="000000" w:themeColor="text1"/>
                <w:szCs w:val="21"/>
                <w:highlight w:val="none"/>
                <w14:textFill>
                  <w14:solidFill>
                    <w14:schemeClr w14:val="tx1"/>
                  </w14:solidFill>
                </w14:textFill>
              </w:rPr>
              <w:t>的，累计</w:t>
            </w:r>
            <w:r>
              <w:rPr>
                <w:rFonts w:hint="eastAsia" w:cs="宋体" w:asciiTheme="minorEastAsia" w:hAnsiTheme="minorEastAsia" w:eastAsiaTheme="minorEastAsia"/>
                <w:color w:val="000000" w:themeColor="text1"/>
                <w:kern w:val="0"/>
                <w:szCs w:val="21"/>
                <w:highlight w:val="none"/>
                <w14:textFill>
                  <w14:solidFill>
                    <w14:schemeClr w14:val="tx1"/>
                  </w14:solidFill>
                </w14:textFill>
              </w:rPr>
              <w:t>上浮评审价格</w:t>
            </w:r>
            <w:r>
              <w:rPr>
                <w:rFonts w:hint="eastAsia" w:asciiTheme="minorEastAsia" w:hAnsiTheme="minorEastAsia" w:eastAsiaTheme="minorEastAsia"/>
                <w:color w:val="000000" w:themeColor="text1"/>
                <w:szCs w:val="21"/>
                <w:highlight w:val="none"/>
                <w14:textFill>
                  <w14:solidFill>
                    <w14:schemeClr w14:val="tx1"/>
                  </w14:solidFill>
                </w14:textFill>
              </w:rPr>
              <w:t>。</w:t>
            </w:r>
          </w:p>
        </w:tc>
      </w:tr>
      <w:tr w14:paraId="0EBC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Align w:val="center"/>
          </w:tcPr>
          <w:p w14:paraId="0D23938A">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3.2．2</w:t>
            </w:r>
          </w:p>
        </w:tc>
        <w:tc>
          <w:tcPr>
            <w:tcW w:w="1025" w:type="dxa"/>
            <w:vAlign w:val="center"/>
          </w:tcPr>
          <w:p w14:paraId="2144F0E6">
            <w:pPr>
              <w:snapToGrid w:val="0"/>
              <w:jc w:val="left"/>
              <w:rPr>
                <w:rFonts w:ascii="宋体" w:hAnsi="宋体" w:cs="宋体"/>
                <w:kern w:val="0"/>
                <w:sz w:val="21"/>
                <w:szCs w:val="21"/>
                <w:highlight w:val="none"/>
              </w:rPr>
            </w:pPr>
            <w:r>
              <w:rPr>
                <w:rFonts w:hint="eastAsia" w:ascii="宋体" w:hAnsi="宋体" w:cs="宋体"/>
                <w:kern w:val="0"/>
                <w:sz w:val="21"/>
                <w:szCs w:val="21"/>
                <w:highlight w:val="none"/>
              </w:rPr>
              <w:t>评分计算原则</w:t>
            </w:r>
          </w:p>
        </w:tc>
        <w:tc>
          <w:tcPr>
            <w:tcW w:w="7462" w:type="dxa"/>
            <w:gridSpan w:val="4"/>
            <w:vAlign w:val="center"/>
          </w:tcPr>
          <w:p w14:paraId="14102E73">
            <w:pPr>
              <w:snapToGrid w:val="0"/>
              <w:rPr>
                <w:rFonts w:ascii="宋体" w:hAnsi="宋体" w:cs="宋体"/>
                <w:kern w:val="0"/>
                <w:sz w:val="21"/>
                <w:szCs w:val="21"/>
                <w:highlight w:val="none"/>
              </w:rPr>
            </w:pPr>
            <w:r>
              <w:rPr>
                <w:rFonts w:hint="eastAsia" w:hAnsi="宋体"/>
                <w:highlight w:val="none"/>
              </w:rPr>
              <w:t>评标过程涉及得分计算的，最终结果一律保留两位小数，小数点后第三位“四舍五入”。</w:t>
            </w:r>
          </w:p>
        </w:tc>
      </w:tr>
      <w:tr w14:paraId="6070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Align w:val="center"/>
          </w:tcPr>
          <w:p w14:paraId="48BC3F14">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3.4.1</w:t>
            </w:r>
          </w:p>
        </w:tc>
        <w:tc>
          <w:tcPr>
            <w:tcW w:w="1025" w:type="dxa"/>
            <w:vAlign w:val="center"/>
          </w:tcPr>
          <w:p w14:paraId="27AB5837">
            <w:pPr>
              <w:snapToGrid w:val="0"/>
              <w:jc w:val="left"/>
              <w:rPr>
                <w:rFonts w:ascii="宋体" w:hAnsi="宋体" w:cs="宋体"/>
                <w:kern w:val="0"/>
                <w:sz w:val="21"/>
                <w:szCs w:val="21"/>
                <w:highlight w:val="none"/>
              </w:rPr>
            </w:pPr>
            <w:r>
              <w:rPr>
                <w:rFonts w:hint="eastAsia" w:hAnsi="宋体"/>
                <w:sz w:val="21"/>
                <w:szCs w:val="21"/>
                <w:highlight w:val="none"/>
              </w:rPr>
              <w:t>综合评分相同的处理原则</w:t>
            </w:r>
          </w:p>
        </w:tc>
        <w:tc>
          <w:tcPr>
            <w:tcW w:w="7462" w:type="dxa"/>
            <w:gridSpan w:val="4"/>
            <w:vAlign w:val="center"/>
          </w:tcPr>
          <w:p w14:paraId="12584D32">
            <w:pPr>
              <w:pStyle w:val="56"/>
              <w:snapToGrid w:val="0"/>
              <w:ind w:left="14" w:firstLine="0" w:firstLineChars="0"/>
              <w:rPr>
                <w:rFonts w:ascii="宋体" w:hAnsi="宋体" w:cs="宋体"/>
                <w:kern w:val="0"/>
                <w:sz w:val="21"/>
                <w:szCs w:val="21"/>
                <w:highlight w:val="none"/>
              </w:rPr>
            </w:pPr>
            <w:r>
              <w:rPr>
                <w:rFonts w:hint="eastAsia" w:asciiTheme="minorEastAsia" w:hAnsiTheme="minorEastAsia" w:eastAsiaTheme="minorEastAsia"/>
                <w:szCs w:val="21"/>
                <w:highlight w:val="none"/>
              </w:rPr>
              <w:t>详见第二章投标人须知6.4条款</w:t>
            </w:r>
          </w:p>
        </w:tc>
      </w:tr>
      <w:tr w14:paraId="1788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25" w:type="dxa"/>
            <w:vAlign w:val="center"/>
          </w:tcPr>
          <w:p w14:paraId="76D46642">
            <w:pPr>
              <w:snapToGrid w:val="0"/>
              <w:jc w:val="center"/>
              <w:rPr>
                <w:rFonts w:ascii="宋体" w:hAnsi="宋体" w:cs="宋体"/>
                <w:kern w:val="0"/>
                <w:sz w:val="21"/>
                <w:szCs w:val="21"/>
                <w:highlight w:val="none"/>
              </w:rPr>
            </w:pPr>
            <w:r>
              <w:rPr>
                <w:rFonts w:hint="eastAsia" w:ascii="宋体" w:hAnsi="宋体" w:cs="宋体"/>
                <w:kern w:val="0"/>
                <w:sz w:val="21"/>
                <w:szCs w:val="21"/>
                <w:highlight w:val="none"/>
              </w:rPr>
              <w:t>3.4.2</w:t>
            </w:r>
          </w:p>
        </w:tc>
        <w:tc>
          <w:tcPr>
            <w:tcW w:w="1025" w:type="dxa"/>
            <w:vAlign w:val="center"/>
          </w:tcPr>
          <w:p w14:paraId="5FABF5CC">
            <w:pPr>
              <w:snapToGrid w:val="0"/>
              <w:jc w:val="left"/>
              <w:rPr>
                <w:rFonts w:ascii="宋体" w:hAnsi="宋体" w:cs="宋体"/>
                <w:kern w:val="0"/>
                <w:sz w:val="21"/>
                <w:szCs w:val="21"/>
                <w:highlight w:val="none"/>
              </w:rPr>
            </w:pPr>
            <w:r>
              <w:rPr>
                <w:rFonts w:hint="eastAsia" w:ascii="宋体" w:hAnsi="宋体" w:cs="宋体"/>
                <w:kern w:val="0"/>
                <w:sz w:val="21"/>
                <w:szCs w:val="21"/>
                <w:highlight w:val="none"/>
              </w:rPr>
              <w:t>中标候选人推荐原则</w:t>
            </w:r>
          </w:p>
        </w:tc>
        <w:tc>
          <w:tcPr>
            <w:tcW w:w="7462" w:type="dxa"/>
            <w:gridSpan w:val="4"/>
            <w:vAlign w:val="center"/>
          </w:tcPr>
          <w:p w14:paraId="2D58BC5D">
            <w:pPr>
              <w:pStyle w:val="56"/>
              <w:snapToGrid w:val="0"/>
              <w:ind w:left="14" w:firstLine="0" w:firstLineChars="0"/>
              <w:rPr>
                <w:rFonts w:ascii="宋体" w:hAnsi="宋体"/>
                <w:sz w:val="21"/>
                <w:szCs w:val="21"/>
                <w:highlight w:val="none"/>
              </w:rPr>
            </w:pPr>
            <w:r>
              <w:rPr>
                <w:rFonts w:hint="eastAsia" w:ascii="宋体" w:hAnsi="宋体"/>
                <w:sz w:val="21"/>
                <w:szCs w:val="21"/>
                <w:highlight w:val="none"/>
              </w:rPr>
              <w:t>详见第二章投标人须知6.4条款</w:t>
            </w:r>
          </w:p>
        </w:tc>
      </w:tr>
    </w:tbl>
    <w:p w14:paraId="055A317A">
      <w:pPr>
        <w:widowControl/>
        <w:jc w:val="left"/>
        <w:rPr>
          <w:rFonts w:ascii="宋体" w:hAnsi="宋体" w:cs="宋体"/>
          <w:sz w:val="32"/>
          <w:szCs w:val="32"/>
          <w:highlight w:val="none"/>
        </w:rPr>
      </w:pPr>
      <w:r>
        <w:rPr>
          <w:rFonts w:ascii="宋体" w:hAnsi="宋体" w:cs="宋体"/>
          <w:sz w:val="32"/>
          <w:szCs w:val="32"/>
          <w:highlight w:val="none"/>
        </w:rPr>
        <w:br w:type="page"/>
      </w:r>
    </w:p>
    <w:bookmarkEnd w:id="566"/>
    <w:bookmarkEnd w:id="567"/>
    <w:bookmarkEnd w:id="568"/>
    <w:bookmarkEnd w:id="569"/>
    <w:bookmarkEnd w:id="570"/>
    <w:p w14:paraId="210E7B64">
      <w:pPr>
        <w:pStyle w:val="40"/>
        <w:numPr>
          <w:ilvl w:val="0"/>
          <w:numId w:val="6"/>
        </w:numPr>
        <w:snapToGrid w:val="0"/>
        <w:spacing w:before="120" w:after="120" w:line="440" w:lineRule="exact"/>
        <w:ind w:left="0" w:firstLine="0"/>
        <w:jc w:val="left"/>
        <w:rPr>
          <w:rFonts w:asciiTheme="minorEastAsia" w:hAnsiTheme="minorEastAsia" w:eastAsiaTheme="minorEastAsia"/>
          <w:sz w:val="28"/>
          <w:szCs w:val="28"/>
          <w:highlight w:val="none"/>
        </w:rPr>
      </w:pPr>
      <w:bookmarkStart w:id="571" w:name="_Toc38008020"/>
      <w:bookmarkStart w:id="572" w:name="_Toc450489345"/>
      <w:bookmarkStart w:id="573" w:name="_Toc139026942"/>
      <w:bookmarkStart w:id="574" w:name="_Toc15896"/>
      <w:bookmarkStart w:id="575" w:name="_Toc475472623"/>
      <w:bookmarkStart w:id="576" w:name="_Toc38008030"/>
      <w:bookmarkStart w:id="577" w:name="_Toc447265313"/>
      <w:bookmarkStart w:id="578" w:name="_Toc447265599"/>
      <w:bookmarkStart w:id="579" w:name="_Toc107822570"/>
      <w:bookmarkStart w:id="580" w:name="_Toc227057959"/>
      <w:bookmarkStart w:id="581" w:name="_Toc226969353"/>
      <w:r>
        <w:rPr>
          <w:rFonts w:hint="eastAsia" w:asciiTheme="minorEastAsia" w:hAnsiTheme="minorEastAsia" w:eastAsiaTheme="minorEastAsia"/>
          <w:sz w:val="28"/>
          <w:szCs w:val="28"/>
          <w:highlight w:val="none"/>
        </w:rPr>
        <w:t>评标方法</w:t>
      </w:r>
      <w:bookmarkEnd w:id="571"/>
      <w:bookmarkEnd w:id="572"/>
      <w:bookmarkEnd w:id="573"/>
      <w:bookmarkEnd w:id="574"/>
    </w:p>
    <w:p w14:paraId="5BBC8B1E">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本招标项目评标采用综合评估法。评标委员会对满足招标文件实质要求的投标文件，根据本章第2.2款规定的评分因素和评分标准进行评分，按照综合评分由高到低的顺序推荐中标候选人，或者根据招标人授权直接确定中标人，但投标报价低于其成本的除外。</w:t>
      </w:r>
    </w:p>
    <w:p w14:paraId="124EA07F">
      <w:pPr>
        <w:pStyle w:val="40"/>
        <w:numPr>
          <w:ilvl w:val="0"/>
          <w:numId w:val="6"/>
        </w:numPr>
        <w:tabs>
          <w:tab w:val="left" w:pos="602"/>
        </w:tabs>
        <w:snapToGrid w:val="0"/>
        <w:spacing w:before="120" w:after="120" w:line="440" w:lineRule="exact"/>
        <w:ind w:left="0" w:firstLine="0"/>
        <w:jc w:val="left"/>
        <w:rPr>
          <w:rFonts w:asciiTheme="minorEastAsia" w:hAnsiTheme="minorEastAsia" w:eastAsiaTheme="minorEastAsia"/>
          <w:sz w:val="28"/>
          <w:szCs w:val="28"/>
          <w:highlight w:val="none"/>
        </w:rPr>
      </w:pPr>
      <w:bookmarkStart w:id="582" w:name="_Toc450489346"/>
      <w:bookmarkStart w:id="583" w:name="_Toc139026943"/>
      <w:bookmarkStart w:id="584" w:name="_Toc38008021"/>
      <w:bookmarkStart w:id="585" w:name="_Toc26463"/>
      <w:r>
        <w:rPr>
          <w:rFonts w:hint="eastAsia" w:asciiTheme="minorEastAsia" w:hAnsiTheme="minorEastAsia" w:eastAsiaTheme="minorEastAsia"/>
          <w:sz w:val="28"/>
          <w:szCs w:val="28"/>
          <w:highlight w:val="none"/>
        </w:rPr>
        <w:t>评审标准</w:t>
      </w:r>
      <w:bookmarkEnd w:id="582"/>
      <w:bookmarkEnd w:id="583"/>
      <w:bookmarkEnd w:id="584"/>
      <w:bookmarkEnd w:id="585"/>
    </w:p>
    <w:p w14:paraId="00A52D43">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86" w:name="_Toc38008022"/>
      <w:bookmarkStart w:id="587" w:name="_Toc139026944"/>
      <w:bookmarkStart w:id="588" w:name="_Toc23127"/>
      <w:bookmarkStart w:id="589" w:name="_Toc450489347"/>
      <w:r>
        <w:rPr>
          <w:rFonts w:hint="eastAsia" w:asciiTheme="minorEastAsia" w:hAnsiTheme="minorEastAsia" w:eastAsiaTheme="minorEastAsia"/>
          <w:sz w:val="24"/>
          <w:szCs w:val="24"/>
          <w:highlight w:val="none"/>
        </w:rPr>
        <w:t>2.1初步评审标准</w:t>
      </w:r>
      <w:bookmarkEnd w:id="586"/>
      <w:bookmarkEnd w:id="587"/>
      <w:bookmarkEnd w:id="588"/>
      <w:bookmarkEnd w:id="589"/>
    </w:p>
    <w:p w14:paraId="19B91017">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初步评审标准：见评标办法前附表。</w:t>
      </w:r>
    </w:p>
    <w:p w14:paraId="4D618149">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90" w:name="_Toc17848"/>
      <w:bookmarkStart w:id="591" w:name="_Toc38008023"/>
      <w:bookmarkStart w:id="592" w:name="_Toc139026945"/>
      <w:bookmarkStart w:id="593" w:name="_Toc450489348"/>
      <w:r>
        <w:rPr>
          <w:rFonts w:hint="eastAsia" w:asciiTheme="minorEastAsia" w:hAnsiTheme="minorEastAsia" w:eastAsiaTheme="minorEastAsia"/>
          <w:sz w:val="24"/>
          <w:szCs w:val="24"/>
          <w:highlight w:val="none"/>
        </w:rPr>
        <w:t>2.2详细评审标准</w:t>
      </w:r>
      <w:bookmarkEnd w:id="590"/>
      <w:bookmarkEnd w:id="591"/>
      <w:bookmarkEnd w:id="592"/>
      <w:bookmarkEnd w:id="593"/>
    </w:p>
    <w:p w14:paraId="0D26C398">
      <w:pPr>
        <w:adjustRightInd w:val="0"/>
        <w:snapToGrid w:val="0"/>
        <w:spacing w:line="440" w:lineRule="exact"/>
        <w:ind w:firstLine="420" w:firstLineChars="200"/>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详细评审标准：见评标办法前附表。</w:t>
      </w:r>
    </w:p>
    <w:p w14:paraId="396260BD">
      <w:pPr>
        <w:pStyle w:val="40"/>
        <w:numPr>
          <w:ilvl w:val="0"/>
          <w:numId w:val="6"/>
        </w:numPr>
        <w:snapToGrid w:val="0"/>
        <w:spacing w:before="120" w:after="120" w:line="440" w:lineRule="exact"/>
        <w:ind w:left="0" w:firstLine="0"/>
        <w:jc w:val="left"/>
        <w:rPr>
          <w:rFonts w:asciiTheme="minorEastAsia" w:hAnsiTheme="minorEastAsia" w:eastAsiaTheme="minorEastAsia"/>
          <w:sz w:val="28"/>
          <w:szCs w:val="28"/>
          <w:highlight w:val="none"/>
        </w:rPr>
      </w:pPr>
      <w:bookmarkStart w:id="594" w:name="_Toc450489349"/>
      <w:bookmarkStart w:id="595" w:name="_Toc38008024"/>
      <w:bookmarkStart w:id="596" w:name="_Toc17574"/>
      <w:bookmarkStart w:id="597" w:name="_Toc139026946"/>
      <w:r>
        <w:rPr>
          <w:rFonts w:hint="eastAsia" w:asciiTheme="minorEastAsia" w:hAnsiTheme="minorEastAsia" w:eastAsiaTheme="minorEastAsia"/>
          <w:sz w:val="28"/>
          <w:szCs w:val="28"/>
          <w:highlight w:val="none"/>
        </w:rPr>
        <w:t>评标程序</w:t>
      </w:r>
      <w:bookmarkEnd w:id="594"/>
      <w:bookmarkEnd w:id="595"/>
      <w:bookmarkEnd w:id="596"/>
      <w:bookmarkEnd w:id="597"/>
    </w:p>
    <w:p w14:paraId="043F28D7">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598" w:name="_Toc38008025"/>
      <w:bookmarkStart w:id="599" w:name="_Toc450489350"/>
      <w:bookmarkStart w:id="600" w:name="_Toc139026947"/>
      <w:bookmarkStart w:id="601" w:name="_Toc6876"/>
      <w:r>
        <w:rPr>
          <w:rFonts w:hint="eastAsia" w:asciiTheme="minorEastAsia" w:hAnsiTheme="minorEastAsia" w:eastAsiaTheme="minorEastAsia"/>
          <w:sz w:val="24"/>
          <w:szCs w:val="24"/>
          <w:highlight w:val="none"/>
        </w:rPr>
        <w:t>3.1初步评审</w:t>
      </w:r>
      <w:bookmarkEnd w:id="598"/>
      <w:bookmarkEnd w:id="599"/>
      <w:bookmarkEnd w:id="600"/>
      <w:bookmarkEnd w:id="601"/>
    </w:p>
    <w:p w14:paraId="695DFE6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3.1.1评标委员会根据本章第2.1款规定的标准对投标文件进行初步评审。有一项不符合评审标准的，评标委员会应当否决其投标。</w:t>
      </w:r>
    </w:p>
    <w:p w14:paraId="6EE9DDF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3.1.2投标人有以下情形之一的，评标委员会应当否决其投标：</w:t>
      </w:r>
    </w:p>
    <w:p w14:paraId="3879ACCC">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（1）第二章“投标人须知”第1.8款规定的任何一种情形的；</w:t>
      </w:r>
    </w:p>
    <w:p w14:paraId="21993EF1">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（2）不按照评标委员会要求澄清、说明或者补正的；</w:t>
      </w:r>
    </w:p>
    <w:p w14:paraId="06973FA5">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（3）投标文件未经投标单位盖章和单位负责人签字；</w:t>
      </w:r>
    </w:p>
    <w:p w14:paraId="0F4FE99F">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（4）允许联合体投标的，投标联合体没有递交共同投标协议；</w:t>
      </w:r>
    </w:p>
    <w:p w14:paraId="15B79DD3">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（5）投标人不符合国家或者招标文件规定的资格条件；</w:t>
      </w:r>
    </w:p>
    <w:p w14:paraId="416C1809">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（6）同一投标人递交两个以上不同的投标文件或者投标报价，但招标文件要求递交备选投标的除外；</w:t>
      </w:r>
    </w:p>
    <w:p w14:paraId="5A6261B5">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（7）投标报价低于成本或者高于招标文件设定的最高投标限价；</w:t>
      </w:r>
    </w:p>
    <w:p w14:paraId="54C10485">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（8）投标文件没有对招标文件的实质性要求和条件做出响应；</w:t>
      </w:r>
    </w:p>
    <w:p w14:paraId="579EB66A">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（9）投标人有串通投标、弄虚作假、行贿等违法行为；</w:t>
      </w:r>
    </w:p>
    <w:p w14:paraId="2A7FD1CA">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（10）投标人以他人名义投标；</w:t>
      </w:r>
    </w:p>
    <w:p w14:paraId="44EEEB7E">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（11）没有按照招标文件要求提供投标担保或者所提供的投标担保有瑕疵；</w:t>
      </w:r>
    </w:p>
    <w:p w14:paraId="18C0AFC0">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（12）投标文件载明的招标项目完成期限超过招标文件规定的期限；</w:t>
      </w:r>
    </w:p>
    <w:p w14:paraId="0A693754">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（13）明显不符合技术规格、技术标准的要求；</w:t>
      </w:r>
    </w:p>
    <w:p w14:paraId="62F84CCA">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（14）投标文件载明的货物包装方式、检验标准和方法等不符合招标文件的要求；</w:t>
      </w:r>
    </w:p>
    <w:p w14:paraId="7FBC7736">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（15）投标文件附有招标人不能接受的条件；</w:t>
      </w:r>
    </w:p>
    <w:p w14:paraId="2C5D712F">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（16）不符合招标文件中规定的其他实质性要求。</w:t>
      </w:r>
    </w:p>
    <w:p w14:paraId="560C08F8">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3.1.3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p w14:paraId="314DE58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3.1.4投标报价有算术错误的，评标委员会按照以下原则对投标报价进行修正，修正的价格经投标人书面确认后具有约束力。投标人不接受修正价格的，评标委员会应当否决其投标。</w:t>
      </w:r>
    </w:p>
    <w:p w14:paraId="66902193">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（1）投标文件中的大写金额与小写金额不一致的，以大写金额为准；</w:t>
      </w:r>
    </w:p>
    <w:p w14:paraId="03395630">
      <w:pPr>
        <w:adjustRightInd w:val="0"/>
        <w:snapToGrid w:val="0"/>
        <w:spacing w:line="440" w:lineRule="exact"/>
        <w:ind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（2）总价金额与根据单价计算出的结果不一致的，以单价金额为准修正总价，但单价金额小数点有明显错误的除外。</w:t>
      </w:r>
    </w:p>
    <w:p w14:paraId="06DE9A7D">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02" w:name="_Toc139026948"/>
      <w:bookmarkStart w:id="603" w:name="_Toc38008026"/>
      <w:bookmarkStart w:id="604" w:name="_Toc7336"/>
      <w:bookmarkStart w:id="605" w:name="_Toc450489351"/>
      <w:r>
        <w:rPr>
          <w:rFonts w:hint="eastAsia" w:asciiTheme="minorEastAsia" w:hAnsiTheme="minorEastAsia" w:eastAsiaTheme="minorEastAsia"/>
          <w:sz w:val="24"/>
          <w:szCs w:val="24"/>
          <w:highlight w:val="none"/>
        </w:rPr>
        <w:t>3.2详细评审</w:t>
      </w:r>
      <w:bookmarkEnd w:id="602"/>
      <w:bookmarkEnd w:id="603"/>
      <w:bookmarkEnd w:id="604"/>
      <w:bookmarkEnd w:id="605"/>
    </w:p>
    <w:p w14:paraId="21C66576">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3.2.1</w:t>
      </w:r>
      <w:r>
        <w:rPr>
          <w:rFonts w:hint="eastAsia" w:asciiTheme="minorEastAsia" w:hAnsiTheme="minorEastAsia" w:eastAsiaTheme="minorEastAsia"/>
          <w:highlight w:val="none"/>
        </w:rPr>
        <w:t>评标委员会按照本章第2.2款规定的评审因素和量化标准进行评分，并计算出综合评估得分。</w:t>
      </w:r>
    </w:p>
    <w:p w14:paraId="134F2837">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3.2.2评分分值计算原则上保留小数点后两位，小数点后第三位“四舍五入”。另有规定的，见评标办法前附表。</w:t>
      </w:r>
    </w:p>
    <w:p w14:paraId="4DAEF620">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06" w:name="_Toc38008027"/>
      <w:bookmarkStart w:id="607" w:name="_Toc447265275"/>
      <w:bookmarkStart w:id="608" w:name="_Toc447265561"/>
      <w:bookmarkStart w:id="609" w:name="_Toc139026949"/>
      <w:bookmarkStart w:id="610" w:name="_Toc450489352"/>
      <w:bookmarkStart w:id="611" w:name="_Toc20906"/>
      <w:r>
        <w:rPr>
          <w:rFonts w:hint="eastAsia" w:asciiTheme="minorEastAsia" w:hAnsiTheme="minorEastAsia" w:eastAsiaTheme="minorEastAsia"/>
          <w:sz w:val="24"/>
          <w:szCs w:val="24"/>
          <w:highlight w:val="none"/>
        </w:rPr>
        <w:t>3.3投标文件的澄清</w:t>
      </w:r>
      <w:bookmarkEnd w:id="606"/>
      <w:bookmarkEnd w:id="607"/>
      <w:bookmarkEnd w:id="608"/>
      <w:bookmarkEnd w:id="609"/>
      <w:bookmarkEnd w:id="610"/>
      <w:bookmarkEnd w:id="611"/>
    </w:p>
    <w:p w14:paraId="4BF2403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3.3.1在评标过程中，评标委员会应当以书面形式要求投标人对所递交的投标文件中不明确的内容进行书面澄清、说明或者对投标文件中的细微偏差进行补正。评标委员会不接受投标人主动提出的澄清、说明或者补正。</w:t>
      </w:r>
    </w:p>
    <w:p w14:paraId="2CE60919">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3.3.2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14:paraId="185E316C">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3.3.3澄清、说明和补正不得改变投标文件的实质性内容（算术性错误修正的除外）。投标人的书面澄清、说明和补正属于投标文件的组成部分。</w:t>
      </w:r>
    </w:p>
    <w:p w14:paraId="7C81589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3.3.4评标委员会对投标人递交的澄清、说明或者补正有疑问的，可以要求投标人进一步澄清、说明或者补正，直至满足评标委员会的要求。</w:t>
      </w:r>
    </w:p>
    <w:p w14:paraId="17244A92">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asciiTheme="minorEastAsia" w:hAnsiTheme="minorEastAsia" w:eastAsiaTheme="minorEastAsia"/>
          <w:highlight w:val="none"/>
        </w:rPr>
        <w:t>3.3.5</w:t>
      </w:r>
      <w:r>
        <w:rPr>
          <w:rFonts w:hint="eastAsia" w:asciiTheme="minorEastAsia" w:hAnsiTheme="minorEastAsia" w:eastAsiaTheme="minorEastAsia"/>
          <w:highlight w:val="none"/>
        </w:rPr>
        <w:t>评标委员会必要时可以要求投标人递交有关证明和证件的原件，以便核验。</w:t>
      </w:r>
    </w:p>
    <w:p w14:paraId="76FAA595">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12" w:name="_Toc38008028"/>
      <w:bookmarkStart w:id="613" w:name="_Toc450489353"/>
      <w:bookmarkStart w:id="614" w:name="_Toc139026950"/>
      <w:bookmarkStart w:id="615" w:name="_Toc27749"/>
      <w:r>
        <w:rPr>
          <w:rFonts w:asciiTheme="minorEastAsia" w:hAnsiTheme="minorEastAsia" w:eastAsiaTheme="minorEastAsia"/>
          <w:sz w:val="24"/>
          <w:szCs w:val="24"/>
          <w:highlight w:val="none"/>
        </w:rPr>
        <w:t>3.4</w:t>
      </w:r>
      <w:r>
        <w:rPr>
          <w:rFonts w:hint="eastAsia" w:asciiTheme="minorEastAsia" w:hAnsiTheme="minorEastAsia" w:eastAsiaTheme="minorEastAsia"/>
          <w:sz w:val="24"/>
          <w:szCs w:val="24"/>
          <w:highlight w:val="none"/>
        </w:rPr>
        <w:t>中标候选人推荐原则</w:t>
      </w:r>
      <w:bookmarkEnd w:id="612"/>
      <w:bookmarkEnd w:id="613"/>
      <w:bookmarkEnd w:id="614"/>
      <w:bookmarkEnd w:id="615"/>
    </w:p>
    <w:p w14:paraId="66ACCECD">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3.4.1除第二章投标人须知前附表授权直接确定中标人外，评标委员会按照综合评分由高到低的顺序推荐中标候选人。综合评分相同的，处理原则见评标办法前附表。</w:t>
      </w:r>
    </w:p>
    <w:p w14:paraId="0963BFB0">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3.4.2中标候选人推荐原则见评标办法前附表。</w:t>
      </w:r>
    </w:p>
    <w:p w14:paraId="5FCF5A82">
      <w:pPr>
        <w:pStyle w:val="40"/>
        <w:tabs>
          <w:tab w:val="left" w:pos="588"/>
        </w:tabs>
        <w:snapToGrid w:val="0"/>
        <w:spacing w:before="120" w:after="120" w:line="440" w:lineRule="exact"/>
        <w:jc w:val="left"/>
        <w:rPr>
          <w:rFonts w:asciiTheme="minorEastAsia" w:hAnsiTheme="minorEastAsia" w:eastAsiaTheme="minorEastAsia"/>
          <w:sz w:val="24"/>
          <w:szCs w:val="24"/>
          <w:highlight w:val="none"/>
        </w:rPr>
      </w:pPr>
      <w:bookmarkStart w:id="616" w:name="_Toc38008029"/>
      <w:bookmarkStart w:id="617" w:name="_Toc450489354"/>
      <w:bookmarkStart w:id="618" w:name="_Toc139026951"/>
      <w:bookmarkStart w:id="619" w:name="_Toc29733"/>
      <w:r>
        <w:rPr>
          <w:rFonts w:asciiTheme="minorEastAsia" w:hAnsiTheme="minorEastAsia" w:eastAsiaTheme="minorEastAsia"/>
          <w:sz w:val="24"/>
          <w:szCs w:val="24"/>
          <w:highlight w:val="none"/>
        </w:rPr>
        <w:t>3.5</w:t>
      </w:r>
      <w:r>
        <w:rPr>
          <w:rFonts w:hint="eastAsia" w:asciiTheme="minorEastAsia" w:hAnsiTheme="minorEastAsia" w:eastAsiaTheme="minorEastAsia"/>
          <w:sz w:val="24"/>
          <w:szCs w:val="24"/>
          <w:highlight w:val="none"/>
        </w:rPr>
        <w:t>评标结果</w:t>
      </w:r>
      <w:bookmarkEnd w:id="616"/>
      <w:bookmarkEnd w:id="617"/>
      <w:bookmarkEnd w:id="618"/>
      <w:bookmarkEnd w:id="619"/>
    </w:p>
    <w:p w14:paraId="28CD418B">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3.5.1评标委员会完成评标后，应当向招标人递交书面评标报告。评标委员会分组评审的，应当形成统一、完整的评标报告。</w:t>
      </w:r>
    </w:p>
    <w:p w14:paraId="11B70E93">
      <w:pPr>
        <w:pStyle w:val="25"/>
        <w:tabs>
          <w:tab w:val="left" w:pos="630"/>
        </w:tabs>
        <w:snapToGrid w:val="0"/>
        <w:spacing w:line="440" w:lineRule="exact"/>
        <w:ind w:firstLine="424" w:firstLineChars="202"/>
        <w:rPr>
          <w:rFonts w:asciiTheme="minorEastAsia" w:hAnsiTheme="minorEastAsia" w:eastAsiaTheme="minorEastAsia"/>
          <w:highlight w:val="none"/>
        </w:rPr>
      </w:pPr>
      <w:r>
        <w:rPr>
          <w:rFonts w:hint="eastAsia" w:asciiTheme="minorEastAsia" w:hAnsiTheme="minorEastAsia" w:eastAsiaTheme="minorEastAsia"/>
          <w:highlight w:val="none"/>
        </w:rPr>
        <w:t>3.5.2评标报告应当包括下列内容：</w:t>
      </w:r>
    </w:p>
    <w:p w14:paraId="48CBEE61">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基本情况；</w:t>
      </w:r>
    </w:p>
    <w:p w14:paraId="7BFFDD0A">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开标记录和投标一览表；</w:t>
      </w:r>
    </w:p>
    <w:p w14:paraId="38BF0BE4">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评标方法、评标标准或者评标因素一览表；</w:t>
      </w:r>
    </w:p>
    <w:p w14:paraId="4D5CB3B3">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评标专家评分原始记录表和否决投标的情况说明；</w:t>
      </w:r>
    </w:p>
    <w:p w14:paraId="3382B116">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经评审的价格或者评分比较一览表和投标人排序；</w:t>
      </w:r>
    </w:p>
    <w:p w14:paraId="30F76C4B">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推荐的中标候选人名单及其排序；</w:t>
      </w:r>
    </w:p>
    <w:p w14:paraId="486B9AF2">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签订合同前要处理的事宜；</w:t>
      </w:r>
    </w:p>
    <w:p w14:paraId="1821DCA9">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pPr>
      <w:r>
        <w:rPr>
          <w:rFonts w:hint="eastAsia" w:cs="宋体" w:asciiTheme="minorEastAsia" w:hAnsiTheme="minorEastAsia" w:eastAsiaTheme="minorEastAsia"/>
          <w:szCs w:val="21"/>
          <w:highlight w:val="none"/>
        </w:rPr>
        <w:t>澄清、说明、补正事项纪要；</w:t>
      </w:r>
    </w:p>
    <w:p w14:paraId="142A7E17">
      <w:pPr>
        <w:pStyle w:val="56"/>
        <w:numPr>
          <w:ilvl w:val="0"/>
          <w:numId w:val="7"/>
        </w:numPr>
        <w:tabs>
          <w:tab w:val="left" w:pos="630"/>
        </w:tabs>
        <w:adjustRightInd w:val="0"/>
        <w:snapToGrid w:val="0"/>
        <w:spacing w:line="440" w:lineRule="exact"/>
        <w:ind w:left="0" w:firstLine="424" w:firstLineChars="202"/>
        <w:rPr>
          <w:rFonts w:cs="宋体" w:asciiTheme="minorEastAsia" w:hAnsiTheme="minorEastAsia" w:eastAsiaTheme="minorEastAsia"/>
          <w:szCs w:val="21"/>
          <w:highlight w:val="none"/>
        </w:rPr>
        <w:sectPr>
          <w:pgSz w:w="11906" w:h="16838"/>
          <w:pgMar w:top="1440" w:right="1800" w:bottom="1440" w:left="1800" w:header="851" w:footer="992" w:gutter="0"/>
          <w:cols w:space="425" w:num="1"/>
          <w:docGrid w:type="lines" w:linePitch="312" w:charSpace="0"/>
        </w:sectPr>
      </w:pPr>
      <w:r>
        <w:rPr>
          <w:rFonts w:hint="eastAsia" w:cs="宋体" w:asciiTheme="minorEastAsia" w:hAnsiTheme="minorEastAsia" w:eastAsiaTheme="minorEastAsia"/>
          <w:szCs w:val="21"/>
          <w:highlight w:val="none"/>
        </w:rPr>
        <w:t>评标委员会成员名单及本人签字、拒绝在评标报告上签字的评标委员会成员名单及其陈述的不同意见和理由。</w:t>
      </w:r>
    </w:p>
    <w:p w14:paraId="122ECAA5">
      <w:pPr>
        <w:pStyle w:val="55"/>
        <w:spacing w:before="240" w:after="120"/>
        <w:rPr>
          <w:rFonts w:ascii="宋体" w:hAnsi="宋体" w:eastAsia="宋体" w:cs="宋体"/>
          <w:b/>
          <w:bCs w:val="0"/>
          <w:kern w:val="0"/>
          <w:sz w:val="28"/>
          <w:szCs w:val="28"/>
          <w:highlight w:val="none"/>
        </w:rPr>
      </w:pPr>
      <w:bookmarkStart w:id="620" w:name="_Toc1409"/>
      <w:r>
        <w:rPr>
          <w:rFonts w:hint="eastAsia" w:ascii="宋体" w:hAnsi="宋体" w:eastAsia="宋体" w:cs="宋体"/>
          <w:b/>
          <w:bCs w:val="0"/>
          <w:kern w:val="0"/>
          <w:sz w:val="28"/>
          <w:szCs w:val="28"/>
          <w:highlight w:val="none"/>
        </w:rPr>
        <w:t>第四章</w:t>
      </w:r>
      <w:r>
        <w:rPr>
          <w:rFonts w:hint="eastAsia" w:ascii="宋体" w:hAnsi="宋体" w:eastAsia="宋体" w:cs="宋体"/>
          <w:b/>
          <w:bCs w:val="0"/>
          <w:kern w:val="0"/>
          <w:sz w:val="28"/>
          <w:szCs w:val="28"/>
          <w:highlight w:val="none"/>
          <w:lang w:val="en-US" w:eastAsia="zh-CN"/>
        </w:rPr>
        <w:t xml:space="preserve"> </w:t>
      </w:r>
      <w:r>
        <w:rPr>
          <w:rFonts w:hint="eastAsia" w:ascii="宋体" w:hAnsi="宋体" w:eastAsia="宋体" w:cs="宋体"/>
          <w:b/>
          <w:bCs w:val="0"/>
          <w:kern w:val="0"/>
          <w:sz w:val="28"/>
          <w:szCs w:val="28"/>
          <w:highlight w:val="none"/>
        </w:rPr>
        <w:t>合同条款</w:t>
      </w:r>
      <w:bookmarkEnd w:id="575"/>
      <w:bookmarkEnd w:id="576"/>
      <w:bookmarkEnd w:id="620"/>
    </w:p>
    <w:bookmarkEnd w:id="577"/>
    <w:bookmarkEnd w:id="578"/>
    <w:bookmarkEnd w:id="579"/>
    <w:bookmarkEnd w:id="580"/>
    <w:bookmarkEnd w:id="581"/>
    <w:tbl>
      <w:tblPr>
        <w:tblStyle w:val="42"/>
        <w:tblW w:w="8348"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28" w:type="dxa"/>
          <w:bottom w:w="0" w:type="dxa"/>
          <w:right w:w="28" w:type="dxa"/>
        </w:tblCellMar>
      </w:tblPr>
      <w:tblGrid>
        <w:gridCol w:w="1688"/>
        <w:gridCol w:w="6660"/>
      </w:tblGrid>
      <w:tr w14:paraId="13C880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1688" w:type="dxa"/>
            <w:vAlign w:val="center"/>
          </w:tcPr>
          <w:p w14:paraId="36D0C8C4">
            <w:pPr>
              <w:autoSpaceDE w:val="0"/>
              <w:autoSpaceDN w:val="0"/>
              <w:spacing w:line="380" w:lineRule="exact"/>
              <w:jc w:val="center"/>
              <w:rPr>
                <w:rFonts w:ascii="宋体" w:hAnsi="宋体"/>
                <w:bCs/>
                <w:szCs w:val="21"/>
                <w:highlight w:val="none"/>
              </w:rPr>
            </w:pPr>
            <w:bookmarkStart w:id="621" w:name="_Toc38008068"/>
            <w:bookmarkStart w:id="622" w:name="_Toc475472662"/>
            <w:bookmarkStart w:id="623" w:name="_Toc447265602"/>
            <w:bookmarkStart w:id="624" w:name="_Toc475472669"/>
            <w:bookmarkStart w:id="625" w:name="_Toc447265316"/>
            <w:r>
              <w:rPr>
                <w:rFonts w:hint="eastAsia" w:ascii="宋体" w:hAnsi="宋体"/>
                <w:bCs/>
                <w:szCs w:val="21"/>
                <w:highlight w:val="none"/>
              </w:rPr>
              <w:t>条款名称</w:t>
            </w:r>
          </w:p>
        </w:tc>
        <w:tc>
          <w:tcPr>
            <w:tcW w:w="6660" w:type="dxa"/>
            <w:vAlign w:val="center"/>
          </w:tcPr>
          <w:p w14:paraId="3AB8B46C">
            <w:pPr>
              <w:autoSpaceDE w:val="0"/>
              <w:autoSpaceDN w:val="0"/>
              <w:spacing w:line="380" w:lineRule="exact"/>
              <w:jc w:val="center"/>
              <w:rPr>
                <w:rFonts w:ascii="宋体" w:hAnsi="宋体"/>
                <w:bCs/>
                <w:szCs w:val="21"/>
                <w:highlight w:val="none"/>
              </w:rPr>
            </w:pPr>
            <w:r>
              <w:rPr>
                <w:rFonts w:hint="eastAsia" w:ascii="宋体" w:hAnsi="宋体"/>
                <w:bCs/>
                <w:szCs w:val="21"/>
                <w:highlight w:val="none"/>
              </w:rPr>
              <w:t>编列内容</w:t>
            </w:r>
          </w:p>
        </w:tc>
      </w:tr>
      <w:tr w14:paraId="6E3068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1688" w:type="dxa"/>
            <w:vAlign w:val="center"/>
          </w:tcPr>
          <w:p w14:paraId="30E87402">
            <w:pPr>
              <w:jc w:val="center"/>
              <w:rPr>
                <w:rFonts w:ascii="宋体" w:hAnsi="宋体"/>
                <w:bCs/>
                <w:highlight w:val="none"/>
              </w:rPr>
            </w:pPr>
            <w:r>
              <w:rPr>
                <w:rFonts w:hint="eastAsia" w:ascii="宋体" w:hAnsi="宋体"/>
                <w:bCs/>
                <w:highlight w:val="none"/>
              </w:rPr>
              <w:t>买方</w:t>
            </w:r>
          </w:p>
        </w:tc>
        <w:tc>
          <w:tcPr>
            <w:tcW w:w="6660" w:type="dxa"/>
            <w:vAlign w:val="center"/>
          </w:tcPr>
          <w:p w14:paraId="6A726B68">
            <w:pPr>
              <w:autoSpaceDE w:val="0"/>
              <w:autoSpaceDN w:val="0"/>
              <w:spacing w:line="380" w:lineRule="exact"/>
              <w:rPr>
                <w:rFonts w:hint="eastAsia" w:ascii="宋体" w:hAnsi="宋体" w:eastAsia="宋体"/>
                <w:bCs/>
                <w:szCs w:val="21"/>
                <w:highlight w:val="none"/>
                <w:lang w:eastAsia="zh-CN"/>
              </w:rPr>
            </w:pPr>
            <w:r>
              <w:rPr>
                <w:rFonts w:ascii="宋体" w:hAnsi="宋体"/>
                <w:bCs/>
                <w:szCs w:val="21"/>
                <w:highlight w:val="none"/>
              </w:rPr>
              <w:t>名称</w:t>
            </w:r>
            <w:r>
              <w:rPr>
                <w:rFonts w:hint="eastAsia" w:ascii="宋体" w:hAnsi="宋体"/>
                <w:bCs/>
                <w:szCs w:val="21"/>
                <w:highlight w:val="none"/>
              </w:rPr>
              <w:t>：</w:t>
            </w:r>
            <w:r>
              <w:rPr>
                <w:rFonts w:hint="eastAsia" w:ascii="宋体" w:hAnsi="宋体" w:cs="宋体"/>
                <w:bCs/>
                <w:szCs w:val="21"/>
                <w:highlight w:val="none"/>
                <w:lang w:eastAsia="zh-CN"/>
              </w:rPr>
              <w:t>中国电信股份有限公司湖北分公司</w:t>
            </w:r>
          </w:p>
          <w:p w14:paraId="3B297D69">
            <w:pPr>
              <w:autoSpaceDE w:val="0"/>
              <w:autoSpaceDN w:val="0"/>
              <w:spacing w:line="380" w:lineRule="exact"/>
              <w:rPr>
                <w:rFonts w:ascii="宋体" w:hAnsi="宋体"/>
                <w:bCs/>
                <w:szCs w:val="21"/>
                <w:highlight w:val="none"/>
              </w:rPr>
            </w:pPr>
            <w:r>
              <w:rPr>
                <w:rFonts w:hint="eastAsia" w:ascii="宋体" w:hAnsi="宋体"/>
                <w:bCs/>
                <w:szCs w:val="21"/>
                <w:highlight w:val="none"/>
              </w:rPr>
              <w:t>地 址：</w:t>
            </w:r>
            <w:r>
              <w:rPr>
                <w:rFonts w:hint="eastAsia" w:ascii="宋体" w:hAnsi="宋体"/>
                <w:bCs/>
                <w:highlight w:val="none"/>
              </w:rPr>
              <w:t>武汉市常青路158号</w:t>
            </w:r>
            <w:r>
              <w:rPr>
                <w:rFonts w:hint="eastAsia" w:ascii="宋体" w:hAnsi="宋体" w:cs="宋体"/>
                <w:bCs/>
                <w:szCs w:val="21"/>
                <w:highlight w:val="none"/>
              </w:rPr>
              <w:t xml:space="preserve">  </w:t>
            </w:r>
          </w:p>
          <w:p w14:paraId="75B00783">
            <w:pPr>
              <w:autoSpaceDE w:val="0"/>
              <w:autoSpaceDN w:val="0"/>
              <w:spacing w:line="380" w:lineRule="exact"/>
              <w:rPr>
                <w:rFonts w:hint="default" w:ascii="宋体" w:hAnsi="宋体" w:eastAsia="宋体"/>
                <w:bCs/>
                <w:szCs w:val="21"/>
                <w:highlight w:val="none"/>
                <w:lang w:val="en-US" w:eastAsia="zh-CN"/>
              </w:rPr>
            </w:pPr>
            <w:r>
              <w:rPr>
                <w:rFonts w:ascii="宋体" w:hAnsi="宋体"/>
                <w:bCs/>
                <w:szCs w:val="21"/>
                <w:highlight w:val="none"/>
              </w:rPr>
              <w:t>项目名称：</w:t>
            </w:r>
            <w:r>
              <w:rPr>
                <w:rFonts w:hint="eastAsia" w:asciiTheme="minorEastAsia" w:hAnsiTheme="minorEastAsia" w:eastAsiaTheme="minorEastAsia"/>
                <w:highlight w:val="none"/>
                <w:u w:val="none"/>
                <w:lang w:eastAsia="zh-CN"/>
              </w:rPr>
              <w:t>2024年中国电信湖北公司采控中心技术研发项目（第二次）</w:t>
            </w:r>
          </w:p>
        </w:tc>
      </w:tr>
      <w:tr w14:paraId="3CD8708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60" w:hRule="atLeast"/>
          <w:jc w:val="center"/>
        </w:trPr>
        <w:tc>
          <w:tcPr>
            <w:tcW w:w="1688" w:type="dxa"/>
            <w:vAlign w:val="center"/>
          </w:tcPr>
          <w:p w14:paraId="1A37C33B">
            <w:pPr>
              <w:jc w:val="center"/>
              <w:rPr>
                <w:rFonts w:ascii="宋体" w:hAnsi="宋体"/>
                <w:bCs/>
                <w:highlight w:val="none"/>
              </w:rPr>
            </w:pPr>
            <w:r>
              <w:rPr>
                <w:rFonts w:hint="eastAsia" w:ascii="宋体" w:hAnsi="宋体"/>
                <w:bCs/>
                <w:highlight w:val="none"/>
              </w:rPr>
              <w:t>卖方</w:t>
            </w:r>
          </w:p>
        </w:tc>
        <w:tc>
          <w:tcPr>
            <w:tcW w:w="6660" w:type="dxa"/>
            <w:vAlign w:val="center"/>
          </w:tcPr>
          <w:p w14:paraId="79DD9207">
            <w:pPr>
              <w:autoSpaceDE w:val="0"/>
              <w:autoSpaceDN w:val="0"/>
              <w:spacing w:line="380" w:lineRule="exact"/>
              <w:rPr>
                <w:rFonts w:ascii="宋体" w:hAnsi="宋体"/>
                <w:bCs/>
                <w:szCs w:val="21"/>
                <w:highlight w:val="none"/>
              </w:rPr>
            </w:pPr>
            <w:r>
              <w:rPr>
                <w:rFonts w:ascii="宋体" w:hAnsi="宋体"/>
                <w:bCs/>
                <w:szCs w:val="21"/>
                <w:highlight w:val="none"/>
              </w:rPr>
              <w:t xml:space="preserve">名称、地址： </w:t>
            </w:r>
          </w:p>
          <w:p w14:paraId="0F05786A">
            <w:pPr>
              <w:autoSpaceDE w:val="0"/>
              <w:autoSpaceDN w:val="0"/>
              <w:spacing w:line="380" w:lineRule="exact"/>
              <w:rPr>
                <w:rFonts w:ascii="宋体" w:hAnsi="宋体"/>
                <w:bCs/>
                <w:szCs w:val="21"/>
                <w:highlight w:val="none"/>
              </w:rPr>
            </w:pPr>
            <w:r>
              <w:rPr>
                <w:rFonts w:ascii="宋体" w:hAnsi="宋体"/>
                <w:bCs/>
                <w:szCs w:val="21"/>
                <w:highlight w:val="none"/>
              </w:rPr>
              <w:t>项目名称</w:t>
            </w:r>
            <w:r>
              <w:rPr>
                <w:rFonts w:hint="eastAsia" w:ascii="宋体" w:hAnsi="宋体"/>
                <w:bCs/>
                <w:szCs w:val="21"/>
                <w:highlight w:val="none"/>
              </w:rPr>
              <w:t>：</w:t>
            </w:r>
            <w:r>
              <w:rPr>
                <w:rFonts w:ascii="宋体" w:hAnsi="宋体"/>
                <w:bCs/>
                <w:szCs w:val="21"/>
                <w:highlight w:val="none"/>
              </w:rPr>
              <w:t xml:space="preserve"> </w:t>
            </w:r>
          </w:p>
        </w:tc>
      </w:tr>
      <w:tr w14:paraId="3209CE1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1688" w:type="dxa"/>
            <w:vAlign w:val="center"/>
          </w:tcPr>
          <w:p w14:paraId="774AA7C3">
            <w:pPr>
              <w:jc w:val="center"/>
              <w:rPr>
                <w:rFonts w:ascii="宋体" w:hAnsi="宋体"/>
                <w:bCs/>
                <w:highlight w:val="none"/>
              </w:rPr>
            </w:pPr>
            <w:r>
              <w:rPr>
                <w:rFonts w:hint="eastAsia" w:ascii="宋体" w:hAnsi="宋体"/>
                <w:highlight w:val="none"/>
              </w:rPr>
              <w:t>付款方式</w:t>
            </w:r>
          </w:p>
        </w:tc>
        <w:tc>
          <w:tcPr>
            <w:tcW w:w="6660" w:type="dxa"/>
            <w:vAlign w:val="center"/>
          </w:tcPr>
          <w:p w14:paraId="58F92FD2">
            <w:pPr>
              <w:rPr>
                <w:rFonts w:ascii="宋体" w:hAnsi="宋体"/>
                <w:bCs/>
                <w:szCs w:val="21"/>
                <w:highlight w:val="none"/>
              </w:rPr>
            </w:pPr>
            <w:r>
              <w:rPr>
                <w:rFonts w:hAnsi="宋体"/>
                <w:highlight w:val="none"/>
              </w:rPr>
              <w:t>首付支付合同总价30%，初验后支付合同总价的60%，终验后支付合同总价的10 %。</w:t>
            </w:r>
          </w:p>
        </w:tc>
      </w:tr>
      <w:tr w14:paraId="1CA82F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1688" w:type="dxa"/>
            <w:vAlign w:val="center"/>
          </w:tcPr>
          <w:p w14:paraId="337C94C6">
            <w:pPr>
              <w:jc w:val="center"/>
              <w:rPr>
                <w:rFonts w:ascii="宋体" w:hAnsi="宋体"/>
                <w:bCs/>
                <w:highlight w:val="none"/>
              </w:rPr>
            </w:pPr>
            <w:r>
              <w:rPr>
                <w:rFonts w:hint="eastAsia" w:ascii="宋体" w:hAnsi="宋体"/>
                <w:bCs/>
                <w:highlight w:val="none"/>
              </w:rPr>
              <w:t>项目</w:t>
            </w:r>
            <w:r>
              <w:rPr>
                <w:rFonts w:hint="eastAsia" w:ascii="宋体" w:hAnsi="宋体"/>
                <w:bCs/>
                <w:highlight w:val="none"/>
                <w:lang w:val="en-US" w:eastAsia="zh-CN"/>
              </w:rPr>
              <w:t>交付</w:t>
            </w:r>
            <w:r>
              <w:rPr>
                <w:rFonts w:hint="eastAsia" w:ascii="宋体" w:hAnsi="宋体"/>
                <w:bCs/>
                <w:highlight w:val="none"/>
              </w:rPr>
              <w:t>时限</w:t>
            </w:r>
          </w:p>
        </w:tc>
        <w:tc>
          <w:tcPr>
            <w:tcW w:w="6660" w:type="dxa"/>
            <w:vAlign w:val="center"/>
          </w:tcPr>
          <w:p w14:paraId="2C029CE4">
            <w:pPr>
              <w:jc w:val="left"/>
              <w:rPr>
                <w:rFonts w:ascii="宋体" w:hAnsi="宋体"/>
                <w:bCs/>
                <w:highlight w:val="none"/>
              </w:rPr>
            </w:pPr>
            <w:r>
              <w:rPr>
                <w:rFonts w:hint="eastAsia" w:ascii="宋体" w:hAnsi="宋体"/>
                <w:bCs/>
                <w:highlight w:val="none"/>
              </w:rPr>
              <w:t>详见技术规范书</w:t>
            </w:r>
          </w:p>
        </w:tc>
      </w:tr>
      <w:tr w14:paraId="03AC61A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1688" w:type="dxa"/>
            <w:vAlign w:val="center"/>
          </w:tcPr>
          <w:p w14:paraId="4F96318B">
            <w:pPr>
              <w:jc w:val="center"/>
              <w:rPr>
                <w:rFonts w:ascii="宋体" w:hAnsi="宋体"/>
                <w:bCs/>
                <w:highlight w:val="none"/>
              </w:rPr>
            </w:pPr>
            <w:r>
              <w:rPr>
                <w:rFonts w:hint="eastAsia" w:ascii="宋体" w:hAnsi="宋体"/>
                <w:highlight w:val="none"/>
              </w:rPr>
              <w:t>保密</w:t>
            </w:r>
          </w:p>
        </w:tc>
        <w:tc>
          <w:tcPr>
            <w:tcW w:w="6660" w:type="dxa"/>
            <w:vAlign w:val="center"/>
          </w:tcPr>
          <w:p w14:paraId="537097FB">
            <w:pPr>
              <w:jc w:val="left"/>
              <w:rPr>
                <w:rFonts w:ascii="宋体" w:hAnsi="宋体"/>
                <w:bCs/>
                <w:highlight w:val="none"/>
              </w:rPr>
            </w:pPr>
            <w:r>
              <w:rPr>
                <w:rFonts w:hint="eastAsia" w:ascii="宋体" w:hAnsi="宋体"/>
                <w:highlight w:val="none"/>
              </w:rPr>
              <w:t>乙方不得将保密资料的部分或全部用于项目约定事项以外的其他用途。</w:t>
            </w:r>
          </w:p>
        </w:tc>
      </w:tr>
      <w:tr w14:paraId="34F25E2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jc w:val="center"/>
        </w:trPr>
        <w:tc>
          <w:tcPr>
            <w:tcW w:w="1688" w:type="dxa"/>
            <w:vAlign w:val="center"/>
          </w:tcPr>
          <w:p w14:paraId="1F3B11D2">
            <w:pPr>
              <w:spacing w:line="360" w:lineRule="exact"/>
              <w:jc w:val="center"/>
              <w:rPr>
                <w:rFonts w:ascii="宋体" w:hAnsi="宋体"/>
                <w:bCs/>
                <w:szCs w:val="21"/>
                <w:highlight w:val="none"/>
              </w:rPr>
            </w:pPr>
            <w:r>
              <w:rPr>
                <w:rFonts w:hint="eastAsia" w:ascii="宋体" w:hAnsi="宋体"/>
                <w:highlight w:val="none"/>
              </w:rPr>
              <w:t>差错责任</w:t>
            </w:r>
          </w:p>
        </w:tc>
        <w:tc>
          <w:tcPr>
            <w:tcW w:w="6660" w:type="dxa"/>
            <w:vAlign w:val="center"/>
          </w:tcPr>
          <w:p w14:paraId="36C1C1A0">
            <w:pPr>
              <w:spacing w:line="360" w:lineRule="exact"/>
              <w:rPr>
                <w:rFonts w:ascii="宋体" w:hAnsi="宋体"/>
                <w:bCs/>
                <w:szCs w:val="21"/>
                <w:highlight w:val="none"/>
              </w:rPr>
            </w:pPr>
            <w:r>
              <w:rPr>
                <w:rFonts w:hint="eastAsia" w:ascii="宋体" w:hAnsi="宋体"/>
                <w:highlight w:val="none"/>
              </w:rPr>
              <w:t>由于乙方原因造成错误的，乙方应立即自</w:t>
            </w:r>
            <w:r>
              <w:rPr>
                <w:rFonts w:hint="eastAsia" w:ascii="宋体" w:hAnsi="宋体"/>
                <w:highlight w:val="none"/>
                <w:lang w:val="en-US" w:eastAsia="zh-CN"/>
              </w:rPr>
              <w:t>付</w:t>
            </w:r>
            <w:r>
              <w:rPr>
                <w:rFonts w:hint="eastAsia" w:ascii="宋体" w:hAnsi="宋体"/>
                <w:highlight w:val="none"/>
              </w:rPr>
              <w:t>费用采取足够补救措施以弥补错误，由此给甲方造成不良影响或损害的，乙方应负责解决并承担赔偿责任。</w:t>
            </w:r>
          </w:p>
        </w:tc>
      </w:tr>
    </w:tbl>
    <w:p w14:paraId="2A894AB2">
      <w:pPr>
        <w:spacing w:after="120"/>
        <w:ind w:firstLine="480" w:firstLineChars="200"/>
        <w:rPr>
          <w:highlight w:val="none"/>
        </w:rPr>
      </w:pPr>
      <w:r>
        <w:rPr>
          <w:rFonts w:ascii="仿宋" w:hAnsi="仿宋" w:eastAsia="仿宋"/>
          <w:sz w:val="24"/>
          <w:highlight w:val="none"/>
        </w:rPr>
        <w:t>本表是对</w:t>
      </w:r>
      <w:r>
        <w:rPr>
          <w:rFonts w:hint="eastAsia" w:ascii="仿宋" w:hAnsi="仿宋" w:eastAsia="仿宋"/>
          <w:sz w:val="24"/>
          <w:highlight w:val="none"/>
          <w:lang w:val="en-US" w:eastAsia="zh-CN"/>
        </w:rPr>
        <w:t>合同</w:t>
      </w:r>
      <w:r>
        <w:rPr>
          <w:rFonts w:hint="eastAsia" w:ascii="仿宋" w:hAnsi="仿宋" w:eastAsia="仿宋"/>
          <w:sz w:val="24"/>
          <w:highlight w:val="none"/>
        </w:rPr>
        <w:t>条款</w:t>
      </w:r>
      <w:r>
        <w:rPr>
          <w:rFonts w:ascii="仿宋" w:hAnsi="仿宋" w:eastAsia="仿宋"/>
          <w:sz w:val="24"/>
          <w:highlight w:val="none"/>
        </w:rPr>
        <w:t>的具体补充和修改，如有矛盾，应以本前附表为准</w:t>
      </w:r>
      <w:r>
        <w:rPr>
          <w:highlight w:val="none"/>
        </w:rPr>
        <w:t>。</w:t>
      </w:r>
    </w:p>
    <w:p w14:paraId="3C5C1475">
      <w:pPr>
        <w:widowControl/>
        <w:jc w:val="left"/>
        <w:rPr>
          <w:rFonts w:ascii="宋体" w:hAnsi="宋体" w:cs="宋体"/>
          <w:b/>
          <w:bCs/>
          <w:kern w:val="0"/>
          <w:sz w:val="28"/>
          <w:szCs w:val="28"/>
          <w:highlight w:val="none"/>
        </w:rPr>
        <w:sectPr>
          <w:pgSz w:w="11906" w:h="16838"/>
          <w:pgMar w:top="1440" w:right="1800" w:bottom="1440" w:left="1800" w:header="851" w:footer="992" w:gutter="0"/>
          <w:pgNumType w:fmt="decimal"/>
          <w:cols w:space="425" w:num="1"/>
          <w:docGrid w:type="lines" w:linePitch="312" w:charSpace="0"/>
        </w:sectPr>
      </w:pPr>
    </w:p>
    <w:p w14:paraId="5D39297B">
      <w:pPr>
        <w:spacing w:line="360" w:lineRule="exact"/>
        <w:jc w:val="center"/>
        <w:rPr>
          <w:rFonts w:ascii="仿宋" w:hAnsi="仿宋" w:eastAsia="仿宋"/>
          <w:b/>
          <w:color w:val="000000"/>
          <w:sz w:val="28"/>
          <w:highlight w:val="none"/>
        </w:rPr>
      </w:pPr>
      <w:r>
        <w:rPr>
          <w:rFonts w:ascii="仿宋" w:hAnsi="仿宋" w:eastAsia="仿宋"/>
          <w:b/>
          <w:color w:val="000000"/>
          <w:sz w:val="28"/>
          <w:highlight w:val="none"/>
        </w:rPr>
        <w:t>[  ]</w:t>
      </w:r>
      <w:r>
        <w:rPr>
          <w:rFonts w:hint="eastAsia" w:ascii="仿宋" w:hAnsi="仿宋" w:eastAsia="仿宋"/>
          <w:b/>
          <w:color w:val="000000"/>
          <w:sz w:val="28"/>
          <w:highlight w:val="none"/>
        </w:rPr>
        <w:t>软件开发合同</w:t>
      </w:r>
    </w:p>
    <w:p w14:paraId="1A9A96B0">
      <w:pPr>
        <w:widowControl/>
        <w:autoSpaceDE w:val="0"/>
        <w:autoSpaceDN w:val="0"/>
        <w:spacing w:line="360" w:lineRule="exact"/>
        <w:textAlignment w:val="bottom"/>
        <w:rPr>
          <w:rFonts w:ascii="仿宋" w:hAnsi="仿宋" w:eastAsia="仿宋"/>
          <w:color w:val="000000"/>
          <w:sz w:val="24"/>
          <w:highlight w:val="none"/>
        </w:rPr>
      </w:pPr>
    </w:p>
    <w:p w14:paraId="62B87C24">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合同签订地：</w:t>
      </w:r>
      <w:r>
        <w:rPr>
          <w:rFonts w:ascii="仿宋" w:hAnsi="仿宋" w:eastAsia="仿宋"/>
          <w:color w:val="000000"/>
          <w:sz w:val="24"/>
          <w:highlight w:val="none"/>
        </w:rPr>
        <w:t>[</w:t>
      </w:r>
      <w:r>
        <w:rPr>
          <w:rFonts w:hint="eastAsia" w:ascii="仿宋" w:hAnsi="仿宋" w:eastAsia="仿宋"/>
          <w:color w:val="000000"/>
          <w:sz w:val="24"/>
          <w:highlight w:val="none"/>
        </w:rPr>
        <w:t>湖北武汉</w:t>
      </w:r>
      <w:r>
        <w:rPr>
          <w:rFonts w:ascii="仿宋" w:hAnsi="仿宋" w:eastAsia="仿宋"/>
          <w:color w:val="000000"/>
          <w:sz w:val="24"/>
          <w:highlight w:val="none"/>
        </w:rPr>
        <w:t xml:space="preserve">]                           </w:t>
      </w:r>
    </w:p>
    <w:p w14:paraId="61CDA412">
      <w:pPr>
        <w:widowControl/>
        <w:autoSpaceDE w:val="0"/>
        <w:autoSpaceDN w:val="0"/>
        <w:spacing w:line="360" w:lineRule="exact"/>
        <w:textAlignment w:val="bottom"/>
        <w:rPr>
          <w:rFonts w:ascii="仿宋" w:hAnsi="仿宋" w:eastAsia="仿宋"/>
          <w:color w:val="000000"/>
          <w:sz w:val="24"/>
          <w:highlight w:val="none"/>
        </w:rPr>
      </w:pPr>
    </w:p>
    <w:p w14:paraId="37226827">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甲方（委托方）：中国电信</w:t>
      </w:r>
      <w:r>
        <w:rPr>
          <w:rFonts w:ascii="仿宋" w:hAnsi="仿宋" w:eastAsia="仿宋"/>
          <w:color w:val="000000"/>
          <w:sz w:val="24"/>
          <w:highlight w:val="none"/>
        </w:rPr>
        <w:t>[</w:t>
      </w:r>
      <w:r>
        <w:rPr>
          <w:rFonts w:hint="eastAsia" w:ascii="仿宋" w:hAnsi="仿宋" w:eastAsia="仿宋"/>
          <w:color w:val="000000"/>
          <w:sz w:val="24"/>
          <w:highlight w:val="none"/>
          <w:lang w:eastAsia="zh-CN"/>
        </w:rPr>
        <w:t>股份有限公司湖北分</w:t>
      </w:r>
      <w:r>
        <w:rPr>
          <w:rFonts w:ascii="仿宋" w:hAnsi="仿宋" w:eastAsia="仿宋"/>
          <w:color w:val="000000"/>
          <w:sz w:val="24"/>
          <w:highlight w:val="none"/>
        </w:rPr>
        <w:t>]公司</w:t>
      </w:r>
    </w:p>
    <w:p w14:paraId="6D436C8D">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地址：</w:t>
      </w:r>
      <w:r>
        <w:rPr>
          <w:rFonts w:ascii="仿宋" w:hAnsi="仿宋" w:eastAsia="仿宋"/>
          <w:color w:val="000000"/>
          <w:sz w:val="24"/>
          <w:highlight w:val="none"/>
        </w:rPr>
        <w:t>[</w:t>
      </w:r>
      <w:r>
        <w:rPr>
          <w:rFonts w:hint="eastAsia" w:ascii="仿宋" w:hAnsi="仿宋" w:eastAsia="仿宋"/>
          <w:color w:val="000000"/>
          <w:sz w:val="24"/>
          <w:highlight w:val="none"/>
        </w:rPr>
        <w:t>湖北省武汉市江汉区常青路158号</w:t>
      </w:r>
      <w:r>
        <w:rPr>
          <w:rFonts w:ascii="仿宋" w:hAnsi="仿宋" w:eastAsia="仿宋"/>
          <w:color w:val="000000"/>
          <w:sz w:val="24"/>
          <w:highlight w:val="none"/>
        </w:rPr>
        <w:t xml:space="preserve">]             </w:t>
      </w:r>
    </w:p>
    <w:p w14:paraId="710FDF24">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法定代表人</w:t>
      </w:r>
      <w:r>
        <w:rPr>
          <w:rFonts w:ascii="仿宋" w:hAnsi="仿宋" w:eastAsia="仿宋"/>
          <w:color w:val="000000"/>
          <w:sz w:val="24"/>
          <w:highlight w:val="none"/>
        </w:rPr>
        <w:t>/负责人：[</w:t>
      </w:r>
      <w:r>
        <w:rPr>
          <w:rFonts w:hint="eastAsia" w:ascii="仿宋" w:hAnsi="仿宋" w:eastAsia="仿宋"/>
          <w:color w:val="000000"/>
          <w:sz w:val="24"/>
          <w:highlight w:val="none"/>
        </w:rPr>
        <w:t>张敏</w:t>
      </w:r>
      <w:r>
        <w:rPr>
          <w:rFonts w:ascii="仿宋" w:hAnsi="仿宋" w:eastAsia="仿宋"/>
          <w:color w:val="000000"/>
          <w:sz w:val="24"/>
          <w:highlight w:val="none"/>
        </w:rPr>
        <w:t xml:space="preserve">] </w:t>
      </w:r>
    </w:p>
    <w:p w14:paraId="6AE75E2F">
      <w:pPr>
        <w:widowControl/>
        <w:autoSpaceDE w:val="0"/>
        <w:autoSpaceDN w:val="0"/>
        <w:spacing w:line="360" w:lineRule="exact"/>
        <w:textAlignment w:val="bottom"/>
        <w:rPr>
          <w:rFonts w:ascii="仿宋" w:hAnsi="仿宋" w:eastAsia="仿宋"/>
          <w:color w:val="000000"/>
          <w:sz w:val="24"/>
          <w:highlight w:val="none"/>
        </w:rPr>
      </w:pPr>
    </w:p>
    <w:p w14:paraId="7C0E4751">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乙方（受托方）</w:t>
      </w:r>
      <w:r>
        <w:rPr>
          <w:rFonts w:ascii="仿宋" w:hAnsi="仿宋" w:eastAsia="仿宋"/>
          <w:color w:val="000000"/>
          <w:sz w:val="24"/>
          <w:highlight w:val="none"/>
        </w:rPr>
        <w:t>: [  ]</w:t>
      </w:r>
    </w:p>
    <w:p w14:paraId="4BB37861">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地址：</w:t>
      </w:r>
      <w:r>
        <w:rPr>
          <w:rFonts w:ascii="仿宋" w:hAnsi="仿宋" w:eastAsia="仿宋"/>
          <w:color w:val="000000"/>
          <w:sz w:val="24"/>
          <w:highlight w:val="none"/>
        </w:rPr>
        <w:t xml:space="preserve">[  ] </w:t>
      </w:r>
    </w:p>
    <w:p w14:paraId="3D80DF1C">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法定代表人</w:t>
      </w:r>
      <w:r>
        <w:rPr>
          <w:rFonts w:ascii="仿宋" w:hAnsi="仿宋" w:eastAsia="仿宋"/>
          <w:color w:val="000000"/>
          <w:sz w:val="24"/>
          <w:highlight w:val="none"/>
        </w:rPr>
        <w:t>/负责人：[  ]</w:t>
      </w:r>
    </w:p>
    <w:p w14:paraId="44F97FD0">
      <w:pPr>
        <w:widowControl/>
        <w:autoSpaceDE w:val="0"/>
        <w:autoSpaceDN w:val="0"/>
        <w:spacing w:line="360" w:lineRule="exact"/>
        <w:textAlignment w:val="bottom"/>
        <w:rPr>
          <w:rFonts w:ascii="仿宋" w:hAnsi="仿宋" w:eastAsia="仿宋"/>
          <w:color w:val="000000"/>
          <w:sz w:val="24"/>
          <w:highlight w:val="none"/>
        </w:rPr>
      </w:pPr>
    </w:p>
    <w:p w14:paraId="70AD8ABB">
      <w:pPr>
        <w:widowControl/>
        <w:autoSpaceDE w:val="0"/>
        <w:autoSpaceDN w:val="0"/>
        <w:spacing w:line="360" w:lineRule="exact"/>
        <w:ind w:firstLine="480" w:firstLineChars="200"/>
        <w:textAlignment w:val="bottom"/>
        <w:rPr>
          <w:rFonts w:ascii="仿宋" w:hAnsi="仿宋" w:eastAsia="仿宋"/>
          <w:b/>
          <w:color w:val="000000"/>
          <w:sz w:val="24"/>
          <w:highlight w:val="none"/>
        </w:rPr>
      </w:pPr>
      <w:r>
        <w:rPr>
          <w:rFonts w:hint="eastAsia" w:ascii="仿宋" w:hAnsi="仿宋" w:eastAsia="仿宋"/>
          <w:color w:val="000000"/>
          <w:sz w:val="24"/>
          <w:highlight w:val="none"/>
        </w:rPr>
        <w:t>双方本着平等互惠的原则签署本合同。</w:t>
      </w:r>
      <w:bookmarkStart w:id="626" w:name="_Toc33253828"/>
    </w:p>
    <w:p w14:paraId="0869C64A">
      <w:pPr>
        <w:widowControl/>
        <w:autoSpaceDE w:val="0"/>
        <w:autoSpaceDN w:val="0"/>
        <w:spacing w:line="360" w:lineRule="exact"/>
        <w:ind w:firstLine="480" w:firstLineChars="200"/>
        <w:textAlignment w:val="bottom"/>
        <w:rPr>
          <w:rFonts w:ascii="仿宋" w:hAnsi="仿宋" w:eastAsia="仿宋"/>
          <w:b/>
          <w:color w:val="000000"/>
          <w:sz w:val="24"/>
          <w:highlight w:val="none"/>
        </w:rPr>
      </w:pPr>
      <w:r>
        <w:rPr>
          <w:rFonts w:hint="eastAsia" w:ascii="仿宋" w:hAnsi="仿宋" w:eastAsia="仿宋"/>
          <w:b/>
          <w:color w:val="000000"/>
          <w:sz w:val="24"/>
          <w:highlight w:val="none"/>
        </w:rPr>
        <w:t>第一条定义</w:t>
      </w:r>
      <w:bookmarkEnd w:id="626"/>
    </w:p>
    <w:p w14:paraId="3EF93C33">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软件”：软件是指由硬连线逻辑指令及置于系统储存器内的机器可读码（包括但不限于半导体装置或系统）组成的电脑程序，可提供基本逻辑、操作指令以及与用户相关的应用程序指令，包括用于说明、维护及使用程序的有关文件。软件包括系统软件和应用软件。</w:t>
      </w:r>
    </w:p>
    <w:p w14:paraId="088CB688">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1.2“系统软件”：乙方合法地用于开发应用软件的第三方软件和/或自有软件。乙方承诺已从系统软件权利人处取得系统软件的许可使用权（或乙方为系统软件的著作权人），并有权许可甲方或甲方指定的第三方使用并用于应用软件，且该授权长期合法有效并能够满足本项目需要。</w:t>
      </w:r>
      <w:r>
        <w:rPr>
          <w:rFonts w:hint="eastAsia" w:ascii="仿宋" w:hAnsi="仿宋" w:eastAsia="仿宋"/>
          <w:color w:val="000000"/>
          <w:sz w:val="24"/>
          <w:highlight w:val="none"/>
        </w:rPr>
        <w:t>系统软件的著作权人，在本合同中指：</w:t>
      </w:r>
      <w:r>
        <w:rPr>
          <w:rFonts w:ascii="仿宋" w:hAnsi="仿宋" w:eastAsia="仿宋"/>
          <w:color w:val="000000"/>
          <w:sz w:val="24"/>
          <w:highlight w:val="none"/>
        </w:rPr>
        <w:t>[</w:t>
      </w:r>
      <w:r>
        <w:rPr>
          <w:rFonts w:hint="eastAsia" w:ascii="仿宋" w:hAnsi="仿宋" w:eastAsia="仿宋"/>
          <w:color w:val="000000"/>
          <w:sz w:val="24"/>
          <w:highlight w:val="none"/>
        </w:rPr>
        <w:t>乙方或授权乙方的第三方</w:t>
      </w:r>
      <w:r>
        <w:rPr>
          <w:rFonts w:ascii="仿宋" w:hAnsi="仿宋" w:eastAsia="仿宋"/>
          <w:color w:val="000000"/>
          <w:sz w:val="24"/>
          <w:highlight w:val="none"/>
        </w:rPr>
        <w:t>]。</w:t>
      </w:r>
    </w:p>
    <w:p w14:paraId="495430DC">
      <w:pPr>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1.3“应用软件”：乙方根据本合同商务和技术要求为</w:t>
      </w:r>
      <w:r>
        <w:rPr>
          <w:rFonts w:hint="eastAsia" w:ascii="仿宋" w:hAnsi="仿宋" w:eastAsia="仿宋"/>
          <w:color w:val="000000"/>
          <w:sz w:val="24"/>
          <w:highlight w:val="none"/>
        </w:rPr>
        <w:t>甲方</w:t>
      </w:r>
      <w:r>
        <w:rPr>
          <w:rFonts w:ascii="仿宋" w:hAnsi="仿宋" w:eastAsia="仿宋"/>
          <w:color w:val="000000"/>
          <w:sz w:val="24"/>
          <w:highlight w:val="none"/>
        </w:rPr>
        <w:t>[</w:t>
      </w:r>
      <w:r>
        <w:rPr>
          <w:rFonts w:hint="eastAsia" w:ascii="仿宋" w:hAnsi="仿宋" w:eastAsia="仿宋"/>
          <w:color w:val="000000"/>
          <w:sz w:val="24"/>
          <w:highlight w:val="none"/>
          <w:lang w:eastAsia="zh-CN"/>
        </w:rPr>
        <w:t>2024年中国电信湖北公司采控中心技术研发项目（第二次）</w:t>
      </w:r>
      <w:r>
        <w:rPr>
          <w:rFonts w:ascii="仿宋" w:hAnsi="仿宋" w:eastAsia="仿宋"/>
          <w:color w:val="000000"/>
          <w:sz w:val="24"/>
          <w:highlight w:val="none"/>
        </w:rPr>
        <w:t>]工程</w:t>
      </w:r>
      <w:r>
        <w:rPr>
          <w:rFonts w:hint="eastAsia" w:ascii="仿宋" w:hAnsi="仿宋" w:eastAsia="仿宋"/>
          <w:color w:val="000000"/>
          <w:sz w:val="24"/>
          <w:highlight w:val="none"/>
        </w:rPr>
        <w:t>（“项目”或“工程”）开发、研制的软件</w:t>
      </w:r>
      <w:r>
        <w:rPr>
          <w:rFonts w:ascii="仿宋" w:hAnsi="仿宋" w:eastAsia="仿宋"/>
          <w:color w:val="000000"/>
          <w:sz w:val="24"/>
          <w:highlight w:val="none"/>
        </w:rPr>
        <w:t>,包括技术文件及技术资料等。</w:t>
      </w:r>
    </w:p>
    <w:p w14:paraId="290929E9">
      <w:pPr>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1.4“技术文件”或“技术资料”：合同</w:t>
      </w:r>
      <w:r>
        <w:rPr>
          <w:rFonts w:hint="eastAsia" w:ascii="仿宋" w:hAnsi="仿宋" w:eastAsia="仿宋"/>
          <w:color w:val="000000"/>
          <w:sz w:val="24"/>
          <w:highlight w:val="none"/>
        </w:rPr>
        <w:t>附件四中规定的所有与应用软件、技术开发及服务、软件的安装、调测、运行、维护和检验相关的文件。</w:t>
      </w:r>
    </w:p>
    <w:p w14:paraId="04411CB8">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1.5“培训”：按合同约定，乙方为确保设计开发的应用软件能够充分适当地被甲方使用而向甲方提供的服务。</w:t>
      </w:r>
    </w:p>
    <w:p w14:paraId="279B7A1D">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1.6“服务”：按合同规定由乙方向甲方就所设计开发的应用软件做出的行为和担保。</w:t>
      </w:r>
    </w:p>
    <w:p w14:paraId="43A74C8A">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1.7“现场”：对应用软件进行安装和运行的场所。</w:t>
      </w:r>
    </w:p>
    <w:p w14:paraId="20493DBA">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1.8“初验”：甲方按照</w:t>
      </w:r>
      <w:r>
        <w:rPr>
          <w:rFonts w:hint="eastAsia" w:ascii="仿宋" w:hAnsi="仿宋" w:eastAsia="仿宋"/>
          <w:color w:val="000000"/>
          <w:sz w:val="24"/>
          <w:highlight w:val="none"/>
        </w:rPr>
        <w:t>附件二对应用软件按照测试规范进行测试和验证。合格后，甲方与乙方共同签署初验证书。</w:t>
      </w:r>
    </w:p>
    <w:p w14:paraId="0D61AF3E">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1.9“移交”：乙方在约定时间内向甲方提交应用软件设计文件、开发各阶段文件及应用软件全部源代码</w:t>
      </w:r>
      <w:r>
        <w:rPr>
          <w:rFonts w:hint="eastAsia" w:ascii="仿宋" w:hAnsi="仿宋" w:eastAsia="仿宋"/>
          <w:color w:val="000000"/>
          <w:sz w:val="24"/>
          <w:highlight w:val="none"/>
        </w:rPr>
        <w:t>。</w:t>
      </w:r>
    </w:p>
    <w:p w14:paraId="68CBA3AA">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1.10“试运行”：在初验合格后与最终验收之间的一段时间内，对应用软件进行运行，用来证明应用软件的指标是否达到了</w:t>
      </w:r>
      <w:r>
        <w:rPr>
          <w:rFonts w:hint="eastAsia" w:ascii="仿宋" w:hAnsi="仿宋" w:eastAsia="仿宋"/>
          <w:color w:val="000000"/>
          <w:sz w:val="24"/>
          <w:highlight w:val="none"/>
        </w:rPr>
        <w:t>附件二规定的所有要求。</w:t>
      </w:r>
    </w:p>
    <w:p w14:paraId="34656CF8">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1.11“最终验收”或“终验”：甲方对应用软件按照</w:t>
      </w:r>
      <w:r>
        <w:rPr>
          <w:rFonts w:hint="eastAsia" w:ascii="仿宋" w:hAnsi="仿宋" w:eastAsia="仿宋"/>
          <w:color w:val="000000"/>
          <w:highlight w:val="none"/>
        </w:rPr>
        <w:t>附件二进行最终验收。合格后，由甲乙双方共同签署终验证书。</w:t>
      </w:r>
    </w:p>
    <w:p w14:paraId="3104872C">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1.12“保修期”：按照本合同约定，乙方提供对应用软件的免费修复、免费技术支持和服务、以及免费升级，以保证整个工程系统正常运行的时期。</w:t>
      </w:r>
    </w:p>
    <w:p w14:paraId="601AED31">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1.13“响应时间”：乙方就甲方提出的问题予以答复并提供可行性解决方案的时间。</w:t>
      </w:r>
    </w:p>
    <w:p w14:paraId="092D32E9">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1.14“一方”：</w:t>
      </w:r>
      <w:r>
        <w:rPr>
          <w:rFonts w:hint="eastAsia" w:ascii="仿宋" w:hAnsi="仿宋" w:eastAsia="仿宋"/>
          <w:color w:val="000000"/>
          <w:sz w:val="24"/>
          <w:highlight w:val="none"/>
        </w:rPr>
        <w:t>甲方或乙方。</w:t>
      </w:r>
    </w:p>
    <w:p w14:paraId="02108DE9">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1.15“双方”：</w:t>
      </w:r>
      <w:r>
        <w:rPr>
          <w:rFonts w:hint="eastAsia" w:ascii="仿宋" w:hAnsi="仿宋" w:eastAsia="仿宋"/>
          <w:color w:val="000000"/>
          <w:sz w:val="24"/>
          <w:highlight w:val="none"/>
        </w:rPr>
        <w:t>甲方和乙方。</w:t>
      </w:r>
    </w:p>
    <w:p w14:paraId="6FA4DD31">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1.16“中国”：中华人民共和国，</w:t>
      </w:r>
      <w:r>
        <w:rPr>
          <w:rFonts w:hint="eastAsia" w:ascii="仿宋" w:hAnsi="仿宋" w:eastAsia="仿宋"/>
          <w:color w:val="000000"/>
          <w:sz w:val="24"/>
          <w:highlight w:val="none"/>
        </w:rPr>
        <w:t>为本合同之目的不包括香港特别</w:t>
      </w:r>
      <w:r>
        <w:rPr>
          <w:rFonts w:ascii="仿宋" w:hAnsi="仿宋" w:eastAsia="仿宋"/>
          <w:color w:val="000000"/>
          <w:sz w:val="24"/>
          <w:highlight w:val="none"/>
        </w:rPr>
        <w:t>行政区</w:t>
      </w:r>
      <w:r>
        <w:rPr>
          <w:rFonts w:hint="eastAsia" w:ascii="仿宋" w:hAnsi="仿宋" w:eastAsia="仿宋"/>
          <w:color w:val="000000"/>
          <w:sz w:val="24"/>
          <w:highlight w:val="none"/>
        </w:rPr>
        <w:t>、澳门特别</w:t>
      </w:r>
      <w:r>
        <w:rPr>
          <w:rFonts w:ascii="仿宋" w:hAnsi="仿宋" w:eastAsia="仿宋"/>
          <w:color w:val="000000"/>
          <w:sz w:val="24"/>
          <w:highlight w:val="none"/>
        </w:rPr>
        <w:t>行政区</w:t>
      </w:r>
      <w:r>
        <w:rPr>
          <w:rFonts w:hint="eastAsia" w:ascii="仿宋" w:hAnsi="仿宋" w:eastAsia="仿宋"/>
          <w:color w:val="000000"/>
          <w:sz w:val="24"/>
          <w:highlight w:val="none"/>
        </w:rPr>
        <w:t>和台湾地区。</w:t>
      </w:r>
    </w:p>
    <w:p w14:paraId="1432AD93">
      <w:pPr>
        <w:widowControl/>
        <w:autoSpaceDE w:val="0"/>
        <w:autoSpaceDN w:val="0"/>
        <w:spacing w:line="360" w:lineRule="exact"/>
        <w:ind w:firstLine="480" w:firstLineChars="200"/>
        <w:textAlignment w:val="bottom"/>
        <w:rPr>
          <w:rFonts w:ascii="仿宋" w:hAnsi="仿宋" w:eastAsia="仿宋"/>
          <w:b/>
          <w:color w:val="000000"/>
          <w:sz w:val="24"/>
          <w:highlight w:val="none"/>
        </w:rPr>
      </w:pPr>
      <w:r>
        <w:rPr>
          <w:rFonts w:hint="eastAsia" w:ascii="仿宋" w:hAnsi="仿宋" w:eastAsia="仿宋"/>
          <w:b/>
          <w:color w:val="000000"/>
          <w:sz w:val="24"/>
          <w:highlight w:val="none"/>
        </w:rPr>
        <w:t>第二条</w:t>
      </w:r>
      <w:bookmarkStart w:id="627" w:name="_Toc33253829"/>
      <w:r>
        <w:rPr>
          <w:rFonts w:hint="eastAsia" w:ascii="仿宋" w:hAnsi="仿宋" w:eastAsia="仿宋"/>
          <w:b/>
          <w:color w:val="000000"/>
          <w:sz w:val="24"/>
          <w:highlight w:val="none"/>
        </w:rPr>
        <w:t>合同标的</w:t>
      </w:r>
      <w:bookmarkEnd w:id="627"/>
    </w:p>
    <w:p w14:paraId="39D38916">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2.1甲方委托乙方为</w:t>
      </w:r>
      <w:r>
        <w:rPr>
          <w:rFonts w:hint="eastAsia" w:ascii="仿宋" w:hAnsi="仿宋" w:eastAsia="仿宋"/>
          <w:color w:val="000000"/>
          <w:sz w:val="24"/>
          <w:highlight w:val="none"/>
        </w:rPr>
        <w:t>甲方</w:t>
      </w:r>
      <w:r>
        <w:rPr>
          <w:rFonts w:ascii="仿宋" w:hAnsi="仿宋" w:eastAsia="仿宋"/>
          <w:color w:val="000000"/>
          <w:sz w:val="24"/>
          <w:highlight w:val="none"/>
        </w:rPr>
        <w:t>[</w:t>
      </w:r>
      <w:r>
        <w:rPr>
          <w:rFonts w:hint="eastAsia" w:ascii="仿宋" w:hAnsi="仿宋" w:eastAsia="仿宋"/>
          <w:color w:val="000000"/>
          <w:sz w:val="24"/>
          <w:highlight w:val="none"/>
          <w:lang w:eastAsia="zh-CN"/>
        </w:rPr>
        <w:t>2024年中国电信湖北公司采控中心技术研发项目（第二次）</w:t>
      </w:r>
      <w:r>
        <w:rPr>
          <w:rFonts w:ascii="仿宋" w:hAnsi="仿宋" w:eastAsia="仿宋"/>
          <w:color w:val="000000"/>
          <w:sz w:val="24"/>
          <w:highlight w:val="none"/>
        </w:rPr>
        <w:t>]工程开发“[</w:t>
      </w:r>
      <w:r>
        <w:rPr>
          <w:rFonts w:hint="eastAsia" w:ascii="仿宋" w:hAnsi="仿宋" w:eastAsia="仿宋"/>
          <w:color w:val="000000"/>
          <w:sz w:val="24"/>
          <w:highlight w:val="none"/>
          <w:lang w:eastAsia="zh-CN"/>
        </w:rPr>
        <w:t>2024年中国电信湖北公司采控中心技术研发项目（第二次）</w:t>
      </w:r>
      <w:r>
        <w:rPr>
          <w:rFonts w:ascii="仿宋" w:hAnsi="仿宋" w:eastAsia="仿宋"/>
          <w:color w:val="000000"/>
          <w:sz w:val="24"/>
          <w:highlight w:val="none"/>
        </w:rPr>
        <w:t>]工程软件”</w:t>
      </w:r>
      <w:r>
        <w:rPr>
          <w:rFonts w:hint="eastAsia" w:ascii="仿宋" w:hAnsi="仿宋" w:eastAsia="仿宋"/>
          <w:color w:val="000000"/>
          <w:sz w:val="24"/>
          <w:highlight w:val="none"/>
        </w:rPr>
        <w:t>（即应用软件），乙方负责完成应用软件的设计开发、移交、培训及相关其他服务工作，并保证该应用软件满足本合同及附件提出的所有要求。</w:t>
      </w:r>
    </w:p>
    <w:p w14:paraId="2264BAD6">
      <w:pPr>
        <w:widowControl/>
        <w:autoSpaceDE w:val="0"/>
        <w:autoSpaceDN w:val="0"/>
        <w:spacing w:line="360" w:lineRule="exact"/>
        <w:ind w:firstLine="480" w:firstLineChars="200"/>
        <w:textAlignment w:val="bottom"/>
        <w:rPr>
          <w:rFonts w:ascii="仿宋" w:hAnsi="仿宋" w:eastAsia="仿宋"/>
          <w:color w:val="000000"/>
          <w:sz w:val="24"/>
          <w:highlight w:val="none"/>
        </w:rPr>
      </w:pPr>
      <w:r>
        <w:rPr>
          <w:rFonts w:ascii="仿宋" w:hAnsi="仿宋" w:eastAsia="仿宋"/>
          <w:color w:val="000000"/>
          <w:sz w:val="24"/>
          <w:highlight w:val="none"/>
        </w:rPr>
        <w:t>2.2乙方承诺，为完成本合同约定事项，乙方已从系统软件权利人处取得系统软件的许可使用权（或乙方为系统软件的著作权人），并有权许可</w:t>
      </w:r>
      <w:r>
        <w:rPr>
          <w:rFonts w:hint="eastAsia" w:ascii="仿宋" w:hAnsi="仿宋" w:eastAsia="仿宋"/>
          <w:color w:val="000000"/>
          <w:sz w:val="24"/>
          <w:highlight w:val="none"/>
        </w:rPr>
        <w:t>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0342998">
      <w:pPr>
        <w:pStyle w:val="36"/>
        <w:spacing w:line="360" w:lineRule="exact"/>
        <w:ind w:firstLineChars="200"/>
        <w:rPr>
          <w:rFonts w:ascii="仿宋" w:hAnsi="仿宋" w:eastAsia="仿宋"/>
          <w:color w:val="000000"/>
          <w:highlight w:val="none"/>
        </w:rPr>
      </w:pPr>
      <w:r>
        <w:rPr>
          <w:rFonts w:ascii="仿宋" w:hAnsi="仿宋" w:eastAsia="仿宋"/>
          <w:color w:val="000000"/>
          <w:szCs w:val="24"/>
          <w:highlight w:val="none"/>
        </w:rPr>
        <w:t>2.3</w:t>
      </w:r>
      <w:r>
        <w:rPr>
          <w:rFonts w:hint="eastAsia" w:ascii="仿宋" w:hAnsi="仿宋" w:eastAsia="仿宋"/>
          <w:color w:val="000000"/>
          <w:highlight w:val="none"/>
        </w:rPr>
        <w:t>乙方</w:t>
      </w:r>
      <w:r>
        <w:rPr>
          <w:rFonts w:hint="eastAsia" w:ascii="仿宋" w:hAnsi="仿宋" w:eastAsia="仿宋"/>
          <w:color w:val="000000"/>
          <w:kern w:val="2"/>
          <w:szCs w:val="24"/>
          <w:highlight w:val="none"/>
        </w:rPr>
        <w:t>应按本合同附件三项目进度表的约定将应用软件移交给甲方。</w:t>
      </w:r>
      <w:r>
        <w:rPr>
          <w:rFonts w:ascii="仿宋" w:hAnsi="仿宋" w:eastAsia="仿宋"/>
          <w:color w:val="000000"/>
          <w:kern w:val="2"/>
          <w:highlight w:val="none"/>
        </w:rPr>
        <w:t>乙</w:t>
      </w:r>
      <w:r>
        <w:rPr>
          <w:rFonts w:ascii="仿宋" w:hAnsi="仿宋" w:eastAsia="仿宋"/>
          <w:color w:val="000000"/>
          <w:highlight w:val="none"/>
        </w:rPr>
        <w:t>方向甲方移交应用软件的同时提供完整、准确的技术文件，包括但不限于</w:t>
      </w:r>
      <w:r>
        <w:rPr>
          <w:rFonts w:hint="eastAsia" w:ascii="仿宋" w:hAnsi="仿宋" w:eastAsia="仿宋"/>
          <w:color w:val="000000"/>
          <w:highlight w:val="none"/>
        </w:rPr>
        <w:t>附件四规定的需移交的技术文件清单。</w:t>
      </w:r>
    </w:p>
    <w:p w14:paraId="556D46E4">
      <w:pPr>
        <w:spacing w:line="360" w:lineRule="exact"/>
        <w:ind w:firstLine="480" w:firstLineChars="200"/>
        <w:rPr>
          <w:rFonts w:ascii="仿宋" w:hAnsi="仿宋" w:eastAsia="仿宋"/>
          <w:color w:val="000000"/>
          <w:highlight w:val="none"/>
        </w:rPr>
      </w:pPr>
      <w:r>
        <w:rPr>
          <w:rFonts w:ascii="仿宋" w:hAnsi="仿宋" w:eastAsia="仿宋"/>
          <w:color w:val="000000"/>
          <w:kern w:val="0"/>
          <w:sz w:val="24"/>
          <w:highlight w:val="none"/>
        </w:rPr>
        <w:t xml:space="preserve">2.4 </w:t>
      </w:r>
      <w:r>
        <w:rPr>
          <w:rFonts w:hint="eastAsia" w:ascii="仿宋" w:hAnsi="仿宋" w:eastAsia="仿宋"/>
          <w:color w:val="000000"/>
          <w:kern w:val="0"/>
          <w:sz w:val="24"/>
          <w:highlight w:val="none"/>
        </w:rPr>
        <w:t>未</w:t>
      </w:r>
      <w:r>
        <w:rPr>
          <w:rFonts w:ascii="仿宋" w:hAnsi="仿宋" w:eastAsia="仿宋"/>
          <w:color w:val="000000"/>
          <w:kern w:val="0"/>
          <w:sz w:val="24"/>
          <w:highlight w:val="none"/>
        </w:rPr>
        <w:t>经甲方书面同意，乙方不得将合同分包或转包给第三方。在向甲方交付应用软件之前，乙方不得将应用软件转让给第三方或交第三方使用。</w:t>
      </w:r>
    </w:p>
    <w:p w14:paraId="175824FF">
      <w:pPr>
        <w:widowControl/>
        <w:autoSpaceDE w:val="0"/>
        <w:autoSpaceDN w:val="0"/>
        <w:spacing w:line="360" w:lineRule="exact"/>
        <w:ind w:firstLine="480" w:firstLineChars="200"/>
        <w:textAlignment w:val="bottom"/>
        <w:rPr>
          <w:rFonts w:ascii="仿宋" w:hAnsi="仿宋" w:eastAsia="仿宋"/>
          <w:color w:val="000000"/>
          <w:sz w:val="24"/>
          <w:highlight w:val="none"/>
        </w:rPr>
      </w:pPr>
      <w:bookmarkStart w:id="628" w:name="_Toc33253830"/>
      <w:r>
        <w:rPr>
          <w:rFonts w:hint="eastAsia" w:ascii="仿宋" w:hAnsi="仿宋" w:eastAsia="仿宋"/>
          <w:b/>
          <w:color w:val="000000"/>
          <w:sz w:val="24"/>
          <w:highlight w:val="none"/>
        </w:rPr>
        <w:t>第三条合同价格</w:t>
      </w:r>
      <w:bookmarkEnd w:id="628"/>
    </w:p>
    <w:p w14:paraId="3BD029C8">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3.1本合同总价（含税价）：</w:t>
      </w:r>
      <w:r>
        <w:rPr>
          <w:rFonts w:hint="eastAsia" w:ascii="仿宋" w:hAnsi="仿宋" w:eastAsia="仿宋"/>
          <w:color w:val="000000"/>
          <w:highlight w:val="none"/>
        </w:rPr>
        <w:t>大写人民币</w:t>
      </w:r>
      <w:r>
        <w:rPr>
          <w:rFonts w:ascii="仿宋" w:hAnsi="仿宋" w:eastAsia="仿宋"/>
          <w:color w:val="000000"/>
          <w:highlight w:val="none"/>
        </w:rPr>
        <w:t>[  ]，</w:t>
      </w:r>
      <w:r>
        <w:rPr>
          <w:rFonts w:ascii="Calibri" w:hAnsi="Calibri" w:eastAsia="仿宋" w:cs="Calibri"/>
          <w:color w:val="000000"/>
          <w:highlight w:val="none"/>
        </w:rPr>
        <w:t>¥</w:t>
      </w:r>
      <w:r>
        <w:rPr>
          <w:rFonts w:ascii="仿宋" w:hAnsi="仿宋" w:eastAsia="仿宋"/>
          <w:color w:val="000000"/>
          <w:highlight w:val="none"/>
        </w:rPr>
        <w:t>[  ]；其中价款为大写人民币[  ]，</w:t>
      </w:r>
      <w:r>
        <w:rPr>
          <w:rFonts w:ascii="Calibri" w:hAnsi="Calibri" w:eastAsia="仿宋" w:cs="Calibri"/>
          <w:color w:val="000000"/>
          <w:highlight w:val="none"/>
        </w:rPr>
        <w:t>¥</w:t>
      </w:r>
      <w:r>
        <w:rPr>
          <w:rFonts w:ascii="仿宋" w:hAnsi="仿宋" w:eastAsia="仿宋"/>
          <w:color w:val="000000"/>
          <w:highlight w:val="none"/>
        </w:rPr>
        <w:t>[  ]，增值税款为大写人民币[  ]，</w:t>
      </w:r>
      <w:r>
        <w:rPr>
          <w:rFonts w:ascii="Calibri" w:hAnsi="Calibri" w:eastAsia="仿宋" w:cs="Calibri"/>
          <w:color w:val="000000"/>
          <w:highlight w:val="none"/>
        </w:rPr>
        <w:t>¥</w:t>
      </w:r>
      <w:r>
        <w:rPr>
          <w:rFonts w:ascii="仿宋" w:hAnsi="仿宋" w:eastAsia="仿宋"/>
          <w:color w:val="000000"/>
          <w:highlight w:val="none"/>
        </w:rPr>
        <w:t>[  ]。</w:t>
      </w:r>
    </w:p>
    <w:p w14:paraId="00EB32CC">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3.2合同总价包括：</w:t>
      </w:r>
    </w:p>
    <w:p w14:paraId="701A227C">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1）由乙方根据本合同开发应用软件的费用。</w:t>
      </w:r>
    </w:p>
    <w:p w14:paraId="4116107F">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2）甲方获得系统软件许可使用的费用。</w:t>
      </w:r>
    </w:p>
    <w:p w14:paraId="339CB07B">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3）根据本合同甲方获得应用软件的费用。</w:t>
      </w:r>
    </w:p>
    <w:p w14:paraId="10E4B1CC">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4）乙方应缴纳的所有税费。</w:t>
      </w:r>
    </w:p>
    <w:p w14:paraId="13CFB36F">
      <w:pPr>
        <w:pStyle w:val="39"/>
        <w:widowControl w:val="0"/>
        <w:tabs>
          <w:tab w:val="left" w:pos="426"/>
        </w:tabs>
        <w:spacing w:before="0" w:beforeAutospacing="0" w:after="0" w:afterAutospacing="0" w:line="360" w:lineRule="exact"/>
        <w:ind w:firstLine="480" w:firstLineChars="200"/>
        <w:jc w:val="both"/>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5）由乙方根据本合同向甲方提供培训的费用。</w:t>
      </w:r>
    </w:p>
    <w:p w14:paraId="0001A733">
      <w:pPr>
        <w:pStyle w:val="39"/>
        <w:widowControl w:val="0"/>
        <w:tabs>
          <w:tab w:val="left" w:pos="426"/>
        </w:tabs>
        <w:spacing w:before="0" w:beforeAutospacing="0" w:after="0" w:afterAutospacing="0" w:line="360" w:lineRule="exact"/>
        <w:ind w:firstLine="480" w:firstLineChars="200"/>
        <w:jc w:val="both"/>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6）乙方申请技术服务合同登记的费用。</w:t>
      </w:r>
    </w:p>
    <w:p w14:paraId="2D2868A7">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7）</w:t>
      </w:r>
      <w:r>
        <w:rPr>
          <w:rFonts w:hint="eastAsia" w:ascii="仿宋" w:hAnsi="仿宋" w:eastAsia="仿宋"/>
          <w:color w:val="000000"/>
          <w:highlight w:val="none"/>
        </w:rPr>
        <w:t>甲方就乙方履行本合同所应支付的一切其他费用。</w:t>
      </w:r>
    </w:p>
    <w:p w14:paraId="368F7228">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69596C62">
      <w:pPr>
        <w:widowControl/>
        <w:autoSpaceDE w:val="0"/>
        <w:autoSpaceDN w:val="0"/>
        <w:spacing w:line="360" w:lineRule="exact"/>
        <w:ind w:firstLine="480" w:firstLineChars="200"/>
        <w:textAlignment w:val="bottom"/>
        <w:rPr>
          <w:rFonts w:ascii="仿宋" w:hAnsi="仿宋" w:eastAsia="仿宋"/>
          <w:b/>
          <w:color w:val="000000"/>
          <w:sz w:val="24"/>
          <w:highlight w:val="none"/>
        </w:rPr>
      </w:pPr>
      <w:r>
        <w:rPr>
          <w:rFonts w:hint="eastAsia" w:ascii="仿宋" w:hAnsi="仿宋" w:eastAsia="仿宋"/>
          <w:b/>
          <w:color w:val="000000"/>
          <w:sz w:val="24"/>
          <w:highlight w:val="none"/>
        </w:rPr>
        <w:t>第四条支付</w:t>
      </w:r>
    </w:p>
    <w:p w14:paraId="7B71BD80">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4.1合同总价的所有支付由甲方以[</w:t>
      </w:r>
      <w:r>
        <w:rPr>
          <w:rFonts w:hint="eastAsia" w:ascii="仿宋" w:hAnsi="仿宋" w:eastAsia="仿宋"/>
          <w:color w:val="000000"/>
          <w:highlight w:val="none"/>
        </w:rPr>
        <w:t>银行转账</w:t>
      </w:r>
      <w:r>
        <w:rPr>
          <w:rFonts w:ascii="仿宋" w:hAnsi="仿宋" w:eastAsia="仿宋"/>
          <w:color w:val="000000"/>
          <w:highlight w:val="none"/>
        </w:rPr>
        <w:t>]（银行转账、电汇、支票等</w:t>
      </w:r>
      <w:r>
        <w:rPr>
          <w:rFonts w:hint="eastAsia" w:ascii="仿宋" w:hAnsi="仿宋" w:eastAsia="仿宋"/>
          <w:color w:val="000000"/>
          <w:szCs w:val="24"/>
          <w:highlight w:val="none"/>
        </w:rPr>
        <w:t>）</w:t>
      </w:r>
      <w:r>
        <w:rPr>
          <w:rFonts w:ascii="仿宋" w:hAnsi="仿宋" w:eastAsia="仿宋"/>
          <w:color w:val="000000"/>
          <w:highlight w:val="none"/>
        </w:rPr>
        <w:t>方式</w:t>
      </w:r>
      <w:r>
        <w:rPr>
          <w:rFonts w:hint="eastAsia" w:ascii="仿宋" w:hAnsi="仿宋" w:eastAsia="仿宋"/>
          <w:color w:val="000000"/>
          <w:highlight w:val="none"/>
        </w:rPr>
        <w:t>付至乙方。甲乙双方银行账户信息和纳税人信息：</w:t>
      </w:r>
    </w:p>
    <w:p w14:paraId="7B6345E8">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甲方信息如下：</w:t>
      </w:r>
    </w:p>
    <w:p w14:paraId="4005887C">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开户行：</w:t>
      </w:r>
      <w:r>
        <w:rPr>
          <w:rFonts w:ascii="仿宋" w:hAnsi="仿宋" w:eastAsia="仿宋"/>
          <w:color w:val="000000"/>
          <w:sz w:val="24"/>
          <w:highlight w:val="none"/>
        </w:rPr>
        <w:t>[</w:t>
      </w:r>
      <w:r>
        <w:rPr>
          <w:rFonts w:hint="eastAsia" w:ascii="仿宋" w:hAnsi="仿宋" w:eastAsia="仿宋"/>
          <w:color w:val="000000"/>
          <w:sz w:val="24"/>
          <w:highlight w:val="none"/>
        </w:rPr>
        <w:t xml:space="preserve">中国工商银行股份有限公司武汉江岸支行 </w:t>
      </w:r>
      <w:r>
        <w:rPr>
          <w:rFonts w:ascii="仿宋" w:hAnsi="仿宋" w:eastAsia="仿宋"/>
          <w:color w:val="000000"/>
          <w:sz w:val="24"/>
          <w:highlight w:val="none"/>
        </w:rPr>
        <w:t>]</w:t>
      </w:r>
    </w:p>
    <w:p w14:paraId="5078FEE2">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银行地址：</w:t>
      </w:r>
      <w:r>
        <w:rPr>
          <w:rFonts w:ascii="仿宋" w:hAnsi="仿宋" w:eastAsia="仿宋"/>
          <w:color w:val="000000"/>
          <w:sz w:val="24"/>
          <w:highlight w:val="none"/>
        </w:rPr>
        <w:t>[</w:t>
      </w:r>
      <w:r>
        <w:rPr>
          <w:rFonts w:hint="eastAsia" w:ascii="仿宋" w:hAnsi="仿宋" w:eastAsia="仿宋"/>
          <w:color w:val="000000"/>
          <w:sz w:val="24"/>
          <w:highlight w:val="none"/>
        </w:rPr>
        <w:t>湖北省武汉市江岸区中山大道988号</w:t>
      </w:r>
      <w:r>
        <w:rPr>
          <w:rFonts w:ascii="仿宋" w:hAnsi="仿宋" w:eastAsia="仿宋"/>
          <w:color w:val="000000"/>
          <w:sz w:val="24"/>
          <w:highlight w:val="none"/>
        </w:rPr>
        <w:t>]</w:t>
      </w:r>
    </w:p>
    <w:p w14:paraId="4488801E">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户名：</w:t>
      </w:r>
      <w:r>
        <w:rPr>
          <w:rFonts w:ascii="仿宋" w:hAnsi="仿宋" w:eastAsia="仿宋"/>
          <w:color w:val="000000"/>
          <w:sz w:val="24"/>
          <w:highlight w:val="none"/>
        </w:rPr>
        <w:t>[</w:t>
      </w:r>
      <w:r>
        <w:rPr>
          <w:rFonts w:hint="eastAsia" w:ascii="仿宋" w:hAnsi="仿宋" w:eastAsia="仿宋"/>
          <w:color w:val="000000"/>
          <w:sz w:val="24"/>
          <w:highlight w:val="none"/>
          <w:lang w:eastAsia="zh-CN"/>
        </w:rPr>
        <w:t>中国电信股份有限公司湖北分公司</w:t>
      </w:r>
      <w:r>
        <w:rPr>
          <w:rFonts w:ascii="仿宋" w:hAnsi="仿宋" w:eastAsia="仿宋"/>
          <w:color w:val="000000"/>
          <w:sz w:val="24"/>
          <w:highlight w:val="none"/>
        </w:rPr>
        <w:t>]</w:t>
      </w:r>
    </w:p>
    <w:p w14:paraId="1001691A">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账号：</w:t>
      </w:r>
      <w:r>
        <w:rPr>
          <w:rFonts w:ascii="仿宋" w:hAnsi="仿宋" w:eastAsia="仿宋"/>
          <w:color w:val="000000"/>
          <w:sz w:val="24"/>
          <w:highlight w:val="none"/>
        </w:rPr>
        <w:t>[</w:t>
      </w:r>
      <w:r>
        <w:rPr>
          <w:rFonts w:hint="eastAsia" w:ascii="仿宋" w:hAnsi="仿宋" w:eastAsia="仿宋"/>
          <w:color w:val="000000"/>
          <w:sz w:val="24"/>
          <w:highlight w:val="none"/>
        </w:rPr>
        <w:t>3202001029200215026</w:t>
      </w:r>
      <w:r>
        <w:rPr>
          <w:rFonts w:ascii="仿宋" w:hAnsi="仿宋" w:eastAsia="仿宋"/>
          <w:color w:val="000000"/>
          <w:sz w:val="24"/>
          <w:highlight w:val="none"/>
        </w:rPr>
        <w:t>]</w:t>
      </w:r>
    </w:p>
    <w:p w14:paraId="48E67C28">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统一社会信用代码：</w:t>
      </w:r>
      <w:r>
        <w:rPr>
          <w:rFonts w:ascii="仿宋" w:hAnsi="仿宋" w:eastAsia="仿宋"/>
          <w:color w:val="000000"/>
          <w:sz w:val="24"/>
          <w:highlight w:val="none"/>
        </w:rPr>
        <w:t>[</w:t>
      </w:r>
      <w:r>
        <w:rPr>
          <w:rFonts w:hint="eastAsia" w:ascii="仿宋" w:hAnsi="仿宋" w:eastAsia="仿宋"/>
          <w:color w:val="000000"/>
          <w:sz w:val="24"/>
          <w:highlight w:val="none"/>
        </w:rPr>
        <w:t>91420000670372700D</w:t>
      </w:r>
      <w:r>
        <w:rPr>
          <w:rFonts w:ascii="仿宋" w:hAnsi="仿宋" w:eastAsia="仿宋"/>
          <w:color w:val="000000"/>
          <w:sz w:val="24"/>
          <w:highlight w:val="none"/>
        </w:rPr>
        <w:t>]</w:t>
      </w:r>
    </w:p>
    <w:p w14:paraId="2BE55606">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地址：</w:t>
      </w:r>
      <w:r>
        <w:rPr>
          <w:rFonts w:ascii="仿宋" w:hAnsi="仿宋" w:eastAsia="仿宋"/>
          <w:color w:val="000000"/>
          <w:sz w:val="24"/>
          <w:highlight w:val="none"/>
        </w:rPr>
        <w:t>[</w:t>
      </w:r>
      <w:r>
        <w:rPr>
          <w:rFonts w:hint="eastAsia" w:ascii="仿宋" w:hAnsi="仿宋" w:eastAsia="仿宋"/>
          <w:color w:val="000000"/>
          <w:sz w:val="24"/>
          <w:highlight w:val="none"/>
        </w:rPr>
        <w:t>湖北省武汉市常青路158号</w:t>
      </w:r>
      <w:r>
        <w:rPr>
          <w:rFonts w:ascii="仿宋" w:hAnsi="仿宋" w:eastAsia="仿宋"/>
          <w:color w:val="000000"/>
          <w:sz w:val="24"/>
          <w:highlight w:val="none"/>
        </w:rPr>
        <w:t>]</w:t>
      </w:r>
    </w:p>
    <w:p w14:paraId="0DAD1344">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电话：</w:t>
      </w:r>
      <w:r>
        <w:rPr>
          <w:rFonts w:ascii="仿宋" w:hAnsi="仿宋" w:eastAsia="仿宋"/>
          <w:color w:val="000000"/>
          <w:sz w:val="24"/>
          <w:highlight w:val="none"/>
        </w:rPr>
        <w:t>[</w:t>
      </w:r>
      <w:r>
        <w:rPr>
          <w:rFonts w:hint="eastAsia" w:ascii="仿宋" w:hAnsi="仿宋" w:eastAsia="仿宋"/>
          <w:color w:val="000000"/>
          <w:sz w:val="24"/>
          <w:highlight w:val="none"/>
        </w:rPr>
        <w:t>027-655666008</w:t>
      </w:r>
      <w:r>
        <w:rPr>
          <w:rFonts w:ascii="仿宋" w:hAnsi="仿宋" w:eastAsia="仿宋"/>
          <w:color w:val="000000"/>
          <w:sz w:val="24"/>
          <w:highlight w:val="none"/>
        </w:rPr>
        <w:t xml:space="preserve">] </w:t>
      </w:r>
    </w:p>
    <w:p w14:paraId="43C3ECD4">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乙方信息如下：</w:t>
      </w:r>
    </w:p>
    <w:p w14:paraId="58DDA2AF">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开户行：</w:t>
      </w:r>
      <w:r>
        <w:rPr>
          <w:rFonts w:ascii="仿宋" w:hAnsi="仿宋" w:eastAsia="仿宋"/>
          <w:color w:val="000000"/>
          <w:sz w:val="24"/>
          <w:highlight w:val="none"/>
        </w:rPr>
        <w:t>[  ]</w:t>
      </w:r>
    </w:p>
    <w:p w14:paraId="2C9D2916">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银行地址：</w:t>
      </w:r>
      <w:r>
        <w:rPr>
          <w:rFonts w:ascii="仿宋" w:hAnsi="仿宋" w:eastAsia="仿宋"/>
          <w:color w:val="000000"/>
          <w:sz w:val="24"/>
          <w:highlight w:val="none"/>
        </w:rPr>
        <w:t>[  ]</w:t>
      </w:r>
    </w:p>
    <w:p w14:paraId="48A99B14">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户名：</w:t>
      </w:r>
      <w:r>
        <w:rPr>
          <w:rFonts w:ascii="仿宋" w:hAnsi="仿宋" w:eastAsia="仿宋"/>
          <w:color w:val="000000"/>
          <w:sz w:val="24"/>
          <w:highlight w:val="none"/>
        </w:rPr>
        <w:t>[  ]</w:t>
      </w:r>
    </w:p>
    <w:p w14:paraId="691FA46F">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账号：</w:t>
      </w:r>
      <w:r>
        <w:rPr>
          <w:rFonts w:ascii="仿宋" w:hAnsi="仿宋" w:eastAsia="仿宋"/>
          <w:color w:val="000000"/>
          <w:sz w:val="24"/>
          <w:highlight w:val="none"/>
        </w:rPr>
        <w:t>[  ]</w:t>
      </w:r>
    </w:p>
    <w:p w14:paraId="6C2B4B20">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统一社会信用代码：</w:t>
      </w:r>
      <w:r>
        <w:rPr>
          <w:rFonts w:ascii="仿宋" w:hAnsi="仿宋" w:eastAsia="仿宋"/>
          <w:color w:val="000000"/>
          <w:sz w:val="24"/>
          <w:highlight w:val="none"/>
        </w:rPr>
        <w:t>[  ]</w:t>
      </w:r>
    </w:p>
    <w:p w14:paraId="4E5C4666">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地址：</w:t>
      </w:r>
      <w:r>
        <w:rPr>
          <w:rFonts w:ascii="仿宋" w:hAnsi="仿宋" w:eastAsia="仿宋"/>
          <w:color w:val="000000"/>
          <w:sz w:val="24"/>
          <w:highlight w:val="none"/>
        </w:rPr>
        <w:t>[  ]</w:t>
      </w:r>
    </w:p>
    <w:p w14:paraId="086C1EDC">
      <w:pPr>
        <w:spacing w:line="360" w:lineRule="exact"/>
        <w:ind w:firstLine="480" w:firstLineChars="200"/>
        <w:rPr>
          <w:rFonts w:ascii="仿宋" w:hAnsi="仿宋" w:eastAsia="仿宋"/>
          <w:color w:val="000000"/>
          <w:highlight w:val="none"/>
        </w:rPr>
      </w:pPr>
      <w:r>
        <w:rPr>
          <w:rFonts w:hint="eastAsia" w:ascii="仿宋" w:hAnsi="仿宋" w:eastAsia="仿宋"/>
          <w:color w:val="000000"/>
          <w:sz w:val="24"/>
          <w:highlight w:val="none"/>
        </w:rPr>
        <w:t>电话：</w:t>
      </w:r>
      <w:r>
        <w:rPr>
          <w:rFonts w:ascii="仿宋" w:hAnsi="仿宋" w:eastAsia="仿宋"/>
          <w:color w:val="000000"/>
          <w:sz w:val="24"/>
          <w:highlight w:val="none"/>
        </w:rPr>
        <w:t xml:space="preserve">[  ] </w:t>
      </w:r>
    </w:p>
    <w:p w14:paraId="2D91194C">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4.2</w:t>
      </w:r>
      <w:r>
        <w:rPr>
          <w:rFonts w:hint="eastAsia" w:ascii="仿宋" w:hAnsi="仿宋" w:eastAsia="仿宋"/>
          <w:color w:val="000000"/>
          <w:highlight w:val="none"/>
        </w:rPr>
        <w:t>甲方按照以下条款向乙方支付合同总价：</w:t>
      </w:r>
    </w:p>
    <w:p w14:paraId="2FBFE5B3">
      <w:pPr>
        <w:pStyle w:val="36"/>
        <w:spacing w:line="360" w:lineRule="exact"/>
        <w:ind w:firstLineChars="200"/>
        <w:rPr>
          <w:rFonts w:ascii="仿宋" w:hAnsi="仿宋" w:eastAsia="仿宋"/>
          <w:szCs w:val="24"/>
          <w:highlight w:val="none"/>
        </w:rPr>
      </w:pPr>
      <w:r>
        <w:rPr>
          <w:rFonts w:hint="eastAsia" w:ascii="仿宋" w:hAnsi="仿宋" w:eastAsia="仿宋"/>
          <w:kern w:val="2"/>
          <w:szCs w:val="24"/>
          <w:highlight w:val="none"/>
        </w:rPr>
        <w:t>4.2.1首付款：本合同签订并生效且收到乙方提供的如下单据后[ 20 ]日内，甲方向乙方支付合同总价的[ 30 ]%，计大写人民币[</w:t>
      </w:r>
      <w:r>
        <w:rPr>
          <w:rFonts w:hint="eastAsia" w:ascii="仿宋" w:hAnsi="仿宋" w:eastAsia="仿宋"/>
          <w:kern w:val="2"/>
          <w:szCs w:val="24"/>
          <w:highlight w:val="none"/>
          <w:lang w:val="en-US" w:eastAsia="zh-CN"/>
        </w:rPr>
        <w:t xml:space="preserve"> </w:t>
      </w:r>
      <w:r>
        <w:rPr>
          <w:rFonts w:ascii="仿宋" w:hAnsi="仿宋" w:eastAsia="仿宋"/>
          <w:color w:val="000000"/>
          <w:kern w:val="2"/>
          <w:highlight w:val="none"/>
        </w:rPr>
        <w:t>]，</w:t>
      </w:r>
      <w:r>
        <w:rPr>
          <w:rFonts w:ascii="Calibri" w:hAnsi="Calibri" w:eastAsia="仿宋" w:cs="Calibri"/>
          <w:color w:val="000000"/>
          <w:kern w:val="2"/>
          <w:highlight w:val="none"/>
        </w:rPr>
        <w:t>¥</w:t>
      </w:r>
      <w:r>
        <w:rPr>
          <w:rFonts w:ascii="仿宋" w:hAnsi="仿宋" w:eastAsia="仿宋"/>
          <w:color w:val="000000"/>
          <w:kern w:val="2"/>
          <w:highlight w:val="none"/>
        </w:rPr>
        <w:t>[</w:t>
      </w:r>
      <w:r>
        <w:rPr>
          <w:rFonts w:hint="eastAsia" w:ascii="仿宋" w:hAnsi="仿宋" w:eastAsia="仿宋"/>
          <w:color w:val="000000"/>
          <w:kern w:val="2"/>
          <w:highlight w:val="none"/>
          <w:lang w:val="en-US" w:eastAsia="zh-CN"/>
        </w:rPr>
        <w:t xml:space="preserve"> </w:t>
      </w:r>
      <w:r>
        <w:rPr>
          <w:rFonts w:hint="eastAsia" w:ascii="仿宋" w:hAnsi="仿宋" w:eastAsia="仿宋" w:cs="仿宋"/>
          <w:kern w:val="2"/>
          <w:szCs w:val="24"/>
          <w:highlight w:val="none"/>
        </w:rPr>
        <w:t>]</w:t>
      </w:r>
      <w:r>
        <w:rPr>
          <w:rFonts w:hint="eastAsia" w:ascii="仿宋" w:hAnsi="仿宋" w:eastAsia="仿宋"/>
          <w:kern w:val="2"/>
          <w:szCs w:val="24"/>
          <w:highlight w:val="none"/>
        </w:rPr>
        <w:t>：</w:t>
      </w:r>
    </w:p>
    <w:p w14:paraId="4283D66C">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（1）合同100%金额的、符合国家规定的发票。</w:t>
      </w:r>
    </w:p>
    <w:p w14:paraId="5F7929A8">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（2）付款通知书，原件一份。</w:t>
      </w:r>
    </w:p>
    <w:p w14:paraId="61E36D13">
      <w:pPr>
        <w:pStyle w:val="36"/>
        <w:spacing w:line="360" w:lineRule="exact"/>
        <w:ind w:firstLineChars="200"/>
        <w:rPr>
          <w:rFonts w:hint="eastAsia" w:ascii="仿宋" w:hAnsi="仿宋" w:eastAsia="仿宋"/>
          <w:szCs w:val="24"/>
          <w:highlight w:val="none"/>
        </w:rPr>
      </w:pPr>
      <w:r>
        <w:rPr>
          <w:rFonts w:hint="eastAsia" w:ascii="仿宋" w:hAnsi="仿宋" w:eastAsia="仿宋"/>
          <w:kern w:val="2"/>
          <w:szCs w:val="24"/>
          <w:highlight w:val="none"/>
        </w:rPr>
        <w:t>4.2.2初验付款：初验合格且收到乙方如下单据后[ 20 ]日内，甲方向乙方支付合同总价的[ 60 ]%，计大写人民币[</w:t>
      </w:r>
      <w:r>
        <w:rPr>
          <w:rFonts w:hint="eastAsia" w:ascii="仿宋" w:hAnsi="仿宋" w:eastAsia="仿宋"/>
          <w:kern w:val="2"/>
          <w:szCs w:val="24"/>
          <w:highlight w:val="none"/>
          <w:lang w:val="en-US" w:eastAsia="zh-CN"/>
        </w:rPr>
        <w:t xml:space="preserve"> </w:t>
      </w:r>
      <w:r>
        <w:rPr>
          <w:rFonts w:ascii="仿宋" w:hAnsi="仿宋" w:eastAsia="仿宋"/>
          <w:color w:val="000000"/>
          <w:kern w:val="2"/>
          <w:highlight w:val="none"/>
        </w:rPr>
        <w:t>]，</w:t>
      </w:r>
      <w:r>
        <w:rPr>
          <w:rFonts w:ascii="Calibri" w:hAnsi="Calibri" w:eastAsia="仿宋" w:cs="Calibri"/>
          <w:color w:val="000000"/>
          <w:kern w:val="2"/>
          <w:highlight w:val="none"/>
        </w:rPr>
        <w:t>¥</w:t>
      </w:r>
      <w:r>
        <w:rPr>
          <w:rFonts w:ascii="仿宋" w:hAnsi="仿宋" w:eastAsia="仿宋"/>
          <w:color w:val="000000"/>
          <w:kern w:val="2"/>
          <w:highlight w:val="none"/>
        </w:rPr>
        <w:t>[</w:t>
      </w:r>
      <w:r>
        <w:rPr>
          <w:rFonts w:hint="eastAsia" w:ascii="仿宋" w:hAnsi="仿宋" w:eastAsia="仿宋"/>
          <w:color w:val="000000"/>
          <w:kern w:val="2"/>
          <w:highlight w:val="none"/>
          <w:lang w:val="en-US" w:eastAsia="zh-CN"/>
        </w:rPr>
        <w:t xml:space="preserve"> </w:t>
      </w:r>
      <w:r>
        <w:rPr>
          <w:rFonts w:hint="eastAsia" w:ascii="仿宋" w:hAnsi="仿宋" w:eastAsia="仿宋" w:cs="仿宋"/>
          <w:kern w:val="2"/>
          <w:szCs w:val="24"/>
          <w:highlight w:val="none"/>
        </w:rPr>
        <w:t>]</w:t>
      </w:r>
      <w:r>
        <w:rPr>
          <w:rFonts w:hint="eastAsia" w:ascii="仿宋" w:hAnsi="仿宋" w:eastAsia="仿宋"/>
          <w:kern w:val="2"/>
          <w:szCs w:val="24"/>
          <w:highlight w:val="none"/>
        </w:rPr>
        <w:t>：</w:t>
      </w:r>
    </w:p>
    <w:p w14:paraId="2605E055">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（1）初验证书，复印件一份。</w:t>
      </w:r>
    </w:p>
    <w:p w14:paraId="032072E7">
      <w:pPr>
        <w:pStyle w:val="36"/>
        <w:spacing w:line="360" w:lineRule="exact"/>
        <w:ind w:firstLineChars="200"/>
        <w:rPr>
          <w:rFonts w:hint="eastAsia" w:ascii="仿宋" w:hAnsi="仿宋" w:eastAsia="仿宋"/>
          <w:szCs w:val="24"/>
          <w:highlight w:val="none"/>
          <w:lang w:val="en-US" w:eastAsia="zh-CN"/>
        </w:rPr>
      </w:pPr>
      <w:r>
        <w:rPr>
          <w:rFonts w:hint="eastAsia" w:ascii="仿宋" w:hAnsi="仿宋" w:eastAsia="仿宋"/>
          <w:szCs w:val="24"/>
          <w:highlight w:val="none"/>
          <w:lang w:eastAsia="zh-CN"/>
        </w:rPr>
        <w:t>（</w:t>
      </w:r>
      <w:r>
        <w:rPr>
          <w:rFonts w:hint="eastAsia" w:ascii="仿宋" w:hAnsi="仿宋" w:eastAsia="仿宋"/>
          <w:szCs w:val="24"/>
          <w:highlight w:val="none"/>
          <w:lang w:val="en-US" w:eastAsia="zh-CN"/>
        </w:rPr>
        <w:t>2）安全检测报告，复印件一份。</w:t>
      </w:r>
    </w:p>
    <w:p w14:paraId="48DCE23B">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w:t>
      </w:r>
      <w:r>
        <w:rPr>
          <w:rFonts w:hint="eastAsia" w:ascii="仿宋" w:hAnsi="仿宋" w:eastAsia="仿宋"/>
          <w:szCs w:val="24"/>
          <w:highlight w:val="none"/>
          <w:lang w:val="en-US" w:eastAsia="zh-CN"/>
        </w:rPr>
        <w:t>3</w:t>
      </w:r>
      <w:r>
        <w:rPr>
          <w:rFonts w:hint="eastAsia" w:ascii="仿宋" w:hAnsi="仿宋" w:eastAsia="仿宋"/>
          <w:szCs w:val="24"/>
          <w:highlight w:val="none"/>
        </w:rPr>
        <w:t>）付款通知书，原件一份。</w:t>
      </w:r>
    </w:p>
    <w:p w14:paraId="13C0DE41">
      <w:pPr>
        <w:pStyle w:val="36"/>
        <w:spacing w:line="360" w:lineRule="exact"/>
        <w:ind w:firstLineChars="200"/>
        <w:rPr>
          <w:rFonts w:hint="eastAsia" w:ascii="仿宋" w:hAnsi="仿宋" w:eastAsia="仿宋"/>
          <w:szCs w:val="24"/>
          <w:highlight w:val="none"/>
        </w:rPr>
      </w:pPr>
      <w:r>
        <w:rPr>
          <w:rFonts w:hint="eastAsia" w:ascii="仿宋" w:hAnsi="仿宋" w:eastAsia="仿宋"/>
          <w:kern w:val="2"/>
          <w:szCs w:val="24"/>
          <w:highlight w:val="none"/>
        </w:rPr>
        <w:t>4.2.3终验付款：终验合格且收到乙方如下单据后[ 20 ]日内，甲方向乙方支付合同总价的[ 10 ]%，计大写人民币[</w:t>
      </w:r>
      <w:r>
        <w:rPr>
          <w:rFonts w:hint="eastAsia" w:ascii="仿宋" w:hAnsi="仿宋" w:eastAsia="仿宋"/>
          <w:kern w:val="2"/>
          <w:szCs w:val="24"/>
          <w:highlight w:val="none"/>
          <w:lang w:val="en-US" w:eastAsia="zh-CN"/>
        </w:rPr>
        <w:t xml:space="preserve"> </w:t>
      </w:r>
      <w:r>
        <w:rPr>
          <w:rFonts w:ascii="仿宋" w:hAnsi="仿宋" w:eastAsia="仿宋"/>
          <w:color w:val="000000"/>
          <w:kern w:val="2"/>
          <w:highlight w:val="none"/>
        </w:rPr>
        <w:t>]，</w:t>
      </w:r>
      <w:r>
        <w:rPr>
          <w:rFonts w:ascii="Calibri" w:hAnsi="Calibri" w:eastAsia="仿宋" w:cs="Calibri"/>
          <w:color w:val="000000"/>
          <w:kern w:val="2"/>
          <w:highlight w:val="none"/>
        </w:rPr>
        <w:t>¥</w:t>
      </w:r>
      <w:r>
        <w:rPr>
          <w:rFonts w:ascii="仿宋" w:hAnsi="仿宋" w:eastAsia="仿宋"/>
          <w:color w:val="000000"/>
          <w:kern w:val="2"/>
          <w:highlight w:val="none"/>
        </w:rPr>
        <w:t>[</w:t>
      </w:r>
      <w:r>
        <w:rPr>
          <w:rFonts w:hint="eastAsia" w:ascii="仿宋" w:hAnsi="仿宋" w:eastAsia="仿宋"/>
          <w:color w:val="000000"/>
          <w:kern w:val="2"/>
          <w:highlight w:val="none"/>
          <w:lang w:val="en-US" w:eastAsia="zh-CN"/>
        </w:rPr>
        <w:t xml:space="preserve"> </w:t>
      </w:r>
      <w:r>
        <w:rPr>
          <w:rFonts w:hint="eastAsia" w:ascii="仿宋" w:hAnsi="仿宋" w:eastAsia="仿宋" w:cs="仿宋"/>
          <w:kern w:val="2"/>
          <w:szCs w:val="24"/>
          <w:highlight w:val="none"/>
        </w:rPr>
        <w:t>]</w:t>
      </w:r>
      <w:r>
        <w:rPr>
          <w:rFonts w:hint="eastAsia" w:ascii="仿宋" w:hAnsi="仿宋" w:eastAsia="仿宋"/>
          <w:kern w:val="2"/>
          <w:szCs w:val="24"/>
          <w:highlight w:val="none"/>
        </w:rPr>
        <w:t>：</w:t>
      </w:r>
    </w:p>
    <w:p w14:paraId="5417B6C6">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（1）终验证书复印件一份。</w:t>
      </w:r>
    </w:p>
    <w:p w14:paraId="35B6D9BF">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（2）付款通知书，原件一份。</w:t>
      </w:r>
    </w:p>
    <w:p w14:paraId="7A644C27">
      <w:pPr>
        <w:pStyle w:val="36"/>
        <w:spacing w:line="360" w:lineRule="exact"/>
        <w:ind w:firstLineChars="200"/>
        <w:rPr>
          <w:rFonts w:hint="eastAsia" w:ascii="仿宋" w:hAnsi="仿宋" w:eastAsia="仿宋"/>
          <w:szCs w:val="24"/>
          <w:highlight w:val="none"/>
        </w:rPr>
      </w:pPr>
      <w:r>
        <w:rPr>
          <w:rFonts w:hint="eastAsia" w:ascii="仿宋" w:hAnsi="仿宋" w:eastAsia="仿宋"/>
          <w:szCs w:val="24"/>
          <w:highlight w:val="none"/>
        </w:rPr>
        <w:t>（3）应用软件著作权人登记为“</w:t>
      </w:r>
      <w:r>
        <w:rPr>
          <w:rFonts w:hint="eastAsia" w:ascii="仿宋" w:hAnsi="仿宋" w:eastAsia="仿宋"/>
          <w:szCs w:val="24"/>
          <w:highlight w:val="none"/>
          <w:lang w:eastAsia="zh-CN"/>
        </w:rPr>
        <w:t>中国电信股份有限公司湖北分公司</w:t>
      </w:r>
      <w:r>
        <w:rPr>
          <w:rFonts w:hint="eastAsia" w:ascii="仿宋" w:hAnsi="仿宋" w:eastAsia="仿宋"/>
          <w:szCs w:val="24"/>
          <w:highlight w:val="none"/>
        </w:rPr>
        <w:t>”的计算机软件著作权登记证书。</w:t>
      </w:r>
    </w:p>
    <w:p w14:paraId="0745A572">
      <w:pPr>
        <w:pStyle w:val="36"/>
        <w:spacing w:line="360" w:lineRule="exact"/>
        <w:ind w:firstLine="0" w:firstLineChars="0"/>
        <w:rPr>
          <w:rFonts w:ascii="仿宋" w:hAnsi="仿宋" w:eastAsia="仿宋"/>
          <w:color w:val="000000"/>
          <w:highlight w:val="none"/>
        </w:rPr>
      </w:pPr>
    </w:p>
    <w:p w14:paraId="60F5351B">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4.3乙方向甲方开具增值税专用发票的，乙方</w:t>
      </w:r>
      <w:r>
        <w:rPr>
          <w:rFonts w:ascii="仿宋" w:hAnsi="仿宋" w:eastAsia="仿宋"/>
          <w:color w:val="000000"/>
          <w:szCs w:val="24"/>
          <w:highlight w:val="none"/>
        </w:rPr>
        <w:t>应</w:t>
      </w:r>
      <w:r>
        <w:rPr>
          <w:rFonts w:hint="eastAsia" w:ascii="仿宋" w:hAnsi="仿宋" w:eastAsia="仿宋"/>
          <w:color w:val="000000"/>
          <w:szCs w:val="24"/>
          <w:highlight w:val="none"/>
        </w:rPr>
        <w:t>当</w:t>
      </w:r>
      <w:r>
        <w:rPr>
          <w:rFonts w:ascii="仿宋" w:hAnsi="仿宋" w:eastAsia="仿宋"/>
          <w:color w:val="000000"/>
          <w:highlight w:val="none"/>
        </w:rPr>
        <w:t>派专人或使用挂号信件或特快专递方式在发票开具后</w:t>
      </w:r>
      <w:r>
        <w:rPr>
          <w:rFonts w:hint="eastAsia" w:ascii="仿宋" w:hAnsi="仿宋" w:eastAsia="仿宋"/>
          <w:color w:val="000000"/>
          <w:szCs w:val="24"/>
          <w:highlight w:val="none"/>
        </w:rPr>
        <w:t>三十</w:t>
      </w:r>
      <w:r>
        <w:rPr>
          <w:rFonts w:ascii="仿宋" w:hAnsi="仿宋" w:eastAsia="仿宋"/>
          <w:color w:val="000000"/>
          <w:highlight w:val="none"/>
        </w:rPr>
        <w:t>日内送达甲方，送达日期以甲方签收日期为准；逾期送达的，每逾期一日</w:t>
      </w:r>
      <w:r>
        <w:rPr>
          <w:rFonts w:hint="eastAsia" w:ascii="仿宋" w:hAnsi="仿宋" w:eastAsia="仿宋"/>
          <w:color w:val="000000"/>
          <w:highlight w:val="none"/>
        </w:rPr>
        <w:t>，</w:t>
      </w:r>
      <w:r>
        <w:rPr>
          <w:rFonts w:ascii="仿宋" w:hAnsi="仿宋" w:eastAsia="仿宋"/>
          <w:color w:val="000000"/>
          <w:highlight w:val="none"/>
        </w:rPr>
        <w:t>乙方</w:t>
      </w:r>
      <w:r>
        <w:rPr>
          <w:rFonts w:ascii="仿宋" w:hAnsi="仿宋" w:eastAsia="仿宋"/>
          <w:color w:val="000000"/>
          <w:szCs w:val="24"/>
          <w:highlight w:val="none"/>
        </w:rPr>
        <w:t>应</w:t>
      </w:r>
      <w:r>
        <w:rPr>
          <w:rFonts w:hint="eastAsia" w:ascii="仿宋" w:hAnsi="仿宋" w:eastAsia="仿宋"/>
          <w:color w:val="000000"/>
          <w:szCs w:val="24"/>
          <w:highlight w:val="none"/>
        </w:rPr>
        <w:t>当</w:t>
      </w:r>
      <w:r>
        <w:rPr>
          <w:rFonts w:ascii="仿宋" w:hAnsi="仿宋" w:eastAsia="仿宋"/>
          <w:color w:val="000000"/>
          <w:highlight w:val="none"/>
        </w:rPr>
        <w:t>按逾期送达发票金额的</w:t>
      </w:r>
      <w:r>
        <w:rPr>
          <w:rFonts w:hint="eastAsia" w:ascii="仿宋" w:hAnsi="仿宋" w:eastAsia="仿宋"/>
          <w:color w:val="000000"/>
          <w:highlight w:val="none"/>
        </w:rPr>
        <w:t>千</w:t>
      </w:r>
      <w:r>
        <w:rPr>
          <w:rFonts w:ascii="仿宋" w:hAnsi="仿宋" w:eastAsia="仿宋"/>
          <w:color w:val="000000"/>
          <w:highlight w:val="none"/>
        </w:rPr>
        <w:t>分之三支付违约金,若因逾期送达造成甲方无法抵扣的，乙方还应赔偿甲方由此遭受的损失,金额相当于</w:t>
      </w:r>
      <w:r>
        <w:rPr>
          <w:rFonts w:hint="eastAsia" w:ascii="仿宋" w:hAnsi="仿宋" w:eastAsia="仿宋"/>
          <w:color w:val="000000"/>
          <w:highlight w:val="none"/>
        </w:rPr>
        <w:t>逾期送达发票可抵扣金额。</w:t>
      </w:r>
    </w:p>
    <w:p w14:paraId="0F055042">
      <w:pPr>
        <w:pStyle w:val="36"/>
        <w:spacing w:line="360" w:lineRule="exact"/>
        <w:ind w:firstLine="420"/>
        <w:rPr>
          <w:rFonts w:ascii="仿宋" w:hAnsi="仿宋" w:eastAsia="仿宋"/>
          <w:color w:val="000000"/>
          <w:highlight w:val="none"/>
        </w:rPr>
      </w:pPr>
      <w:r>
        <w:rPr>
          <w:rFonts w:ascii="仿宋" w:hAnsi="仿宋" w:eastAsia="仿宋"/>
          <w:color w:val="000000"/>
          <w:highlight w:val="none"/>
        </w:rPr>
        <w:t>4.4如乙方提供的增值税专用发票不符合法律法规要求或本合同约定，或不能通过税务认证</w:t>
      </w:r>
      <w:r>
        <w:rPr>
          <w:rFonts w:hint="eastAsia" w:ascii="仿宋" w:hAnsi="仿宋" w:eastAsia="仿宋"/>
          <w:color w:val="000000"/>
          <w:highlight w:val="none"/>
        </w:rPr>
        <w:t>或不能实现税款抵扣</w:t>
      </w:r>
      <w:r>
        <w:rPr>
          <w:rFonts w:ascii="仿宋" w:hAnsi="仿宋" w:eastAsia="仿宋"/>
          <w:color w:val="000000"/>
          <w:highlight w:val="none"/>
        </w:rPr>
        <w:t>的，甲方有权拒收或于发现问题后退回，乙方应及时更换，如因此导致未能在</w:t>
      </w:r>
      <w:r>
        <w:rPr>
          <w:rFonts w:hint="eastAsia" w:ascii="仿宋" w:hAnsi="仿宋" w:eastAsia="仿宋"/>
          <w:color w:val="000000"/>
          <w:highlight w:val="none"/>
        </w:rPr>
        <w:t>第</w:t>
      </w:r>
      <w:r>
        <w:rPr>
          <w:rFonts w:ascii="仿宋" w:hAnsi="仿宋" w:eastAsia="仿宋"/>
          <w:color w:val="000000"/>
          <w:highlight w:val="none"/>
        </w:rPr>
        <w:t>4.3条约定时限内送达增值税专用发票的，乙方应当按照第4.3条约定承担逾期送达的违约责任</w:t>
      </w:r>
      <w:r>
        <w:rPr>
          <w:rFonts w:hint="eastAsia" w:ascii="仿宋" w:hAnsi="仿宋" w:eastAsia="仿宋"/>
          <w:color w:val="000000"/>
          <w:highlight w:val="none"/>
        </w:rPr>
        <w:t>；如无法更换的，甲方有权要求乙方支付发票金额</w:t>
      </w:r>
      <w:r>
        <w:rPr>
          <w:rFonts w:ascii="仿宋" w:hAnsi="仿宋" w:eastAsia="仿宋"/>
          <w:color w:val="000000"/>
          <w:highlight w:val="none"/>
        </w:rPr>
        <w:t>[</w:t>
      </w:r>
      <w:r>
        <w:rPr>
          <w:rFonts w:hint="eastAsia" w:ascii="仿宋" w:hAnsi="仿宋" w:eastAsia="仿宋"/>
          <w:color w:val="000000"/>
          <w:highlight w:val="none"/>
          <w:lang w:val="en-US" w:eastAsia="zh-CN"/>
        </w:rPr>
        <w:t>10</w:t>
      </w:r>
      <w:r>
        <w:rPr>
          <w:rFonts w:ascii="仿宋" w:hAnsi="仿宋" w:eastAsia="仿宋"/>
          <w:color w:val="000000"/>
          <w:highlight w:val="none"/>
        </w:rPr>
        <w:t>]%</w:t>
      </w:r>
      <w:r>
        <w:rPr>
          <w:rFonts w:hint="eastAsia" w:ascii="仿宋" w:hAnsi="仿宋" w:eastAsia="仿宋"/>
          <w:color w:val="000000"/>
          <w:highlight w:val="none"/>
        </w:rPr>
        <w:t>的违约金，并赔偿甲方由此遭受的损失</w:t>
      </w:r>
      <w:r>
        <w:rPr>
          <w:rFonts w:ascii="仿宋" w:hAnsi="仿宋" w:eastAsia="仿宋"/>
          <w:color w:val="000000"/>
          <w:highlight w:val="none"/>
        </w:rPr>
        <w:t>。</w:t>
      </w:r>
    </w:p>
    <w:p w14:paraId="70DFFE68">
      <w:pPr>
        <w:pStyle w:val="36"/>
        <w:spacing w:line="360" w:lineRule="exact"/>
        <w:rPr>
          <w:rFonts w:ascii="仿宋" w:hAnsi="仿宋" w:eastAsia="仿宋"/>
          <w:color w:val="000000"/>
          <w:highlight w:val="none"/>
        </w:rPr>
      </w:pPr>
      <w:r>
        <w:rPr>
          <w:rFonts w:ascii="仿宋" w:hAnsi="仿宋" w:eastAsia="仿宋"/>
          <w:color w:val="000000"/>
          <w:highlight w:val="none"/>
        </w:rPr>
        <w:t>4.5若根据本合同规定，乙方应当支付违约金和/或承担赔偿责任，则甲方有权从上述任何一笔付款中直接扣除相应金额。扣除后仍不足以赔偿甲方损失的，乙方应在接到甲方通知后</w:t>
      </w:r>
      <w:r>
        <w:rPr>
          <w:rFonts w:hint="eastAsia" w:ascii="仿宋" w:hAnsi="仿宋" w:eastAsia="仿宋"/>
          <w:color w:val="000000"/>
          <w:highlight w:val="none"/>
        </w:rPr>
        <w:t>十五</w:t>
      </w:r>
      <w:r>
        <w:rPr>
          <w:rFonts w:ascii="仿宋" w:hAnsi="仿宋" w:eastAsia="仿宋"/>
          <w:color w:val="000000"/>
          <w:highlight w:val="none"/>
        </w:rPr>
        <w:t>日内将不足部分以[</w:t>
      </w:r>
      <w:r>
        <w:rPr>
          <w:rFonts w:hint="eastAsia" w:ascii="Calibri" w:hAnsi="Calibri" w:eastAsia="仿宋" w:cs="Calibri"/>
          <w:color w:val="000000"/>
          <w:highlight w:val="none"/>
        </w:rPr>
        <w:t>银行转账</w:t>
      </w:r>
      <w:r>
        <w:rPr>
          <w:rFonts w:ascii="仿宋" w:hAnsi="仿宋" w:eastAsia="仿宋"/>
          <w:color w:val="000000"/>
          <w:highlight w:val="none"/>
        </w:rPr>
        <w:t>]（银行转账、电汇、支票等）方式付至甲方</w:t>
      </w:r>
      <w:r>
        <w:rPr>
          <w:rFonts w:ascii="仿宋" w:hAnsi="仿宋" w:eastAsia="仿宋"/>
          <w:color w:val="000000"/>
          <w:szCs w:val="24"/>
          <w:highlight w:val="none"/>
        </w:rPr>
        <w:t>。</w:t>
      </w:r>
    </w:p>
    <w:p w14:paraId="1AB5DF7D">
      <w:pPr>
        <w:pStyle w:val="36"/>
        <w:spacing w:line="360" w:lineRule="exact"/>
        <w:ind w:firstLineChars="200"/>
        <w:rPr>
          <w:rFonts w:ascii="仿宋" w:hAnsi="仿宋" w:eastAsia="仿宋"/>
          <w:color w:val="000000"/>
          <w:szCs w:val="24"/>
          <w:highlight w:val="none"/>
        </w:rPr>
      </w:pPr>
      <w:r>
        <w:rPr>
          <w:rFonts w:ascii="仿宋" w:hAnsi="仿宋" w:eastAsia="仿宋"/>
          <w:color w:val="000000"/>
          <w:highlight w:val="none"/>
        </w:rPr>
        <w:t>4.6在甲方</w:t>
      </w:r>
      <w:r>
        <w:rPr>
          <w:rFonts w:hint="eastAsia" w:ascii="仿宋" w:hAnsi="仿宋" w:eastAsia="仿宋"/>
          <w:color w:val="000000"/>
          <w:szCs w:val="24"/>
          <w:highlight w:val="none"/>
        </w:rPr>
        <w:t>开户</w:t>
      </w:r>
      <w:r>
        <w:rPr>
          <w:rFonts w:ascii="仿宋" w:hAnsi="仿宋" w:eastAsia="仿宋"/>
          <w:color w:val="000000"/>
          <w:highlight w:val="none"/>
        </w:rPr>
        <w:t>银行所发生的银行费用由甲方负担，甲方</w:t>
      </w:r>
      <w:r>
        <w:rPr>
          <w:rFonts w:hint="eastAsia" w:ascii="仿宋" w:hAnsi="仿宋" w:eastAsia="仿宋"/>
          <w:color w:val="000000"/>
          <w:szCs w:val="24"/>
          <w:highlight w:val="none"/>
        </w:rPr>
        <w:t>开户</w:t>
      </w:r>
      <w:r>
        <w:rPr>
          <w:rFonts w:ascii="仿宋" w:hAnsi="仿宋" w:eastAsia="仿宋"/>
          <w:color w:val="000000"/>
          <w:highlight w:val="none"/>
        </w:rPr>
        <w:t>银行以外的一切银行费用由乙方负担</w:t>
      </w:r>
      <w:bookmarkStart w:id="629" w:name="_Toc33253831"/>
      <w:r>
        <w:rPr>
          <w:rFonts w:ascii="仿宋" w:hAnsi="仿宋" w:eastAsia="仿宋"/>
          <w:color w:val="000000"/>
          <w:szCs w:val="24"/>
          <w:highlight w:val="none"/>
        </w:rPr>
        <w:t>。</w:t>
      </w:r>
    </w:p>
    <w:p w14:paraId="7A263C46">
      <w:pPr>
        <w:pStyle w:val="36"/>
        <w:spacing w:line="360" w:lineRule="exact"/>
        <w:ind w:firstLineChars="200"/>
        <w:rPr>
          <w:rFonts w:ascii="仿宋" w:hAnsi="仿宋" w:eastAsia="仿宋"/>
          <w:color w:val="000000"/>
          <w:highlight w:val="none"/>
        </w:rPr>
      </w:pPr>
      <w:r>
        <w:rPr>
          <w:rFonts w:ascii="仿宋" w:hAnsi="仿宋" w:eastAsia="仿宋"/>
          <w:color w:val="000000"/>
          <w:szCs w:val="24"/>
          <w:highlight w:val="none"/>
        </w:rPr>
        <w:t xml:space="preserve">4.7 </w:t>
      </w:r>
      <w:r>
        <w:rPr>
          <w:rFonts w:hint="eastAsia" w:ascii="仿宋" w:hAnsi="仿宋" w:eastAsia="仿宋"/>
          <w:color w:val="000000"/>
          <w:szCs w:val="24"/>
          <w:highlight w:val="none"/>
        </w:rPr>
        <w:t>若甲乙双方互负到期债务，且该债务均为金钱给付的，甲方有权以其到期债务抵销乙方的到期债务，抵销自甲方通知到达乙方时生效</w:t>
      </w:r>
      <w:r>
        <w:rPr>
          <w:rFonts w:hint="eastAsia" w:ascii="仿宋" w:hAnsi="仿宋" w:eastAsia="仿宋"/>
          <w:color w:val="000000"/>
          <w:highlight w:val="none"/>
        </w:rPr>
        <w:t>。</w:t>
      </w:r>
    </w:p>
    <w:p w14:paraId="13BF9231">
      <w:pPr>
        <w:pStyle w:val="36"/>
        <w:spacing w:line="360" w:lineRule="exact"/>
        <w:ind w:firstLine="480" w:firstLineChars="200"/>
        <w:rPr>
          <w:rFonts w:ascii="仿宋" w:hAnsi="仿宋" w:eastAsia="仿宋"/>
          <w:color w:val="000000"/>
          <w:highlight w:val="none"/>
        </w:rPr>
      </w:pPr>
      <w:r>
        <w:rPr>
          <w:rFonts w:hint="eastAsia" w:ascii="仿宋" w:hAnsi="仿宋" w:eastAsia="仿宋"/>
          <w:b/>
          <w:color w:val="000000"/>
          <w:highlight w:val="none"/>
        </w:rPr>
        <w:t>第五条</w:t>
      </w:r>
      <w:r>
        <w:rPr>
          <w:rFonts w:ascii="仿宋" w:hAnsi="仿宋" w:eastAsia="仿宋"/>
          <w:b/>
          <w:color w:val="000000"/>
          <w:highlight w:val="none"/>
        </w:rPr>
        <w:t xml:space="preserve"> 初验、移交、试运行和终验</w:t>
      </w:r>
      <w:bookmarkEnd w:id="629"/>
    </w:p>
    <w:p w14:paraId="6F762A08">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5.1乙方保证其向甲方提供的应用软件为全新、完整的软件，并且保证其</w:t>
      </w:r>
      <w:r>
        <w:rPr>
          <w:rFonts w:hint="eastAsia" w:ascii="仿宋" w:hAnsi="仿宋" w:eastAsia="仿宋"/>
          <w:color w:val="000000"/>
          <w:szCs w:val="24"/>
          <w:highlight w:val="none"/>
        </w:rPr>
        <w:t>提供的</w:t>
      </w:r>
      <w:r>
        <w:rPr>
          <w:rFonts w:ascii="仿宋" w:hAnsi="仿宋" w:eastAsia="仿宋"/>
          <w:color w:val="000000"/>
          <w:highlight w:val="none"/>
        </w:rPr>
        <w:t>应用软件的性能、质量及运行与</w:t>
      </w:r>
      <w:r>
        <w:rPr>
          <w:rFonts w:hint="eastAsia" w:ascii="仿宋" w:hAnsi="仿宋" w:eastAsia="仿宋"/>
          <w:color w:val="000000"/>
          <w:szCs w:val="24"/>
          <w:highlight w:val="none"/>
        </w:rPr>
        <w:t>本</w:t>
      </w:r>
      <w:r>
        <w:rPr>
          <w:rFonts w:ascii="仿宋" w:hAnsi="仿宋" w:eastAsia="仿宋"/>
          <w:color w:val="000000"/>
          <w:highlight w:val="none"/>
        </w:rPr>
        <w:t>合同及附件中的所有要求相符。双方按本条规定的程序和标准对乙方完成的应用软件进行初验、移交、试运行和终验。</w:t>
      </w:r>
    </w:p>
    <w:p w14:paraId="52C39E7B">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5.2初验</w:t>
      </w:r>
    </w:p>
    <w:p w14:paraId="5AE00A8D">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乙方按照本合同规定将应用软件开发完成后，应向甲方提交书面初验申请，甲方在收到申请后</w:t>
      </w:r>
      <w:r>
        <w:rPr>
          <w:rFonts w:ascii="仿宋" w:hAnsi="仿宋" w:eastAsia="仿宋"/>
          <w:color w:val="000000"/>
          <w:highlight w:val="none"/>
        </w:rPr>
        <w:t>[</w:t>
      </w:r>
      <w:r>
        <w:rPr>
          <w:rFonts w:hint="eastAsia" w:ascii="仿宋" w:hAnsi="仿宋" w:eastAsia="仿宋"/>
          <w:color w:val="000000"/>
          <w:highlight w:val="none"/>
          <w:lang w:val="en-US" w:eastAsia="zh-CN"/>
        </w:rPr>
        <w:t>10</w:t>
      </w:r>
      <w:r>
        <w:rPr>
          <w:rFonts w:ascii="仿宋" w:hAnsi="仿宋" w:eastAsia="仿宋"/>
          <w:color w:val="000000"/>
          <w:highlight w:val="none"/>
        </w:rPr>
        <w:t>]个工作日内，</w:t>
      </w:r>
      <w:r>
        <w:rPr>
          <w:rFonts w:hint="eastAsia" w:ascii="仿宋" w:hAnsi="仿宋" w:eastAsia="仿宋"/>
          <w:color w:val="000000"/>
          <w:highlight w:val="none"/>
        </w:rPr>
        <w:t>按照附件二对应用软件进行初验，乙方</w:t>
      </w:r>
      <w:r>
        <w:rPr>
          <w:rFonts w:hint="eastAsia" w:ascii="仿宋" w:hAnsi="仿宋" w:eastAsia="仿宋"/>
          <w:color w:val="000000"/>
          <w:szCs w:val="24"/>
          <w:highlight w:val="none"/>
        </w:rPr>
        <w:t>应当</w:t>
      </w:r>
      <w:r>
        <w:rPr>
          <w:rFonts w:hint="eastAsia" w:ascii="仿宋" w:hAnsi="仿宋" w:eastAsia="仿宋"/>
          <w:color w:val="000000"/>
          <w:highlight w:val="none"/>
        </w:rPr>
        <w:t>提供必要的配合。如果测试结果符合附件五的初验测试标准，双方签署初验证书。初验证书应由双方代表签字，一式二份，双方各执一份。</w:t>
      </w:r>
    </w:p>
    <w:p w14:paraId="3652165E">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初验不合格，乙方应立即进行更正修改，直至测试结果符合附件五。初验不合格</w:t>
      </w:r>
      <w:r>
        <w:rPr>
          <w:rFonts w:ascii="仿宋" w:hAnsi="仿宋" w:eastAsia="仿宋"/>
          <w:color w:val="000000"/>
          <w:highlight w:val="none"/>
        </w:rPr>
        <w:t>[</w:t>
      </w:r>
      <w:r>
        <w:rPr>
          <w:rFonts w:hint="eastAsia" w:ascii="仿宋" w:hAnsi="仿宋" w:eastAsia="仿宋"/>
          <w:color w:val="000000"/>
          <w:highlight w:val="none"/>
          <w:lang w:val="en-US" w:eastAsia="zh-CN"/>
        </w:rPr>
        <w:t>30</w:t>
      </w:r>
      <w:r>
        <w:rPr>
          <w:rFonts w:ascii="仿宋" w:hAnsi="仿宋" w:eastAsia="仿宋"/>
          <w:color w:val="000000"/>
          <w:highlight w:val="none"/>
        </w:rPr>
        <w:t>]日后，</w:t>
      </w:r>
      <w:r>
        <w:rPr>
          <w:rFonts w:hint="eastAsia" w:ascii="仿宋" w:hAnsi="仿宋" w:eastAsia="仿宋"/>
          <w:color w:val="000000"/>
          <w:highlight w:val="none"/>
        </w:rPr>
        <w:t>经乙方更正修改仍不能达到附件五的，</w:t>
      </w:r>
      <w:r>
        <w:rPr>
          <w:rFonts w:hint="eastAsia" w:ascii="仿宋" w:hAnsi="仿宋" w:eastAsia="仿宋"/>
          <w:color w:val="000000"/>
          <w:szCs w:val="24"/>
          <w:highlight w:val="none"/>
        </w:rPr>
        <w:t>乙方应退还甲方已付款项并按本合同总价的</w:t>
      </w:r>
      <w:r>
        <w:rPr>
          <w:rFonts w:ascii="仿宋" w:hAnsi="仿宋" w:eastAsia="仿宋"/>
          <w:color w:val="000000"/>
          <w:szCs w:val="24"/>
          <w:highlight w:val="none"/>
        </w:rPr>
        <w:t>[</w:t>
      </w:r>
      <w:r>
        <w:rPr>
          <w:rFonts w:hint="eastAsia" w:ascii="仿宋" w:hAnsi="仿宋" w:eastAsia="仿宋"/>
          <w:color w:val="000000"/>
          <w:szCs w:val="24"/>
          <w:highlight w:val="none"/>
          <w:lang w:val="en-US" w:eastAsia="zh-CN"/>
        </w:rPr>
        <w:t>10</w:t>
      </w:r>
      <w:r>
        <w:rPr>
          <w:rFonts w:ascii="仿宋" w:hAnsi="仿宋" w:eastAsia="仿宋"/>
          <w:color w:val="000000"/>
          <w:szCs w:val="24"/>
          <w:highlight w:val="none"/>
        </w:rPr>
        <w:t xml:space="preserve"> ]%向甲方支付违约金</w:t>
      </w:r>
      <w:r>
        <w:rPr>
          <w:rFonts w:hint="eastAsia" w:ascii="仿宋" w:hAnsi="仿宋" w:eastAsia="仿宋"/>
          <w:color w:val="000000"/>
          <w:szCs w:val="24"/>
          <w:highlight w:val="none"/>
        </w:rPr>
        <w:t>，且</w:t>
      </w:r>
      <w:r>
        <w:rPr>
          <w:rFonts w:hint="eastAsia" w:ascii="仿宋" w:hAnsi="仿宋" w:eastAsia="仿宋"/>
          <w:color w:val="000000"/>
          <w:highlight w:val="none"/>
        </w:rPr>
        <w:t>甲方有权解除本合同。</w:t>
      </w:r>
    </w:p>
    <w:p w14:paraId="64ACB3A0">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5.3移交</w:t>
      </w:r>
    </w:p>
    <w:p w14:paraId="4D0CAF48">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乙方在初验合格后</w:t>
      </w:r>
      <w:r>
        <w:rPr>
          <w:rFonts w:ascii="仿宋" w:hAnsi="仿宋" w:eastAsia="仿宋"/>
          <w:color w:val="000000"/>
          <w:highlight w:val="none"/>
        </w:rPr>
        <w:t>[</w:t>
      </w:r>
      <w:r>
        <w:rPr>
          <w:rFonts w:hint="eastAsia" w:ascii="仿宋" w:hAnsi="仿宋" w:eastAsia="仿宋"/>
          <w:color w:val="000000"/>
          <w:highlight w:val="none"/>
          <w:lang w:val="en-US" w:eastAsia="zh-CN"/>
        </w:rPr>
        <w:t>10</w:t>
      </w:r>
      <w:r>
        <w:rPr>
          <w:rFonts w:ascii="仿宋" w:hAnsi="仿宋" w:eastAsia="仿宋"/>
          <w:color w:val="000000"/>
          <w:highlight w:val="none"/>
        </w:rPr>
        <w:t>]个工作日</w:t>
      </w:r>
      <w:r>
        <w:rPr>
          <w:rFonts w:hint="eastAsia" w:ascii="仿宋" w:hAnsi="仿宋" w:eastAsia="仿宋"/>
          <w:color w:val="000000"/>
          <w:highlight w:val="none"/>
        </w:rPr>
        <w:t>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及模块间接口设计等</w:t>
      </w:r>
      <w:r>
        <w:rPr>
          <w:rFonts w:ascii="仿宋" w:hAnsi="仿宋" w:eastAsia="仿宋"/>
          <w:color w:val="000000"/>
          <w:highlight w:val="none"/>
        </w:rPr>
        <w:t>,同时应提交应用软件开发各阶段文件及应用软件源代码，并根据</w:t>
      </w:r>
      <w:r>
        <w:rPr>
          <w:rFonts w:hint="eastAsia" w:ascii="仿宋" w:hAnsi="仿宋" w:eastAsia="仿宋"/>
          <w:color w:val="000000"/>
          <w:highlight w:val="none"/>
        </w:rPr>
        <w:t>附件四的要求进行全部完整、准确的技术文件的移交。</w:t>
      </w:r>
    </w:p>
    <w:p w14:paraId="600B2F4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5.4试运行</w:t>
      </w:r>
    </w:p>
    <w:p w14:paraId="4B87A121">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应用软件初验合格后进入试运行期。试运行期限为</w:t>
      </w:r>
      <w:r>
        <w:rPr>
          <w:rFonts w:ascii="仿宋" w:hAnsi="仿宋" w:eastAsia="仿宋"/>
          <w:color w:val="000000"/>
          <w:highlight w:val="none"/>
        </w:rPr>
        <w:t>[</w:t>
      </w:r>
      <w:r>
        <w:rPr>
          <w:rFonts w:hint="eastAsia" w:ascii="仿宋" w:hAnsi="仿宋" w:eastAsia="仿宋"/>
          <w:color w:val="000000"/>
          <w:highlight w:val="none"/>
          <w:lang w:val="en-US" w:eastAsia="zh-CN"/>
        </w:rPr>
        <w:t>3个月</w:t>
      </w:r>
      <w:r>
        <w:rPr>
          <w:rFonts w:ascii="仿宋" w:hAnsi="仿宋" w:eastAsia="仿宋"/>
          <w:color w:val="000000"/>
          <w:highlight w:val="none"/>
        </w:rPr>
        <w:t>]。</w:t>
      </w:r>
      <w:r>
        <w:rPr>
          <w:rFonts w:hint="eastAsia" w:ascii="仿宋" w:hAnsi="仿宋" w:eastAsia="仿宋"/>
          <w:color w:val="000000"/>
          <w:highlight w:val="none"/>
        </w:rPr>
        <w:t>试运行应表明应用软件的功能和性能符合乙方在本合同附件六中的承诺。如果在试运行期间发现任何因乙方原因造成的与附件六规定的不符，乙方有责任对其进行修改和更正直到达到附件六中的要求，同时试运行期依据上述修改、更正期间进行相应顺延。如果由于乙方原因引起的应用软件的质量和性能问题造成整个系统瘫痪，并且不能在</w:t>
      </w:r>
      <w:r>
        <w:rPr>
          <w:rFonts w:ascii="仿宋" w:hAnsi="仿宋" w:eastAsia="仿宋"/>
          <w:color w:val="000000"/>
          <w:highlight w:val="none"/>
        </w:rPr>
        <w:t>[</w:t>
      </w:r>
      <w:r>
        <w:rPr>
          <w:rFonts w:hint="eastAsia" w:ascii="仿宋" w:hAnsi="仿宋" w:eastAsia="仿宋"/>
          <w:color w:val="000000"/>
          <w:highlight w:val="none"/>
          <w:lang w:val="en-US" w:eastAsia="zh-CN"/>
        </w:rPr>
        <w:t>4</w:t>
      </w:r>
      <w:r>
        <w:rPr>
          <w:rFonts w:ascii="仿宋" w:hAnsi="仿宋" w:eastAsia="仿宋"/>
          <w:color w:val="000000"/>
          <w:highlight w:val="none"/>
        </w:rPr>
        <w:t>]小时</w:t>
      </w:r>
      <w:r>
        <w:rPr>
          <w:rFonts w:hint="eastAsia" w:ascii="仿宋" w:hAnsi="仿宋" w:eastAsia="仿宋"/>
          <w:color w:val="000000"/>
          <w:highlight w:val="none"/>
        </w:rPr>
        <w:t>内恢复，试运行期自系统恢复之次日起重新开始计算。试运行最长不得超过</w:t>
      </w:r>
      <w:r>
        <w:rPr>
          <w:rFonts w:ascii="仿宋" w:hAnsi="仿宋" w:eastAsia="仿宋"/>
          <w:color w:val="000000"/>
          <w:highlight w:val="none"/>
        </w:rPr>
        <w:t>[</w:t>
      </w:r>
      <w:r>
        <w:rPr>
          <w:rFonts w:hint="eastAsia" w:ascii="仿宋" w:hAnsi="仿宋" w:eastAsia="仿宋"/>
          <w:color w:val="000000"/>
          <w:highlight w:val="none"/>
          <w:lang w:val="en-US" w:eastAsia="zh-CN"/>
        </w:rPr>
        <w:t>3个月</w:t>
      </w:r>
      <w:r>
        <w:rPr>
          <w:rFonts w:ascii="仿宋" w:hAnsi="仿宋" w:eastAsia="仿宋"/>
          <w:color w:val="000000"/>
          <w:highlight w:val="none"/>
        </w:rPr>
        <w:t xml:space="preserve"> ]，</w:t>
      </w:r>
      <w:r>
        <w:rPr>
          <w:rFonts w:hint="eastAsia" w:ascii="仿宋" w:hAnsi="仿宋" w:eastAsia="仿宋"/>
          <w:color w:val="000000"/>
          <w:highlight w:val="none"/>
        </w:rPr>
        <w:t>超过该期间后仍不能达到附件六的标准的，</w:t>
      </w:r>
      <w:r>
        <w:rPr>
          <w:rFonts w:hint="eastAsia" w:ascii="仿宋" w:hAnsi="仿宋" w:eastAsia="仿宋"/>
          <w:color w:val="000000"/>
          <w:szCs w:val="24"/>
          <w:highlight w:val="none"/>
        </w:rPr>
        <w:t>乙方应退还甲方已付款项并按本合同总价的</w:t>
      </w:r>
      <w:r>
        <w:rPr>
          <w:rFonts w:ascii="仿宋" w:hAnsi="仿宋" w:eastAsia="仿宋"/>
          <w:color w:val="000000"/>
          <w:szCs w:val="24"/>
          <w:highlight w:val="none"/>
        </w:rPr>
        <w:t>[</w:t>
      </w:r>
      <w:r>
        <w:rPr>
          <w:rFonts w:hint="eastAsia" w:ascii="仿宋" w:hAnsi="仿宋" w:eastAsia="仿宋"/>
          <w:color w:val="000000"/>
          <w:szCs w:val="24"/>
          <w:highlight w:val="none"/>
          <w:lang w:val="en-US" w:eastAsia="zh-CN"/>
        </w:rPr>
        <w:t>10</w:t>
      </w:r>
      <w:r>
        <w:rPr>
          <w:rFonts w:ascii="仿宋" w:hAnsi="仿宋" w:eastAsia="仿宋"/>
          <w:color w:val="000000"/>
          <w:szCs w:val="24"/>
          <w:highlight w:val="none"/>
        </w:rPr>
        <w:t>]%向甲方支付违约金</w:t>
      </w:r>
      <w:r>
        <w:rPr>
          <w:rFonts w:hint="eastAsia" w:ascii="仿宋" w:hAnsi="仿宋" w:eastAsia="仿宋"/>
          <w:color w:val="000000"/>
          <w:szCs w:val="24"/>
          <w:highlight w:val="none"/>
        </w:rPr>
        <w:t>，且甲方有权解除合同</w:t>
      </w:r>
      <w:r>
        <w:rPr>
          <w:rFonts w:hint="eastAsia" w:ascii="仿宋" w:hAnsi="仿宋" w:eastAsia="仿宋"/>
          <w:color w:val="000000"/>
          <w:highlight w:val="none"/>
        </w:rPr>
        <w:t>。</w:t>
      </w:r>
    </w:p>
    <w:p w14:paraId="1CEBCA14">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5.5终验</w:t>
      </w:r>
    </w:p>
    <w:p w14:paraId="2ED8BCF9">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终验在试运行期届满后</w:t>
      </w:r>
      <w:r>
        <w:rPr>
          <w:rFonts w:ascii="仿宋" w:hAnsi="仿宋" w:eastAsia="仿宋"/>
          <w:color w:val="000000"/>
          <w:highlight w:val="none"/>
        </w:rPr>
        <w:t>[</w:t>
      </w:r>
      <w:r>
        <w:rPr>
          <w:rFonts w:hint="eastAsia" w:ascii="仿宋" w:hAnsi="仿宋" w:eastAsia="仿宋"/>
          <w:color w:val="000000"/>
          <w:highlight w:val="none"/>
          <w:lang w:val="en-US" w:eastAsia="zh-CN"/>
        </w:rPr>
        <w:t>10</w:t>
      </w:r>
      <w:r>
        <w:rPr>
          <w:rFonts w:ascii="仿宋" w:hAnsi="仿宋" w:eastAsia="仿宋"/>
          <w:color w:val="000000"/>
          <w:highlight w:val="none"/>
        </w:rPr>
        <w:t>]个工作日内</w:t>
      </w:r>
      <w:r>
        <w:rPr>
          <w:rFonts w:hint="eastAsia" w:ascii="仿宋" w:hAnsi="仿宋" w:eastAsia="仿宋"/>
          <w:color w:val="000000"/>
          <w:highlight w:val="none"/>
        </w:rPr>
        <w:t>由甲方指派代表进行。如果终验测试应用软件的所有功能和性能指标均与附件六的规定相符，甲方与乙方共同签署两份终验证书，其中一份由乙方保存，一份由甲方保存。终验不合格，由乙方负责更正和修改。乙方更正、修改后</w:t>
      </w:r>
      <w:r>
        <w:rPr>
          <w:rFonts w:hint="eastAsia" w:ascii="仿宋" w:hAnsi="仿宋" w:eastAsia="仿宋"/>
          <w:color w:val="000000"/>
          <w:szCs w:val="24"/>
          <w:highlight w:val="none"/>
        </w:rPr>
        <w:t>应当</w:t>
      </w:r>
      <w:r>
        <w:rPr>
          <w:rFonts w:hint="eastAsia" w:ascii="仿宋" w:hAnsi="仿宋" w:eastAsia="仿宋"/>
          <w:color w:val="000000"/>
          <w:highlight w:val="none"/>
        </w:rPr>
        <w:t>再次按照附件六进行终验。如果再次终验仍不合格，</w:t>
      </w:r>
      <w:r>
        <w:rPr>
          <w:rFonts w:hint="eastAsia" w:ascii="仿宋" w:hAnsi="仿宋" w:eastAsia="仿宋"/>
          <w:color w:val="000000"/>
          <w:szCs w:val="24"/>
          <w:highlight w:val="none"/>
        </w:rPr>
        <w:t>乙方应退还甲方已付款项并按本合同总价的</w:t>
      </w:r>
      <w:r>
        <w:rPr>
          <w:rFonts w:ascii="仿宋" w:hAnsi="仿宋" w:eastAsia="仿宋"/>
          <w:color w:val="000000"/>
          <w:szCs w:val="24"/>
          <w:highlight w:val="none"/>
        </w:rPr>
        <w:t>[</w:t>
      </w:r>
      <w:r>
        <w:rPr>
          <w:rFonts w:hint="eastAsia" w:ascii="仿宋" w:hAnsi="仿宋" w:eastAsia="仿宋"/>
          <w:color w:val="000000"/>
          <w:szCs w:val="24"/>
          <w:highlight w:val="none"/>
          <w:lang w:val="en-US" w:eastAsia="zh-CN"/>
        </w:rPr>
        <w:t>10</w:t>
      </w:r>
      <w:r>
        <w:rPr>
          <w:rFonts w:ascii="仿宋" w:hAnsi="仿宋" w:eastAsia="仿宋"/>
          <w:color w:val="000000"/>
          <w:szCs w:val="24"/>
          <w:highlight w:val="none"/>
        </w:rPr>
        <w:t>]%向甲方支付违约金</w:t>
      </w:r>
      <w:r>
        <w:rPr>
          <w:rFonts w:hint="eastAsia" w:ascii="仿宋" w:hAnsi="仿宋" w:eastAsia="仿宋"/>
          <w:color w:val="000000"/>
          <w:szCs w:val="24"/>
          <w:highlight w:val="none"/>
        </w:rPr>
        <w:t>，且甲方有权解除</w:t>
      </w:r>
      <w:r>
        <w:rPr>
          <w:rFonts w:hint="eastAsia" w:ascii="仿宋" w:hAnsi="仿宋" w:eastAsia="仿宋"/>
          <w:color w:val="000000"/>
          <w:highlight w:val="none"/>
        </w:rPr>
        <w:t>本合同。</w:t>
      </w:r>
    </w:p>
    <w:p w14:paraId="5591586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5.6终验合格并不免除乙方根据本合同规定的保修责任。</w:t>
      </w:r>
    </w:p>
    <w:p w14:paraId="7F103079">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5.7 本项目应用软件中引用的所有开源组件、第三方组件、中间件等外部组件，须经过甲方审批同意后方可使用，乙方须在本项目初验、终验时按照[附件十]规定的格式提供</w:t>
      </w:r>
      <w:r>
        <w:rPr>
          <w:rFonts w:hint="eastAsia" w:ascii="仿宋" w:hAnsi="仿宋" w:eastAsia="仿宋"/>
          <w:highlight w:val="none"/>
        </w:rPr>
        <w:t>外部组件</w:t>
      </w:r>
      <w:r>
        <w:rPr>
          <w:rFonts w:hint="eastAsia" w:ascii="仿宋" w:hAnsi="仿宋" w:eastAsia="仿宋"/>
          <w:color w:val="000000"/>
          <w:highlight w:val="none"/>
        </w:rPr>
        <w:t>软件成分信息清单。如甲方在代码审计、代码走查、安全检测等软件安全检查中发现应用软件中存在非软件成分信息清单中的组件，[每发现一个]，乙方应当支付合同总价的[</w:t>
      </w:r>
      <w:r>
        <w:rPr>
          <w:rFonts w:hint="eastAsia" w:ascii="仿宋" w:hAnsi="仿宋" w:eastAsia="仿宋"/>
          <w:color w:val="000000"/>
          <w:highlight w:val="none"/>
          <w:lang w:val="en-US" w:eastAsia="zh-CN"/>
        </w:rPr>
        <w:t>10%</w:t>
      </w:r>
      <w:r>
        <w:rPr>
          <w:rFonts w:hint="eastAsia" w:ascii="仿宋" w:hAnsi="仿宋" w:eastAsia="仿宋"/>
          <w:color w:val="000000"/>
          <w:highlight w:val="none"/>
        </w:rPr>
        <w:t>]的违约金。</w:t>
      </w:r>
    </w:p>
    <w:p w14:paraId="29473CC5">
      <w:pPr>
        <w:pStyle w:val="36"/>
        <w:spacing w:line="360" w:lineRule="exact"/>
        <w:ind w:firstLine="480" w:firstLineChars="200"/>
        <w:rPr>
          <w:rFonts w:ascii="仿宋" w:hAnsi="仿宋" w:eastAsia="仿宋"/>
          <w:b/>
          <w:color w:val="000000"/>
          <w:highlight w:val="none"/>
        </w:rPr>
      </w:pPr>
      <w:r>
        <w:rPr>
          <w:rFonts w:hint="eastAsia" w:ascii="仿宋" w:hAnsi="仿宋" w:eastAsia="仿宋"/>
          <w:b/>
          <w:color w:val="000000"/>
          <w:highlight w:val="none"/>
        </w:rPr>
        <w:t>第六条技术支持与服务、保修</w:t>
      </w:r>
    </w:p>
    <w:p w14:paraId="361A8130">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6.1乙方</w:t>
      </w:r>
      <w:r>
        <w:rPr>
          <w:rFonts w:ascii="仿宋" w:hAnsi="仿宋" w:eastAsia="仿宋"/>
          <w:color w:val="000000"/>
          <w:szCs w:val="24"/>
          <w:highlight w:val="none"/>
        </w:rPr>
        <w:t>指定专业团队</w:t>
      </w:r>
      <w:r>
        <w:rPr>
          <w:rFonts w:ascii="仿宋" w:hAnsi="仿宋" w:eastAsia="仿宋"/>
          <w:color w:val="000000"/>
          <w:highlight w:val="none"/>
        </w:rPr>
        <w:t>向甲方提供与使用应用软件相关的技术服务。乙方提供的技术支持和服务的内容包括</w:t>
      </w:r>
      <w:r>
        <w:rPr>
          <w:rFonts w:ascii="仿宋" w:hAnsi="仿宋" w:eastAsia="仿宋"/>
          <w:color w:val="000000"/>
          <w:szCs w:val="24"/>
          <w:highlight w:val="none"/>
        </w:rPr>
        <w:t>微信、QQ、</w:t>
      </w:r>
      <w:r>
        <w:rPr>
          <w:rFonts w:ascii="仿宋" w:hAnsi="仿宋" w:eastAsia="仿宋"/>
          <w:color w:val="000000"/>
          <w:highlight w:val="none"/>
        </w:rPr>
        <w:t>电话支持、现场服务、软件维护支持、电子邮件支持、因特网支持和提供系统应急策略等内容。</w:t>
      </w:r>
      <w:r>
        <w:rPr>
          <w:rFonts w:hint="eastAsia" w:ascii="仿宋" w:hAnsi="仿宋" w:eastAsia="仿宋"/>
          <w:color w:val="000000"/>
          <w:highlight w:val="none"/>
        </w:rPr>
        <w:t>本项目技术支持和服务内容详见附件七。</w:t>
      </w:r>
    </w:p>
    <w:p w14:paraId="440E8892">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6.2自</w:t>
      </w:r>
      <w:r>
        <w:rPr>
          <w:rFonts w:hint="eastAsia" w:ascii="仿宋" w:hAnsi="仿宋" w:eastAsia="仿宋"/>
          <w:color w:val="000000"/>
          <w:szCs w:val="24"/>
          <w:highlight w:val="none"/>
        </w:rPr>
        <w:t>双方签署</w:t>
      </w:r>
      <w:r>
        <w:rPr>
          <w:rFonts w:hint="eastAsia" w:ascii="仿宋" w:hAnsi="仿宋" w:eastAsia="仿宋"/>
          <w:color w:val="000000"/>
          <w:highlight w:val="none"/>
        </w:rPr>
        <w:t>终验证书之日起，</w:t>
      </w:r>
      <w:r>
        <w:rPr>
          <w:rFonts w:hint="eastAsia" w:ascii="仿宋" w:hAnsi="仿宋" w:eastAsia="仿宋"/>
          <w:color w:val="000000"/>
          <w:szCs w:val="24"/>
          <w:highlight w:val="none"/>
        </w:rPr>
        <w:t>乙方</w:t>
      </w:r>
      <w:r>
        <w:rPr>
          <w:rFonts w:hint="eastAsia" w:ascii="仿宋" w:hAnsi="仿宋" w:eastAsia="仿宋"/>
          <w:color w:val="000000"/>
          <w:highlight w:val="none"/>
        </w:rPr>
        <w:t>就所提供的应用软件为甲方提供为期</w:t>
      </w:r>
      <w:r>
        <w:rPr>
          <w:rFonts w:ascii="仿宋" w:hAnsi="仿宋" w:eastAsia="仿宋"/>
          <w:color w:val="000000"/>
          <w:highlight w:val="none"/>
        </w:rPr>
        <w:t>[</w:t>
      </w:r>
      <w:r>
        <w:rPr>
          <w:rFonts w:hint="eastAsia" w:ascii="仿宋" w:hAnsi="仿宋" w:eastAsia="仿宋"/>
          <w:color w:val="000000"/>
          <w:highlight w:val="none"/>
          <w:lang w:val="en-US" w:eastAsia="zh-CN"/>
        </w:rPr>
        <w:t>12</w:t>
      </w:r>
      <w:r>
        <w:rPr>
          <w:rFonts w:ascii="仿宋" w:hAnsi="仿宋" w:eastAsia="仿宋"/>
          <w:color w:val="000000"/>
          <w:highlight w:val="none"/>
        </w:rPr>
        <w:t>]个月</w:t>
      </w:r>
      <w:r>
        <w:rPr>
          <w:rFonts w:hint="eastAsia" w:ascii="仿宋" w:hAnsi="仿宋" w:eastAsia="仿宋"/>
          <w:color w:val="000000"/>
          <w:highlight w:val="none"/>
        </w:rPr>
        <w:t>的免费技术支持和服务（“保修期”）。</w:t>
      </w:r>
    </w:p>
    <w:p w14:paraId="42EC77E3">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6.3在保修期内，如果乙方所提供的应用软件的性能和质量与合同规定不符，乙方</w:t>
      </w:r>
      <w:r>
        <w:rPr>
          <w:rFonts w:hint="eastAsia" w:ascii="仿宋" w:hAnsi="仿宋" w:eastAsia="仿宋"/>
          <w:color w:val="000000"/>
          <w:szCs w:val="24"/>
          <w:highlight w:val="none"/>
        </w:rPr>
        <w:t>应当</w:t>
      </w:r>
      <w:r>
        <w:rPr>
          <w:rFonts w:ascii="仿宋" w:hAnsi="仿宋" w:eastAsia="仿宋"/>
          <w:color w:val="000000"/>
          <w:highlight w:val="none"/>
        </w:rPr>
        <w:t>尽快排除缺陷，所有费用由乙方承担。</w:t>
      </w:r>
    </w:p>
    <w:p w14:paraId="1CF1BFF5">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6.4在保修期内如果甲方的有关技术规范进行了修改，乙方承诺对应用软件进行免费升级。</w:t>
      </w:r>
    </w:p>
    <w:p w14:paraId="55EE6881">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6.5在应用软件保修期满</w:t>
      </w:r>
      <w:r>
        <w:rPr>
          <w:rFonts w:hint="eastAsia" w:ascii="仿宋" w:hAnsi="仿宋" w:eastAsia="仿宋"/>
          <w:color w:val="000000"/>
          <w:highlight w:val="none"/>
        </w:rPr>
        <w:t>后</w:t>
      </w:r>
      <w:r>
        <w:rPr>
          <w:rFonts w:ascii="仿宋" w:hAnsi="仿宋" w:eastAsia="仿宋"/>
          <w:color w:val="000000"/>
          <w:highlight w:val="none"/>
        </w:rPr>
        <w:t>[</w:t>
      </w:r>
      <w:r>
        <w:rPr>
          <w:rFonts w:hint="eastAsia" w:ascii="仿宋" w:hAnsi="仿宋" w:eastAsia="仿宋"/>
          <w:color w:val="000000"/>
          <w:highlight w:val="none"/>
          <w:lang w:val="en-US" w:eastAsia="zh-CN"/>
        </w:rPr>
        <w:t>2</w:t>
      </w:r>
      <w:r>
        <w:rPr>
          <w:rFonts w:ascii="仿宋" w:hAnsi="仿宋" w:eastAsia="仿宋"/>
          <w:color w:val="000000"/>
          <w:highlight w:val="none"/>
        </w:rPr>
        <w:t>]年</w:t>
      </w:r>
      <w:r>
        <w:rPr>
          <w:rFonts w:hint="eastAsia" w:ascii="仿宋" w:hAnsi="仿宋" w:eastAsia="仿宋"/>
          <w:color w:val="000000"/>
          <w:highlight w:val="none"/>
        </w:rPr>
        <w:t>内，对于由于乙方原因产生的软件缺陷及</w:t>
      </w:r>
      <w:r>
        <w:rPr>
          <w:rFonts w:ascii="仿宋" w:hAnsi="仿宋" w:eastAsia="仿宋"/>
          <w:color w:val="000000"/>
          <w:highlight w:val="none"/>
        </w:rPr>
        <w:t>/或不合理情况，乙方免费提供应用软件补丁或升级。</w:t>
      </w:r>
    </w:p>
    <w:p w14:paraId="3C09C86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6.6保修期内应用软件出现问题时，乙方响应时间不得超过四小时，故障修复时间不得超过</w:t>
      </w:r>
      <w:r>
        <w:rPr>
          <w:rFonts w:hint="eastAsia" w:ascii="仿宋" w:hAnsi="仿宋" w:eastAsia="仿宋"/>
          <w:color w:val="000000"/>
          <w:highlight w:val="none"/>
        </w:rPr>
        <w:t>六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w:t>
      </w:r>
      <w:r>
        <w:rPr>
          <w:rFonts w:ascii="仿宋" w:hAnsi="仿宋" w:eastAsia="仿宋"/>
          <w:color w:val="000000"/>
          <w:highlight w:val="none"/>
        </w:rPr>
        <w:t>24小时、每周7天的响应服务（“7×24小时响应服务”）。</w:t>
      </w:r>
    </w:p>
    <w:p w14:paraId="76593965">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6.7在保修期内，如果乙方进行了技术改进，且</w:t>
      </w:r>
      <w:r>
        <w:rPr>
          <w:rFonts w:hint="eastAsia" w:ascii="仿宋" w:hAnsi="仿宋" w:eastAsia="仿宋"/>
          <w:color w:val="000000"/>
          <w:szCs w:val="24"/>
          <w:highlight w:val="none"/>
        </w:rPr>
        <w:t>该</w:t>
      </w:r>
      <w:r>
        <w:rPr>
          <w:rFonts w:ascii="仿宋" w:hAnsi="仿宋" w:eastAsia="仿宋"/>
          <w:color w:val="000000"/>
          <w:highlight w:val="none"/>
        </w:rPr>
        <w:t>改进对甲方有重要意义并对软件运行维护有实用价值，乙方</w:t>
      </w:r>
      <w:r>
        <w:rPr>
          <w:rFonts w:ascii="仿宋" w:hAnsi="仿宋" w:eastAsia="仿宋"/>
          <w:color w:val="000000"/>
          <w:szCs w:val="24"/>
          <w:highlight w:val="none"/>
        </w:rPr>
        <w:t>应</w:t>
      </w:r>
      <w:r>
        <w:rPr>
          <w:rFonts w:hint="eastAsia" w:ascii="仿宋" w:hAnsi="仿宋" w:eastAsia="仿宋"/>
          <w:color w:val="000000"/>
          <w:szCs w:val="24"/>
          <w:highlight w:val="none"/>
        </w:rPr>
        <w:t>当</w:t>
      </w:r>
      <w:r>
        <w:rPr>
          <w:rFonts w:ascii="仿宋" w:hAnsi="仿宋" w:eastAsia="仿宋"/>
          <w:color w:val="000000"/>
          <w:highlight w:val="none"/>
        </w:rPr>
        <w:t>免费向甲方提供与</w:t>
      </w:r>
      <w:r>
        <w:rPr>
          <w:rFonts w:hint="eastAsia" w:ascii="仿宋" w:hAnsi="仿宋" w:eastAsia="仿宋"/>
          <w:color w:val="000000"/>
          <w:szCs w:val="24"/>
          <w:highlight w:val="none"/>
        </w:rPr>
        <w:t>该</w:t>
      </w:r>
      <w:r>
        <w:rPr>
          <w:rFonts w:ascii="仿宋" w:hAnsi="仿宋" w:eastAsia="仿宋"/>
          <w:color w:val="000000"/>
          <w:highlight w:val="none"/>
        </w:rPr>
        <w:t>改进有关的详细技术资料和软件升级。</w:t>
      </w:r>
    </w:p>
    <w:p w14:paraId="5FCA3012">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6.8应用软件保修期满后，甲方签发</w:t>
      </w:r>
      <w:r>
        <w:rPr>
          <w:rFonts w:hint="eastAsia" w:ascii="仿宋" w:hAnsi="仿宋" w:eastAsia="仿宋"/>
          <w:color w:val="000000"/>
          <w:highlight w:val="none"/>
        </w:rPr>
        <w:t>两份保修期满证书。</w:t>
      </w:r>
    </w:p>
    <w:p w14:paraId="14E21FBF">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6.9保修期届满后的升级、改造费用，每个功能模块最高不超过本次合同总价中的对应功能模块价格，总的升级、改造费用每年最高不超过本次合同总价的[</w:t>
      </w:r>
      <w:r>
        <w:rPr>
          <w:rFonts w:hint="eastAsia" w:ascii="仿宋" w:hAnsi="仿宋" w:eastAsia="仿宋"/>
          <w:color w:val="000000"/>
          <w:highlight w:val="none"/>
          <w:lang w:val="en-US" w:eastAsia="zh-CN"/>
        </w:rPr>
        <w:t>50</w:t>
      </w:r>
      <w:r>
        <w:rPr>
          <w:rFonts w:ascii="仿宋" w:hAnsi="仿宋" w:eastAsia="仿宋"/>
          <w:color w:val="000000"/>
          <w:highlight w:val="none"/>
        </w:rPr>
        <w:t>]%；</w:t>
      </w:r>
      <w:r>
        <w:rPr>
          <w:rFonts w:hint="eastAsia" w:ascii="仿宋" w:hAnsi="仿宋" w:eastAsia="仿宋"/>
          <w:color w:val="000000"/>
          <w:highlight w:val="none"/>
        </w:rPr>
        <w:t>新功能模块增加开发费用，最高不超过本次应用软件成交后的相关功能模块价格或最复杂功能模块的价格，总的新功能模块的增加开发费用每年最高不超过本次合同总价的</w:t>
      </w:r>
      <w:r>
        <w:rPr>
          <w:rFonts w:ascii="仿宋" w:hAnsi="仿宋" w:eastAsia="仿宋"/>
          <w:color w:val="000000"/>
          <w:highlight w:val="none"/>
        </w:rPr>
        <w:t>[</w:t>
      </w:r>
      <w:r>
        <w:rPr>
          <w:rFonts w:hint="eastAsia" w:ascii="仿宋" w:hAnsi="仿宋" w:eastAsia="仿宋"/>
          <w:color w:val="000000"/>
          <w:highlight w:val="none"/>
          <w:lang w:val="en-US" w:eastAsia="zh-CN"/>
        </w:rPr>
        <w:t>100</w:t>
      </w:r>
      <w:r>
        <w:rPr>
          <w:rFonts w:ascii="仿宋" w:hAnsi="仿宋" w:eastAsia="仿宋"/>
          <w:color w:val="000000"/>
          <w:highlight w:val="none"/>
        </w:rPr>
        <w:t>]%。</w:t>
      </w:r>
    </w:p>
    <w:p w14:paraId="0F5ACDE7">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6.10保修期届满后乙方继续提供服务的价格和方式</w:t>
      </w:r>
      <w:r>
        <w:rPr>
          <w:rFonts w:hint="eastAsia" w:ascii="仿宋" w:hAnsi="仿宋" w:eastAsia="仿宋"/>
          <w:color w:val="000000"/>
          <w:highlight w:val="none"/>
        </w:rPr>
        <w:t>由双方另行协商确定。但乙方需保证保修期后给予甲方优惠的服务价格，且该价格不得高于本合同约定的有关价格。</w:t>
      </w:r>
    </w:p>
    <w:p w14:paraId="79634101">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6.11保修期届满后</w:t>
      </w:r>
      <w:r>
        <w:rPr>
          <w:rFonts w:hint="eastAsia" w:ascii="仿宋" w:hAnsi="仿宋" w:eastAsia="仿宋"/>
          <w:color w:val="000000"/>
          <w:szCs w:val="24"/>
          <w:highlight w:val="none"/>
        </w:rPr>
        <w:t>，</w:t>
      </w:r>
      <w:r>
        <w:rPr>
          <w:rFonts w:ascii="仿宋" w:hAnsi="仿宋" w:eastAsia="仿宋"/>
          <w:color w:val="000000"/>
          <w:highlight w:val="none"/>
        </w:rPr>
        <w:t>甲方在系统运行或维护过程中，</w:t>
      </w:r>
      <w:r>
        <w:rPr>
          <w:rFonts w:hint="eastAsia" w:ascii="仿宋" w:hAnsi="仿宋" w:eastAsia="仿宋"/>
          <w:color w:val="000000"/>
          <w:szCs w:val="24"/>
          <w:highlight w:val="none"/>
        </w:rPr>
        <w:t>如果</w:t>
      </w:r>
      <w:r>
        <w:rPr>
          <w:rFonts w:ascii="仿宋" w:hAnsi="仿宋" w:eastAsia="仿宋"/>
          <w:color w:val="000000"/>
          <w:highlight w:val="none"/>
        </w:rPr>
        <w:t>乙方所提供的应用软件出现问题或故障</w:t>
      </w:r>
      <w:r>
        <w:rPr>
          <w:rFonts w:ascii="仿宋" w:hAnsi="仿宋" w:eastAsia="仿宋"/>
          <w:color w:val="000000"/>
          <w:szCs w:val="24"/>
          <w:highlight w:val="none"/>
        </w:rPr>
        <w:t>，</w:t>
      </w:r>
      <w:r>
        <w:rPr>
          <w:rFonts w:hint="eastAsia" w:ascii="仿宋" w:hAnsi="仿宋" w:eastAsia="仿宋"/>
          <w:color w:val="000000"/>
          <w:szCs w:val="24"/>
          <w:highlight w:val="none"/>
        </w:rPr>
        <w:t>乙方</w:t>
      </w:r>
      <w:r>
        <w:rPr>
          <w:rFonts w:ascii="仿宋" w:hAnsi="仿宋" w:eastAsia="仿宋"/>
          <w:color w:val="000000"/>
          <w:highlight w:val="none"/>
        </w:rPr>
        <w:t>应派有经验的技术人员，在[</w:t>
      </w:r>
      <w:r>
        <w:rPr>
          <w:rFonts w:hint="eastAsia" w:ascii="仿宋" w:hAnsi="仿宋" w:eastAsia="仿宋"/>
          <w:color w:val="000000"/>
          <w:highlight w:val="none"/>
          <w:lang w:val="en-US" w:eastAsia="zh-CN"/>
        </w:rPr>
        <w:t>2</w:t>
      </w:r>
      <w:r>
        <w:rPr>
          <w:rFonts w:ascii="仿宋" w:hAnsi="仿宋" w:eastAsia="仿宋"/>
          <w:color w:val="000000"/>
          <w:highlight w:val="none"/>
        </w:rPr>
        <w:t>]小时</w:t>
      </w:r>
      <w:r>
        <w:rPr>
          <w:rFonts w:hint="eastAsia" w:ascii="仿宋" w:hAnsi="仿宋" w:eastAsia="仿宋"/>
          <w:color w:val="000000"/>
          <w:highlight w:val="none"/>
        </w:rPr>
        <w:t>赶到现场，</w:t>
      </w:r>
      <w:r>
        <w:rPr>
          <w:rFonts w:hint="eastAsia" w:ascii="仿宋" w:hAnsi="仿宋" w:eastAsia="仿宋"/>
          <w:color w:val="000000"/>
          <w:szCs w:val="24"/>
          <w:highlight w:val="none"/>
        </w:rPr>
        <w:t>对应用软件</w:t>
      </w:r>
      <w:r>
        <w:rPr>
          <w:rFonts w:hint="eastAsia" w:ascii="仿宋" w:hAnsi="仿宋" w:eastAsia="仿宋"/>
          <w:color w:val="000000"/>
          <w:highlight w:val="none"/>
        </w:rPr>
        <w:t>进行更换和维修。乙方</w:t>
      </w:r>
      <w:r>
        <w:rPr>
          <w:rFonts w:hint="eastAsia" w:ascii="仿宋" w:hAnsi="仿宋" w:eastAsia="仿宋"/>
          <w:color w:val="000000"/>
          <w:szCs w:val="24"/>
          <w:highlight w:val="none"/>
        </w:rPr>
        <w:t>应运用</w:t>
      </w:r>
      <w:r>
        <w:rPr>
          <w:rFonts w:hint="eastAsia" w:ascii="仿宋" w:hAnsi="仿宋" w:eastAsia="仿宋"/>
          <w:color w:val="000000"/>
          <w:highlight w:val="none"/>
        </w:rPr>
        <w:t>灵活、多样的通信手段</w:t>
      </w:r>
      <w:r>
        <w:rPr>
          <w:rFonts w:hint="eastAsia" w:ascii="仿宋" w:hAnsi="仿宋" w:eastAsia="仿宋"/>
          <w:color w:val="000000"/>
          <w:szCs w:val="24"/>
          <w:highlight w:val="none"/>
        </w:rPr>
        <w:t>为甲方</w:t>
      </w:r>
      <w:r>
        <w:rPr>
          <w:rFonts w:hint="eastAsia" w:ascii="仿宋" w:hAnsi="仿宋" w:eastAsia="仿宋"/>
          <w:color w:val="000000"/>
          <w:highlight w:val="none"/>
        </w:rPr>
        <w:t>提供</w:t>
      </w:r>
      <w:r>
        <w:rPr>
          <w:rFonts w:ascii="仿宋" w:hAnsi="仿宋" w:eastAsia="仿宋"/>
          <w:color w:val="000000"/>
          <w:highlight w:val="none"/>
        </w:rPr>
        <w:t>7×24小时响应服务。</w:t>
      </w:r>
    </w:p>
    <w:p w14:paraId="26D26055">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w:t>
      </w:r>
      <w:r>
        <w:rPr>
          <w:rFonts w:ascii="仿宋" w:hAnsi="仿宋" w:eastAsia="仿宋"/>
          <w:color w:val="000000"/>
          <w:szCs w:val="24"/>
          <w:highlight w:val="none"/>
        </w:rPr>
        <w:t>11</w:t>
      </w:r>
      <w:r>
        <w:rPr>
          <w:rFonts w:ascii="仿宋" w:hAnsi="仿宋" w:eastAsia="仿宋"/>
          <w:color w:val="000000"/>
          <w:highlight w:val="none"/>
        </w:rPr>
        <w:t>保修期届满后</w:t>
      </w:r>
      <w:r>
        <w:rPr>
          <w:rFonts w:hint="eastAsia" w:ascii="仿宋" w:hAnsi="仿宋" w:eastAsia="仿宋"/>
          <w:color w:val="000000"/>
          <w:highlight w:val="none"/>
        </w:rPr>
        <w:t>，如发现应用软件自身存在瑕疵或缺陷，乙方应予以免费更换或修理。</w:t>
      </w:r>
    </w:p>
    <w:p w14:paraId="4C71199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6.</w:t>
      </w:r>
      <w:r>
        <w:rPr>
          <w:rFonts w:ascii="仿宋" w:hAnsi="仿宋" w:eastAsia="仿宋"/>
          <w:color w:val="000000"/>
          <w:szCs w:val="24"/>
          <w:highlight w:val="none"/>
        </w:rPr>
        <w:t>12</w:t>
      </w:r>
      <w:r>
        <w:rPr>
          <w:rFonts w:hint="eastAsia" w:ascii="仿宋" w:hAnsi="仿宋" w:eastAsia="仿宋"/>
          <w:color w:val="000000"/>
          <w:highlight w:val="none"/>
        </w:rPr>
        <w:t>如甲方变更本合同系统使用人、所有人和硬件所有人、持有人，书面通知乙方即可。</w:t>
      </w:r>
    </w:p>
    <w:p w14:paraId="2FDF4502">
      <w:pPr>
        <w:pStyle w:val="36"/>
        <w:spacing w:line="360" w:lineRule="exact"/>
        <w:ind w:firstLineChars="200"/>
        <w:rPr>
          <w:rFonts w:ascii="仿宋" w:hAnsi="仿宋" w:eastAsia="仿宋"/>
          <w:color w:val="000000"/>
          <w:szCs w:val="24"/>
          <w:highlight w:val="none"/>
        </w:rPr>
      </w:pPr>
      <w:r>
        <w:rPr>
          <w:rFonts w:ascii="仿宋" w:hAnsi="仿宋" w:eastAsia="仿宋"/>
          <w:color w:val="000000"/>
          <w:szCs w:val="24"/>
          <w:highlight w:val="none"/>
        </w:rPr>
        <w:t>6.13由于乙方原因导致</w:t>
      </w:r>
      <w:r>
        <w:rPr>
          <w:rFonts w:hint="eastAsia" w:ascii="仿宋" w:hAnsi="仿宋" w:eastAsia="仿宋"/>
          <w:color w:val="000000"/>
          <w:szCs w:val="24"/>
          <w:highlight w:val="none"/>
        </w:rPr>
        <w:t>甲方</w:t>
      </w:r>
      <w:r>
        <w:rPr>
          <w:rFonts w:ascii="仿宋" w:hAnsi="仿宋" w:eastAsia="仿宋"/>
          <w:color w:val="000000"/>
          <w:szCs w:val="24"/>
          <w:highlight w:val="none"/>
        </w:rPr>
        <w:t>数据丢失、</w:t>
      </w:r>
      <w:r>
        <w:rPr>
          <w:rFonts w:hint="eastAsia" w:ascii="仿宋" w:hAnsi="仿宋" w:eastAsia="仿宋"/>
          <w:color w:val="000000"/>
          <w:szCs w:val="24"/>
          <w:highlight w:val="none"/>
        </w:rPr>
        <w:t>信息泄露</w:t>
      </w:r>
      <w:r>
        <w:rPr>
          <w:rFonts w:ascii="仿宋" w:hAnsi="仿宋" w:eastAsia="仿宋"/>
          <w:color w:val="000000"/>
          <w:szCs w:val="24"/>
          <w:highlight w:val="none"/>
        </w:rPr>
        <w:t>等，甲方有权</w:t>
      </w:r>
      <w:r>
        <w:rPr>
          <w:rFonts w:hint="eastAsia" w:ascii="仿宋" w:hAnsi="仿宋" w:eastAsia="仿宋"/>
          <w:color w:val="000000"/>
          <w:szCs w:val="24"/>
          <w:highlight w:val="none"/>
        </w:rPr>
        <w:t>解除合同。乙方应退还甲方已付款项并应按本合同总价的</w:t>
      </w:r>
      <w:r>
        <w:rPr>
          <w:rFonts w:ascii="仿宋" w:hAnsi="仿宋" w:eastAsia="仿宋"/>
          <w:color w:val="000000"/>
          <w:szCs w:val="24"/>
          <w:highlight w:val="none"/>
        </w:rPr>
        <w:t>[</w:t>
      </w:r>
      <w:r>
        <w:rPr>
          <w:rFonts w:hint="eastAsia" w:ascii="仿宋" w:hAnsi="仿宋" w:eastAsia="仿宋"/>
          <w:color w:val="000000"/>
          <w:szCs w:val="24"/>
          <w:highlight w:val="none"/>
          <w:lang w:val="en-US" w:eastAsia="zh-CN"/>
        </w:rPr>
        <w:t>10</w:t>
      </w:r>
      <w:r>
        <w:rPr>
          <w:rFonts w:ascii="仿宋" w:hAnsi="仿宋" w:eastAsia="仿宋"/>
          <w:color w:val="000000"/>
          <w:szCs w:val="24"/>
          <w:highlight w:val="none"/>
        </w:rPr>
        <w:t>]%向甲方支付违约金。</w:t>
      </w:r>
    </w:p>
    <w:p w14:paraId="3B2A75BF">
      <w:pPr>
        <w:pStyle w:val="36"/>
        <w:spacing w:line="360" w:lineRule="exact"/>
        <w:ind w:firstLine="480" w:firstLineChars="200"/>
        <w:rPr>
          <w:rFonts w:ascii="仿宋" w:hAnsi="仿宋" w:eastAsia="仿宋"/>
          <w:b/>
          <w:color w:val="000000"/>
          <w:highlight w:val="none"/>
        </w:rPr>
      </w:pPr>
      <w:r>
        <w:rPr>
          <w:rFonts w:hint="eastAsia" w:ascii="仿宋" w:hAnsi="仿宋" w:eastAsia="仿宋"/>
          <w:b/>
          <w:color w:val="000000"/>
          <w:highlight w:val="none"/>
        </w:rPr>
        <w:t>第七条培训</w:t>
      </w:r>
    </w:p>
    <w:p w14:paraId="1C7D77E2">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7.1</w:t>
      </w:r>
      <w:r>
        <w:rPr>
          <w:rFonts w:hint="eastAsia" w:ascii="仿宋" w:hAnsi="仿宋" w:eastAsia="仿宋"/>
          <w:color w:val="000000"/>
          <w:highlight w:val="none"/>
        </w:rPr>
        <w:t>双方确定，乙方应在向甲方移交应用软件后，根据甲方的要求，为甲方指定的人员提供技术指导和培训，使参加</w:t>
      </w:r>
      <w:r>
        <w:rPr>
          <w:rFonts w:hint="eastAsia" w:ascii="仿宋" w:hAnsi="仿宋" w:eastAsia="仿宋"/>
          <w:color w:val="000000"/>
          <w:szCs w:val="24"/>
          <w:highlight w:val="none"/>
        </w:rPr>
        <w:t>培训</w:t>
      </w:r>
      <w:r>
        <w:rPr>
          <w:rFonts w:hint="eastAsia" w:ascii="仿宋" w:hAnsi="仿宋" w:eastAsia="仿宋"/>
          <w:color w:val="000000"/>
          <w:highlight w:val="none"/>
        </w:rPr>
        <w:t>的人员理解并掌握软件的操作和维护。</w:t>
      </w:r>
    </w:p>
    <w:p w14:paraId="5E1C0C96">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7.2培训目的</w:t>
      </w:r>
    </w:p>
    <w:p w14:paraId="2713431A">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7.2.1确保甲方技术人员能够熟练地对应用软件进行运行、诊断、维护和管理。</w:t>
      </w:r>
    </w:p>
    <w:p w14:paraId="724CC3A1">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7.2.2确保甲方相关业务人员对其使用的应用软件能熟练地操作和使用。</w:t>
      </w:r>
    </w:p>
    <w:p w14:paraId="5E5B5535">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7.3培训内容：[</w:t>
      </w:r>
      <w:r>
        <w:rPr>
          <w:rFonts w:hint="eastAsia" w:ascii="仿宋" w:hAnsi="仿宋" w:eastAsia="仿宋"/>
          <w:highlight w:val="none"/>
        </w:rPr>
        <w:t>详见附件八</w:t>
      </w:r>
      <w:r>
        <w:rPr>
          <w:rFonts w:ascii="仿宋" w:hAnsi="仿宋" w:eastAsia="仿宋"/>
          <w:color w:val="000000"/>
          <w:highlight w:val="none"/>
        </w:rPr>
        <w:t>]。</w:t>
      </w:r>
    </w:p>
    <w:p w14:paraId="221F106F">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7.4培训时间与地点</w:t>
      </w:r>
    </w:p>
    <w:p w14:paraId="12E4E1FA">
      <w:pPr>
        <w:pStyle w:val="36"/>
        <w:spacing w:line="360" w:lineRule="auto"/>
        <w:ind w:firstLineChars="200"/>
        <w:rPr>
          <w:rFonts w:ascii="仿宋" w:hAnsi="仿宋" w:eastAsia="仿宋"/>
          <w:color w:val="000000"/>
          <w:highlight w:val="none"/>
        </w:rPr>
      </w:pPr>
      <w:r>
        <w:rPr>
          <w:rFonts w:hint="eastAsia" w:ascii="仿宋" w:hAnsi="仿宋" w:eastAsia="仿宋"/>
          <w:color w:val="000000"/>
          <w:highlight w:val="none"/>
        </w:rPr>
        <w:t>乙方在甲方所在地为甲方提供不少于</w:t>
      </w:r>
      <w:r>
        <w:rPr>
          <w:rFonts w:ascii="仿宋" w:hAnsi="仿宋" w:eastAsia="仿宋"/>
          <w:color w:val="000000"/>
          <w:highlight w:val="none"/>
        </w:rPr>
        <w:t>[</w:t>
      </w:r>
      <w:r>
        <w:rPr>
          <w:rFonts w:hint="eastAsia" w:ascii="仿宋" w:hAnsi="仿宋" w:eastAsia="仿宋"/>
          <w:color w:val="000000"/>
          <w:highlight w:val="none"/>
          <w:lang w:val="en-US" w:eastAsia="zh-CN"/>
        </w:rPr>
        <w:t>5</w:t>
      </w:r>
      <w:r>
        <w:rPr>
          <w:rFonts w:ascii="仿宋" w:hAnsi="仿宋" w:eastAsia="仿宋"/>
          <w:color w:val="000000"/>
          <w:highlight w:val="none"/>
        </w:rPr>
        <w:t>]个工作日</w:t>
      </w:r>
      <w:r>
        <w:rPr>
          <w:rFonts w:hint="eastAsia" w:ascii="仿宋" w:hAnsi="仿宋" w:eastAsia="仿宋"/>
          <w:color w:val="000000"/>
          <w:highlight w:val="none"/>
        </w:rPr>
        <w:t>的技术培训，具体培训时间由双方协商决定。甲方应在培训日前</w:t>
      </w:r>
      <w:r>
        <w:rPr>
          <w:rFonts w:ascii="仿宋" w:hAnsi="仿宋" w:eastAsia="仿宋"/>
          <w:color w:val="000000"/>
          <w:highlight w:val="none"/>
        </w:rPr>
        <w:t>[</w:t>
      </w:r>
      <w:r>
        <w:rPr>
          <w:rFonts w:hint="eastAsia" w:ascii="仿宋" w:hAnsi="仿宋" w:eastAsia="仿宋"/>
          <w:color w:val="000000"/>
          <w:highlight w:val="none"/>
          <w:lang w:val="en-US" w:eastAsia="zh-CN"/>
        </w:rPr>
        <w:t>7</w:t>
      </w:r>
      <w:r>
        <w:rPr>
          <w:rFonts w:ascii="仿宋" w:hAnsi="仿宋" w:eastAsia="仿宋"/>
          <w:color w:val="000000"/>
          <w:highlight w:val="none"/>
        </w:rPr>
        <w:t>]日</w:t>
      </w:r>
      <w:r>
        <w:rPr>
          <w:rFonts w:hint="eastAsia" w:ascii="仿宋" w:hAnsi="仿宋" w:eastAsia="仿宋"/>
          <w:color w:val="000000"/>
          <w:highlight w:val="none"/>
        </w:rPr>
        <w:t>内向乙方提供参加培训的人员名单</w:t>
      </w:r>
      <w:r>
        <w:rPr>
          <w:rFonts w:hint="eastAsia" w:ascii="仿宋" w:hAnsi="仿宋" w:eastAsia="仿宋"/>
          <w:color w:val="000000"/>
          <w:szCs w:val="24"/>
          <w:highlight w:val="none"/>
        </w:rPr>
        <w:t>。</w:t>
      </w:r>
      <w:r>
        <w:rPr>
          <w:rFonts w:hint="eastAsia" w:ascii="仿宋" w:hAnsi="仿宋" w:eastAsia="仿宋"/>
          <w:color w:val="000000"/>
          <w:highlight w:val="none"/>
        </w:rPr>
        <w:t>由于培训产生的所有费用由已经包含在合同总价中。具体培训方式见附件八。</w:t>
      </w:r>
    </w:p>
    <w:p w14:paraId="2B4C1FE2">
      <w:pPr>
        <w:pStyle w:val="36"/>
        <w:spacing w:line="360" w:lineRule="exact"/>
        <w:ind w:firstLine="480" w:firstLineChars="200"/>
        <w:rPr>
          <w:rFonts w:ascii="仿宋" w:hAnsi="仿宋"/>
          <w:color w:val="000000"/>
          <w:highlight w:val="none"/>
        </w:rPr>
      </w:pPr>
      <w:bookmarkStart w:id="630" w:name="_Toc33253832"/>
      <w:r>
        <w:rPr>
          <w:rFonts w:hint="eastAsia" w:ascii="仿宋" w:hAnsi="仿宋" w:eastAsia="仿宋"/>
          <w:b/>
          <w:color w:val="000000"/>
          <w:highlight w:val="none"/>
        </w:rPr>
        <w:t>第八条违约责任</w:t>
      </w:r>
      <w:bookmarkEnd w:id="630"/>
    </w:p>
    <w:p w14:paraId="70284610">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8</w:t>
      </w:r>
      <w:r>
        <w:rPr>
          <w:rFonts w:ascii="仿宋" w:hAnsi="仿宋" w:eastAsia="仿宋"/>
          <w:color w:val="000000"/>
          <w:highlight w:val="none"/>
        </w:rPr>
        <w:t>.1如乙方提供的系统软件许可使用权限、数量、范围、期限等与本合同及附件不符，或软件介质存在瑕疵，甲方有权解除合同或要求乙方按照本合同第</w:t>
      </w:r>
      <w:r>
        <w:rPr>
          <w:rFonts w:hint="eastAsia" w:ascii="仿宋" w:hAnsi="仿宋" w:eastAsia="仿宋"/>
          <w:color w:val="000000"/>
          <w:highlight w:val="none"/>
        </w:rPr>
        <w:t>13</w:t>
      </w:r>
      <w:r>
        <w:rPr>
          <w:rFonts w:ascii="仿宋" w:hAnsi="仿宋" w:eastAsia="仿宋"/>
          <w:color w:val="000000"/>
          <w:highlight w:val="none"/>
        </w:rPr>
        <w:t>.9条的规定采取措施并承担责任。</w:t>
      </w:r>
    </w:p>
    <w:p w14:paraId="27EA1D2F">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8</w:t>
      </w:r>
      <w:r>
        <w:rPr>
          <w:rFonts w:ascii="仿宋" w:hAnsi="仿宋" w:eastAsia="仿宋"/>
          <w:color w:val="000000"/>
          <w:sz w:val="24"/>
          <w:highlight w:val="none"/>
        </w:rPr>
        <w:t>.2由于乙方原因使得</w:t>
      </w:r>
      <w:r>
        <w:rPr>
          <w:rFonts w:hint="eastAsia" w:ascii="仿宋" w:hAnsi="仿宋" w:eastAsia="仿宋"/>
          <w:color w:val="000000"/>
          <w:sz w:val="24"/>
          <w:highlight w:val="none"/>
        </w:rPr>
        <w:t>初验、移交、试运行（含顺延和重新计算的试运行期）、终验（含再次终验）等任一阶段工作延误的，乙方应就该等延误向甲方承担违约责任。对于乙方在任一阶段工作的延误，甲方均有权要求乙方按照下列比率向甲方支付违约金：任一阶段工作迟延的，乙方应每天按相当于合同总价</w:t>
      </w:r>
      <w:r>
        <w:rPr>
          <w:rFonts w:ascii="仿宋" w:hAnsi="仿宋" w:eastAsia="仿宋"/>
          <w:color w:val="000000"/>
          <w:sz w:val="24"/>
          <w:highlight w:val="none"/>
        </w:rPr>
        <w:t>[1]%</w:t>
      </w:r>
      <w:r>
        <w:rPr>
          <w:rFonts w:hint="eastAsia" w:ascii="仿宋" w:hAnsi="仿宋" w:eastAsia="仿宋"/>
          <w:color w:val="000000"/>
          <w:sz w:val="24"/>
          <w:highlight w:val="none"/>
        </w:rPr>
        <w:t>的标准支付违约金。迟延履行不足</w:t>
      </w:r>
      <w:r>
        <w:rPr>
          <w:rFonts w:ascii="仿宋" w:hAnsi="仿宋" w:eastAsia="仿宋"/>
          <w:color w:val="000000"/>
          <w:sz w:val="24"/>
          <w:highlight w:val="none"/>
        </w:rPr>
        <w:t>1天时按1天计算。因任一阶段工作</w:t>
      </w:r>
      <w:r>
        <w:rPr>
          <w:rFonts w:hint="eastAsia" w:ascii="仿宋" w:hAnsi="仿宋" w:eastAsia="仿宋"/>
          <w:color w:val="000000"/>
          <w:sz w:val="24"/>
          <w:highlight w:val="none"/>
        </w:rPr>
        <w:t>迟延而使甲方额外增加的各项费用</w:t>
      </w:r>
      <w:r>
        <w:rPr>
          <w:rFonts w:ascii="仿宋" w:hAnsi="仿宋" w:eastAsia="仿宋"/>
          <w:color w:val="000000"/>
          <w:sz w:val="24"/>
          <w:highlight w:val="none"/>
        </w:rPr>
        <w:t>（包括但不限于运输及保险费用、测试费用）</w:t>
      </w:r>
      <w:r>
        <w:rPr>
          <w:rFonts w:hint="eastAsia" w:ascii="仿宋" w:hAnsi="仿宋" w:eastAsia="仿宋"/>
          <w:color w:val="000000"/>
          <w:sz w:val="24"/>
          <w:highlight w:val="none"/>
        </w:rPr>
        <w:t>由乙方承担。如乙方任一阶段工作迟延使甲方遭受损失的，乙方应赔偿甲方由此造成的损失。</w:t>
      </w:r>
    </w:p>
    <w:p w14:paraId="12E21A7C">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并且，如乙方任一阶段工作迟延，其迟延违约金的数额累计达到本合同总价的</w:t>
      </w:r>
      <w:r>
        <w:rPr>
          <w:rFonts w:ascii="仿宋" w:hAnsi="仿宋" w:eastAsia="仿宋"/>
          <w:color w:val="000000"/>
          <w:sz w:val="24"/>
          <w:highlight w:val="none"/>
        </w:rPr>
        <w:t>[10]%</w:t>
      </w:r>
      <w:r>
        <w:rPr>
          <w:rFonts w:hint="eastAsia" w:ascii="仿宋" w:hAnsi="仿宋" w:eastAsia="仿宋"/>
          <w:color w:val="000000"/>
          <w:sz w:val="24"/>
          <w:highlight w:val="none"/>
        </w:rPr>
        <w:t>或迟延达</w:t>
      </w:r>
      <w:r>
        <w:rPr>
          <w:rFonts w:ascii="仿宋" w:hAnsi="仿宋" w:eastAsia="仿宋"/>
          <w:color w:val="000000"/>
          <w:sz w:val="24"/>
          <w:highlight w:val="none"/>
        </w:rPr>
        <w:t>7天</w:t>
      </w:r>
      <w:r>
        <w:rPr>
          <w:rFonts w:hint="eastAsia" w:ascii="仿宋" w:hAnsi="仿宋" w:eastAsia="仿宋"/>
          <w:color w:val="000000"/>
          <w:sz w:val="24"/>
          <w:highlight w:val="none"/>
        </w:rPr>
        <w:t>时，甲方有权解除本合同。该等解除并不免除乙方根据甲方要求应当承担的上述违约责任。</w:t>
      </w:r>
    </w:p>
    <w:p w14:paraId="79EF3132">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8</w:t>
      </w:r>
      <w:r>
        <w:rPr>
          <w:rFonts w:ascii="仿宋" w:hAnsi="仿宋" w:eastAsia="仿宋"/>
          <w:color w:val="000000"/>
          <w:highlight w:val="none"/>
        </w:rPr>
        <w:t>.3保修期内，如乙方未能按合同规定及时提供服务，除本合同规定的不可抗力原因外,每迟延</w:t>
      </w:r>
      <w:r>
        <w:rPr>
          <w:rFonts w:hint="eastAsia" w:ascii="仿宋" w:hAnsi="仿宋" w:eastAsia="仿宋"/>
          <w:color w:val="000000"/>
          <w:highlight w:val="none"/>
        </w:rPr>
        <w:t>一次，乙方应当支付合同总价的</w:t>
      </w:r>
      <w:r>
        <w:rPr>
          <w:rFonts w:ascii="仿宋" w:hAnsi="仿宋" w:eastAsia="仿宋"/>
          <w:color w:val="000000"/>
          <w:highlight w:val="none"/>
        </w:rPr>
        <w:t>5‰</w:t>
      </w:r>
      <w:r>
        <w:rPr>
          <w:rFonts w:hint="eastAsia" w:ascii="仿宋" w:hAnsi="仿宋" w:eastAsia="仿宋"/>
          <w:color w:val="000000"/>
          <w:highlight w:val="none"/>
        </w:rPr>
        <w:t>的违约金。</w:t>
      </w:r>
    </w:p>
    <w:p w14:paraId="01A3AFF3">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8</w:t>
      </w:r>
      <w:r>
        <w:rPr>
          <w:rFonts w:ascii="仿宋" w:hAnsi="仿宋" w:eastAsia="仿宋"/>
          <w:color w:val="000000"/>
          <w:sz w:val="24"/>
          <w:highlight w:val="none"/>
        </w:rPr>
        <w:t>.4对于乙方依据本合同约定应当承担的各项违约金及损失赔偿，甲方均有权依据本合同</w:t>
      </w:r>
      <w:r>
        <w:rPr>
          <w:rFonts w:hint="eastAsia" w:ascii="仿宋" w:hAnsi="仿宋" w:eastAsia="仿宋"/>
          <w:color w:val="000000"/>
          <w:sz w:val="24"/>
          <w:highlight w:val="none"/>
        </w:rPr>
        <w:t>第</w:t>
      </w:r>
      <w:r>
        <w:rPr>
          <w:rFonts w:ascii="仿宋" w:hAnsi="仿宋" w:eastAsia="仿宋"/>
          <w:color w:val="000000"/>
          <w:sz w:val="24"/>
          <w:highlight w:val="none"/>
        </w:rPr>
        <w:t>4.5条</w:t>
      </w:r>
      <w:r>
        <w:rPr>
          <w:rFonts w:hint="eastAsia" w:ascii="仿宋" w:hAnsi="仿宋" w:eastAsia="仿宋"/>
          <w:color w:val="000000"/>
          <w:sz w:val="24"/>
          <w:highlight w:val="none"/>
        </w:rPr>
        <w:t>规定从应支付乙方的款项中扣除。除按照本合同的约定向甲方承担违约责任、赔偿责任外，还应当承担甲方为追究乙方违约责任、赔偿责任而支出的各项费用（包括但不限于律师费、诉讼费、保全费、财产保全担保费等）。如乙方对前述扣款事项有异议，应在接到甲方通知后五日内提出。</w:t>
      </w:r>
    </w:p>
    <w:p w14:paraId="2146057C">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8</w:t>
      </w:r>
      <w:r>
        <w:rPr>
          <w:rFonts w:ascii="仿宋" w:hAnsi="仿宋" w:eastAsia="仿宋"/>
          <w:color w:val="000000"/>
          <w:sz w:val="24"/>
          <w:highlight w:val="none"/>
        </w:rPr>
        <w:t>.5</w:t>
      </w:r>
      <w:r>
        <w:rPr>
          <w:rFonts w:hint="eastAsia" w:ascii="仿宋" w:hAnsi="仿宋" w:eastAsia="仿宋"/>
          <w:color w:val="000000"/>
          <w:sz w:val="24"/>
          <w:highlight w:val="none"/>
        </w:rPr>
        <w:t>如甲方依据本合同约定解除合同，则乙方除应当依据本合同约定承担违约责任和赔偿责任（包括支付违约金、赔偿甲方由此遭受的损失等）外，乙方还应当退还甲方已支付的全部款项及</w:t>
      </w:r>
      <w:r>
        <w:rPr>
          <w:rFonts w:ascii="仿宋" w:hAnsi="仿宋" w:eastAsia="仿宋"/>
          <w:color w:val="000000"/>
          <w:sz w:val="24"/>
          <w:highlight w:val="none"/>
        </w:rPr>
        <w:t>自甲方付款之日起至乙方退还款项之日止的利息</w:t>
      </w:r>
      <w:r>
        <w:rPr>
          <w:rFonts w:hint="eastAsia" w:ascii="仿宋" w:hAnsi="仿宋" w:eastAsia="仿宋"/>
          <w:color w:val="000000"/>
          <w:sz w:val="24"/>
          <w:highlight w:val="none"/>
        </w:rPr>
        <w:t>（按照付款时中国人民银行授权全国银行间同业拆借中心公布的一年期贷款市场报价利率（</w:t>
      </w:r>
      <w:r>
        <w:rPr>
          <w:rFonts w:ascii="仿宋" w:hAnsi="仿宋" w:eastAsia="仿宋"/>
          <w:color w:val="000000"/>
          <w:sz w:val="24"/>
          <w:highlight w:val="none"/>
        </w:rPr>
        <w:t>LPR）标准计算）</w:t>
      </w:r>
      <w:r>
        <w:rPr>
          <w:rFonts w:hint="eastAsia" w:ascii="仿宋" w:hAnsi="仿宋" w:eastAsia="仿宋"/>
          <w:color w:val="000000"/>
          <w:sz w:val="24"/>
          <w:highlight w:val="none"/>
        </w:rPr>
        <w:t>。</w:t>
      </w:r>
    </w:p>
    <w:p w14:paraId="7ECF156C">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8</w:t>
      </w:r>
      <w:r>
        <w:rPr>
          <w:rFonts w:ascii="仿宋" w:hAnsi="仿宋" w:eastAsia="仿宋"/>
          <w:color w:val="000000"/>
          <w:sz w:val="24"/>
          <w:highlight w:val="none"/>
        </w:rPr>
        <w:t>.6除非甲方解除合同，否则，乙方承担违约责任并不免除其继续履行合同的责任。</w:t>
      </w:r>
    </w:p>
    <w:p w14:paraId="7A0CA249">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8</w:t>
      </w:r>
      <w:r>
        <w:rPr>
          <w:rFonts w:ascii="仿宋" w:hAnsi="仿宋" w:eastAsia="仿宋"/>
          <w:color w:val="000000"/>
          <w:sz w:val="24"/>
          <w:highlight w:val="none"/>
        </w:rPr>
        <w:t>.7如果因为甲方原因使得合同</w:t>
      </w:r>
      <w:r>
        <w:rPr>
          <w:rFonts w:hint="eastAsia" w:ascii="仿宋" w:hAnsi="仿宋" w:eastAsia="仿宋"/>
          <w:color w:val="000000"/>
          <w:sz w:val="24"/>
          <w:highlight w:val="none"/>
        </w:rPr>
        <w:t>未能如期</w:t>
      </w:r>
      <w:r>
        <w:rPr>
          <w:rFonts w:ascii="仿宋" w:hAnsi="仿宋" w:eastAsia="仿宋"/>
          <w:color w:val="000000"/>
          <w:sz w:val="24"/>
          <w:highlight w:val="none"/>
        </w:rPr>
        <w:t>履行，则在得到甲方书面确认后</w:t>
      </w:r>
      <w:r>
        <w:rPr>
          <w:rFonts w:hint="eastAsia" w:ascii="仿宋" w:hAnsi="仿宋" w:eastAsia="仿宋"/>
          <w:color w:val="000000"/>
          <w:sz w:val="24"/>
          <w:highlight w:val="none"/>
        </w:rPr>
        <w:t>合同履行</w:t>
      </w:r>
      <w:r>
        <w:rPr>
          <w:rFonts w:ascii="仿宋" w:hAnsi="仿宋" w:eastAsia="仿宋"/>
          <w:color w:val="000000"/>
          <w:sz w:val="24"/>
          <w:highlight w:val="none"/>
        </w:rPr>
        <w:t>时间相应顺延。</w:t>
      </w:r>
    </w:p>
    <w:p w14:paraId="6CB762B5">
      <w:pPr>
        <w:spacing w:line="360" w:lineRule="exact"/>
        <w:ind w:firstLine="480" w:firstLineChars="200"/>
        <w:rPr>
          <w:rFonts w:ascii="仿宋" w:hAnsi="仿宋" w:eastAsia="仿宋" w:cs="仿宋"/>
          <w:color w:val="000000"/>
          <w:sz w:val="24"/>
          <w:highlight w:val="none"/>
        </w:rPr>
      </w:pPr>
      <w:r>
        <w:rPr>
          <w:rFonts w:ascii="仿宋" w:hAnsi="仿宋" w:eastAsia="仿宋" w:cs="仿宋"/>
          <w:color w:val="000000"/>
          <w:sz w:val="24"/>
          <w:highlight w:val="none"/>
        </w:rPr>
        <w:t>8.8</w:t>
      </w:r>
      <w:r>
        <w:rPr>
          <w:rFonts w:hint="eastAsia" w:ascii="仿宋" w:hAnsi="仿宋" w:eastAsia="仿宋" w:cs="仿宋"/>
          <w:color w:val="000000"/>
          <w:sz w:val="24"/>
          <w:highlight w:val="none"/>
        </w:rPr>
        <w:t>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26E3A650">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1</w:t>
      </w:r>
      <w:r>
        <w:rPr>
          <w:rFonts w:hint="eastAsia" w:ascii="仿宋" w:hAnsi="仿宋" w:eastAsia="仿宋"/>
          <w:color w:val="000000"/>
          <w:sz w:val="24"/>
          <w:highlight w:val="none"/>
        </w:rPr>
        <w:t>）被行政机关纳入“严重违法失信”名单；</w:t>
      </w:r>
    </w:p>
    <w:p w14:paraId="04BBB919">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2</w:t>
      </w:r>
      <w:r>
        <w:rPr>
          <w:rFonts w:hint="eastAsia" w:ascii="仿宋" w:hAnsi="仿宋" w:eastAsia="仿宋"/>
          <w:color w:val="000000"/>
          <w:sz w:val="24"/>
          <w:highlight w:val="none"/>
        </w:rPr>
        <w:t>）被人民法院纳入“失信被执行人”名单；</w:t>
      </w:r>
    </w:p>
    <w:p w14:paraId="25C8A3FD">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3）</w:t>
      </w:r>
      <w:r>
        <w:rPr>
          <w:rFonts w:hint="eastAsia" w:ascii="仿宋" w:hAnsi="仿宋" w:eastAsia="仿宋"/>
          <w:color w:val="000000"/>
          <w:sz w:val="24"/>
          <w:highlight w:val="none"/>
        </w:rPr>
        <w:t xml:space="preserve">被甲方（含甲方上级单位）纳入违规失信合作商名单； </w:t>
      </w:r>
    </w:p>
    <w:p w14:paraId="56B4FDBC">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4）</w:t>
      </w:r>
      <w:r>
        <w:rPr>
          <w:rFonts w:hint="eastAsia" w:ascii="仿宋" w:hAnsi="仿宋" w:eastAsia="仿宋"/>
          <w:color w:val="000000"/>
          <w:sz w:val="24"/>
          <w:highlight w:val="none"/>
        </w:rPr>
        <w:t>如存在网络和信息安全违法、违规行为的</w:t>
      </w:r>
      <w:r>
        <w:rPr>
          <w:rFonts w:ascii="仿宋" w:hAnsi="仿宋" w:eastAsia="仿宋"/>
          <w:color w:val="000000"/>
          <w:sz w:val="24"/>
          <w:highlight w:val="none"/>
        </w:rPr>
        <w:t xml:space="preserve">,包括但不限于因网络和信息安全问题承担刑事责任或受到行政处罚，被列入各级公安机关的涉通讯信息诈骗违法犯罪高危自然人或法人名单、电信业务经营不良名单、失信名单等; </w:t>
      </w:r>
    </w:p>
    <w:p w14:paraId="0A4A79E8">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5）</w:t>
      </w:r>
      <w:r>
        <w:rPr>
          <w:rFonts w:hint="eastAsia" w:ascii="仿宋" w:hAnsi="仿宋" w:eastAsia="仿宋"/>
          <w:color w:val="000000"/>
          <w:sz w:val="24"/>
          <w:highlight w:val="none"/>
        </w:rPr>
        <w:t>中标通知书</w:t>
      </w:r>
      <w:r>
        <w:rPr>
          <w:rFonts w:ascii="仿宋" w:hAnsi="仿宋" w:eastAsia="仿宋"/>
          <w:color w:val="000000"/>
          <w:sz w:val="24"/>
          <w:highlight w:val="none"/>
        </w:rPr>
        <w:t>/中选通知书/成交通知书发出或对应的合同签署后，发现乙方存在中标无效/中选无效/成交无效的情形或者存在应当被否决投标/否决参选/否决应答的情形；</w:t>
      </w:r>
    </w:p>
    <w:p w14:paraId="797FD371">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6）</w:t>
      </w:r>
      <w:r>
        <w:rPr>
          <w:rFonts w:hint="eastAsia" w:ascii="仿宋" w:hAnsi="仿宋" w:eastAsia="仿宋"/>
          <w:color w:val="000000"/>
          <w:sz w:val="24"/>
          <w:highlight w:val="none"/>
        </w:rPr>
        <w:t>其他相关法律法规规定或有权机关认定的违法失信情形，以及可能导致合同履行风险或侵害甲方合法权益或声誉的违规失信情形。</w:t>
      </w:r>
    </w:p>
    <w:p w14:paraId="64F85B81">
      <w:pPr>
        <w:pStyle w:val="36"/>
        <w:ind w:firstLine="482"/>
        <w:rPr>
          <w:b/>
          <w:highlight w:val="none"/>
        </w:rPr>
      </w:pPr>
      <w:r>
        <w:rPr>
          <w:rFonts w:hint="eastAsia" w:ascii="仿宋" w:hAnsi="仿宋" w:eastAsia="仿宋"/>
          <w:b/>
          <w:color w:val="000000"/>
          <w:highlight w:val="none"/>
        </w:rPr>
        <w:t>第九条不可抗力</w:t>
      </w:r>
    </w:p>
    <w:p w14:paraId="5D049821">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9</w:t>
      </w:r>
      <w:r>
        <w:rPr>
          <w:rFonts w:ascii="仿宋" w:hAnsi="仿宋" w:eastAsia="仿宋"/>
          <w:color w:val="000000"/>
          <w:highlight w:val="none"/>
        </w:rPr>
        <w:t>.1</w:t>
      </w:r>
      <w:r>
        <w:rPr>
          <w:rFonts w:ascii="仿宋" w:hAnsi="仿宋"/>
          <w:color w:val="000000"/>
          <w:highlight w:val="none"/>
        </w:rPr>
        <w:t>本</w:t>
      </w:r>
      <w:r>
        <w:rPr>
          <w:rFonts w:ascii="仿宋" w:hAnsi="仿宋" w:eastAsia="仿宋"/>
          <w:highlight w:val="none"/>
        </w:rPr>
        <w:t>合同所称不可抗力，是指地震、台风、水灾、火灾、战争</w:t>
      </w:r>
      <w:r>
        <w:rPr>
          <w:rFonts w:hint="eastAsia" w:ascii="仿宋" w:hAnsi="仿宋" w:eastAsia="仿宋"/>
          <w:highlight w:val="none"/>
        </w:rPr>
        <w:t>等</w:t>
      </w:r>
      <w:r>
        <w:rPr>
          <w:rFonts w:ascii="仿宋" w:hAnsi="仿宋" w:eastAsia="仿宋"/>
          <w:highlight w:val="none"/>
        </w:rPr>
        <w:t>本合同</w:t>
      </w:r>
      <w:r>
        <w:rPr>
          <w:rFonts w:hint="eastAsia" w:ascii="仿宋" w:hAnsi="仿宋" w:eastAsia="仿宋"/>
          <w:highlight w:val="none"/>
        </w:rPr>
        <w:t>双方</w:t>
      </w:r>
      <w:r>
        <w:rPr>
          <w:rFonts w:ascii="仿宋" w:hAnsi="仿宋" w:eastAsia="仿宋"/>
          <w:highlight w:val="none"/>
        </w:rPr>
        <w:t>不能预见</w:t>
      </w:r>
      <w:r>
        <w:rPr>
          <w:rFonts w:hint="eastAsia" w:ascii="仿宋" w:hAnsi="仿宋" w:eastAsia="仿宋"/>
          <w:highlight w:val="none"/>
        </w:rPr>
        <w:t>、</w:t>
      </w:r>
      <w:r>
        <w:rPr>
          <w:rFonts w:ascii="仿宋" w:hAnsi="仿宋" w:eastAsia="仿宋"/>
          <w:highlight w:val="none"/>
        </w:rPr>
        <w:t>不能避免且不</w:t>
      </w:r>
      <w:r>
        <w:rPr>
          <w:rFonts w:hint="eastAsia" w:ascii="仿宋" w:hAnsi="仿宋" w:eastAsia="仿宋"/>
          <w:highlight w:val="none"/>
        </w:rPr>
        <w:t>能</w:t>
      </w:r>
      <w:r>
        <w:rPr>
          <w:rFonts w:ascii="仿宋" w:hAnsi="仿宋" w:eastAsia="仿宋"/>
          <w:highlight w:val="none"/>
        </w:rPr>
        <w:t>克服的客观情况。</w:t>
      </w:r>
    </w:p>
    <w:p w14:paraId="64B20D3B">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9</w:t>
      </w:r>
      <w:r>
        <w:rPr>
          <w:rFonts w:ascii="仿宋" w:hAnsi="仿宋" w:eastAsia="仿宋"/>
          <w:color w:val="000000"/>
          <w:highlight w:val="none"/>
        </w:rPr>
        <w:t>.2本合同任何一方因不可抗力不能履行或不能完全履行本合同的义务时，应在不可抗力发生之日起</w:t>
      </w:r>
      <w:r>
        <w:rPr>
          <w:rFonts w:hint="eastAsia" w:ascii="仿宋" w:hAnsi="仿宋" w:eastAsia="仿宋"/>
          <w:color w:val="000000"/>
          <w:highlight w:val="none"/>
        </w:rPr>
        <w:t>十日内书面通知本合同另一方，并提供由有关部门出具的不可抗力证明。</w:t>
      </w:r>
    </w:p>
    <w:p w14:paraId="48854CFE">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9</w:t>
      </w:r>
      <w:r>
        <w:rPr>
          <w:rFonts w:ascii="仿宋" w:hAnsi="仿宋" w:eastAsia="仿宋"/>
          <w:color w:val="000000"/>
          <w:highlight w:val="none"/>
        </w:rPr>
        <w:t>.3因不可抗力不能履行合同的，根据不可抗力的影响，受影响方部分或全部免除责任，但法律另有规定的除外。迟延履行合同后发生不可抗力的，不能免除责任。</w:t>
      </w:r>
    </w:p>
    <w:p w14:paraId="5988F229">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9</w:t>
      </w:r>
      <w:r>
        <w:rPr>
          <w:rFonts w:ascii="仿宋" w:hAnsi="仿宋" w:eastAsia="仿宋"/>
          <w:color w:val="000000"/>
          <w:highlight w:val="none"/>
        </w:rPr>
        <w:t>.4如果因不可抗力的影响致使本合同中止履行</w:t>
      </w:r>
      <w:r>
        <w:rPr>
          <w:rFonts w:hint="eastAsia" w:ascii="仿宋" w:hAnsi="仿宋" w:eastAsia="仿宋"/>
          <w:color w:val="000000"/>
          <w:szCs w:val="24"/>
          <w:highlight w:val="none"/>
        </w:rPr>
        <w:t>三十</w:t>
      </w:r>
      <w:r>
        <w:rPr>
          <w:rFonts w:ascii="仿宋" w:hAnsi="仿宋" w:eastAsia="仿宋"/>
          <w:color w:val="000000"/>
          <w:szCs w:val="24"/>
          <w:highlight w:val="none"/>
        </w:rPr>
        <w:t>日</w:t>
      </w:r>
      <w:r>
        <w:rPr>
          <w:rFonts w:hint="eastAsia" w:ascii="仿宋" w:hAnsi="仿宋" w:eastAsia="仿宋"/>
          <w:color w:val="000000"/>
          <w:highlight w:val="none"/>
        </w:rPr>
        <w:t>或以上时，甲方有权决定是否继续履行或终止本合同，并书面通知乙方。</w:t>
      </w:r>
    </w:p>
    <w:p w14:paraId="21FC0D26">
      <w:pPr>
        <w:pStyle w:val="36"/>
        <w:spacing w:line="360" w:lineRule="exact"/>
        <w:ind w:firstLine="480" w:firstLineChars="200"/>
        <w:rPr>
          <w:rFonts w:ascii="仿宋" w:hAnsi="仿宋" w:eastAsia="仿宋"/>
          <w:color w:val="000000"/>
          <w:highlight w:val="none"/>
        </w:rPr>
      </w:pPr>
      <w:r>
        <w:rPr>
          <w:rFonts w:hint="eastAsia" w:ascii="仿宋" w:hAnsi="仿宋" w:eastAsia="仿宋"/>
          <w:b/>
          <w:color w:val="000000"/>
          <w:highlight w:val="none"/>
        </w:rPr>
        <w:t>第十条税费</w:t>
      </w:r>
    </w:p>
    <w:p w14:paraId="2222DA90">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10</w:t>
      </w:r>
      <w:r>
        <w:rPr>
          <w:rFonts w:ascii="仿宋" w:hAnsi="仿宋" w:eastAsia="仿宋"/>
          <w:color w:val="000000"/>
          <w:highlight w:val="none"/>
        </w:rPr>
        <w:t>.1双方各自承担中国有关机构根据中国税法向其征收的所有与合同执行有关的税费。</w:t>
      </w:r>
    </w:p>
    <w:p w14:paraId="3E801B64">
      <w:pPr>
        <w:pStyle w:val="36"/>
        <w:spacing w:line="360" w:lineRule="exact"/>
        <w:ind w:firstLine="480" w:firstLineChars="200"/>
        <w:rPr>
          <w:rFonts w:ascii="仿宋" w:hAnsi="仿宋" w:eastAsia="仿宋"/>
          <w:b/>
          <w:color w:val="000000"/>
          <w:highlight w:val="none"/>
        </w:rPr>
      </w:pPr>
      <w:r>
        <w:rPr>
          <w:rFonts w:hint="eastAsia" w:ascii="仿宋" w:hAnsi="仿宋" w:eastAsia="仿宋"/>
          <w:b/>
          <w:color w:val="000000"/>
          <w:highlight w:val="none"/>
        </w:rPr>
        <w:t>第十一条法律适用及争议解决</w:t>
      </w:r>
    </w:p>
    <w:p w14:paraId="0B4982AE">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11</w:t>
      </w:r>
      <w:r>
        <w:rPr>
          <w:rFonts w:ascii="仿宋" w:hAnsi="仿宋" w:eastAsia="仿宋"/>
          <w:color w:val="000000"/>
          <w:highlight w:val="none"/>
        </w:rPr>
        <w:t>.1本合同适用中华人民共和国法律。</w:t>
      </w:r>
    </w:p>
    <w:p w14:paraId="7806D8E5">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11</w:t>
      </w:r>
      <w:r>
        <w:rPr>
          <w:rFonts w:ascii="仿宋" w:hAnsi="仿宋" w:eastAsia="仿宋"/>
          <w:color w:val="000000"/>
          <w:highlight w:val="none"/>
        </w:rPr>
        <w:t>.2所有因本合同引起的或与本合同有关的任何争议通过双方友好协商解决。如果双方不能通过友好协商解决争议，则任何一方均可</w:t>
      </w:r>
      <w:r>
        <w:rPr>
          <w:rFonts w:hint="eastAsia" w:ascii="仿宋" w:hAnsi="仿宋" w:eastAsia="仿宋"/>
          <w:color w:val="000000"/>
          <w:szCs w:val="24"/>
          <w:highlight w:val="none"/>
        </w:rPr>
        <w:t>向</w:t>
      </w:r>
      <w:r>
        <w:rPr>
          <w:rFonts w:ascii="仿宋" w:hAnsi="仿宋" w:eastAsia="仿宋"/>
          <w:color w:val="000000"/>
          <w:szCs w:val="24"/>
          <w:highlight w:val="none"/>
        </w:rPr>
        <w:t>甲方</w:t>
      </w:r>
      <w:r>
        <w:rPr>
          <w:rFonts w:hint="eastAsia" w:ascii="仿宋" w:hAnsi="仿宋" w:eastAsia="仿宋"/>
          <w:color w:val="000000"/>
          <w:szCs w:val="24"/>
          <w:highlight w:val="none"/>
        </w:rPr>
        <w:t>住所</w:t>
      </w:r>
      <w:r>
        <w:rPr>
          <w:rFonts w:ascii="仿宋" w:hAnsi="仿宋" w:eastAsia="仿宋"/>
          <w:color w:val="000000"/>
          <w:szCs w:val="24"/>
          <w:highlight w:val="none"/>
        </w:rPr>
        <w:t>地有管辖权的</w:t>
      </w:r>
      <w:r>
        <w:rPr>
          <w:rFonts w:hint="eastAsia" w:ascii="仿宋" w:hAnsi="仿宋" w:eastAsia="仿宋"/>
          <w:color w:val="000000"/>
          <w:szCs w:val="24"/>
          <w:highlight w:val="none"/>
        </w:rPr>
        <w:t>人民法院起诉。</w:t>
      </w:r>
    </w:p>
    <w:p w14:paraId="76ED3AAC">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11</w:t>
      </w:r>
      <w:r>
        <w:rPr>
          <w:rFonts w:ascii="仿宋" w:hAnsi="仿宋" w:eastAsia="仿宋"/>
          <w:color w:val="000000"/>
          <w:highlight w:val="none"/>
        </w:rPr>
        <w:t>.3诉讼进行过程中，双方继续履行本合同未涉诉讼的其</w:t>
      </w:r>
      <w:r>
        <w:rPr>
          <w:rFonts w:hint="eastAsia" w:ascii="仿宋" w:hAnsi="仿宋" w:eastAsia="仿宋"/>
          <w:color w:val="000000"/>
          <w:highlight w:val="none"/>
        </w:rPr>
        <w:t>他</w:t>
      </w:r>
      <w:r>
        <w:rPr>
          <w:rFonts w:ascii="仿宋" w:hAnsi="仿宋" w:eastAsia="仿宋"/>
          <w:color w:val="000000"/>
          <w:highlight w:val="none"/>
        </w:rPr>
        <w:t>部分。</w:t>
      </w:r>
    </w:p>
    <w:p w14:paraId="738235D8">
      <w:pPr>
        <w:pStyle w:val="36"/>
        <w:spacing w:line="360" w:lineRule="exact"/>
        <w:ind w:firstLine="480" w:firstLineChars="200"/>
        <w:rPr>
          <w:rFonts w:ascii="仿宋" w:hAnsi="仿宋" w:eastAsia="仿宋" w:cs="仿宋"/>
          <w:b/>
          <w:color w:val="000000"/>
          <w:highlight w:val="none"/>
        </w:rPr>
      </w:pPr>
      <w:r>
        <w:rPr>
          <w:rFonts w:hint="eastAsia" w:ascii="仿宋" w:hAnsi="仿宋" w:eastAsia="仿宋" w:cs="仿宋"/>
          <w:b/>
          <w:color w:val="000000"/>
          <w:highlight w:val="none"/>
        </w:rPr>
        <w:t>第十二条保密</w:t>
      </w:r>
    </w:p>
    <w:p w14:paraId="7FF35E80">
      <w:pPr>
        <w:spacing w:line="360" w:lineRule="exact"/>
        <w:ind w:firstLine="480" w:firstLineChars="200"/>
        <w:rPr>
          <w:rFonts w:ascii="仿宋" w:hAnsi="仿宋" w:eastAsia="仿宋" w:cs="仿宋"/>
          <w:kern w:val="0"/>
          <w:sz w:val="24"/>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 xml:space="preserve">.1 </w:t>
      </w:r>
      <w:r>
        <w:rPr>
          <w:rFonts w:hint="eastAsia" w:ascii="仿宋" w:hAnsi="仿宋" w:eastAsia="仿宋" w:cs="仿宋"/>
          <w:kern w:val="0"/>
          <w:sz w:val="24"/>
          <w:highlight w:val="none"/>
          <w:lang w:val="zh-CN"/>
        </w:rPr>
        <w:t>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w:t>
      </w:r>
      <w:r>
        <w:rPr>
          <w:rFonts w:ascii="仿宋" w:hAnsi="仿宋" w:eastAsia="仿宋" w:cs="仿宋"/>
          <w:kern w:val="0"/>
          <w:sz w:val="24"/>
          <w:highlight w:val="none"/>
          <w:lang w:val="zh-CN"/>
        </w:rPr>
        <w:t>)，无论其是否为披露方开发或拥有，接收方均负有保密义务。</w:t>
      </w:r>
    </w:p>
    <w:p w14:paraId="5098C27C">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7933D333">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.3接收方仅得为履行本合同之目的对保密信息进行复制。接收方不得以任何方式（如软硬盘、图纸、彩样、照片、菲林、光盘等）留存保密信息。接收方应当在完成委托事项或本合同终止或解除后</w:t>
      </w:r>
      <w:r>
        <w:rPr>
          <w:rFonts w:hint="eastAsia" w:ascii="仿宋" w:hAnsi="仿宋" w:eastAsia="仿宋" w:cs="仿宋"/>
          <w:kern w:val="0"/>
          <w:sz w:val="24"/>
          <w:highlight w:val="none"/>
          <w:lang w:val="zh-CN"/>
        </w:rPr>
        <w:t>十</w:t>
      </w:r>
      <w:r>
        <w:rPr>
          <w:rFonts w:ascii="仿宋" w:hAnsi="仿宋" w:eastAsia="仿宋" w:cs="仿宋"/>
          <w:kern w:val="0"/>
          <w:sz w:val="24"/>
          <w:highlight w:val="none"/>
          <w:lang w:val="zh-CN"/>
        </w:rPr>
        <w:t>日内将载有保密信息的原件资料全部返还披露方，并销毁所有复制件。</w:t>
      </w:r>
    </w:p>
    <w:p w14:paraId="777AD4FC">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.4除另有约定外，接收方未经披露方同意，不得向任何第三方披露本合同的签订及其内容。经披露方书面同意对外披露，仅限于披露方书面同意的范围、方式且遵循书面同意中规定的其他条件。</w:t>
      </w:r>
    </w:p>
    <w:p w14:paraId="4816578E">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.5接收方应当妥善保管保密信息，采取不低于对其本身商业秘密所采取的保护手段予以保护，并对保密信息在接收方期间发生的被盗、泄露或其他有损保密信息保密性的事件承担全部责任。</w:t>
      </w:r>
    </w:p>
    <w:p w14:paraId="30338EA9">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.6如接收方应法律、行政法规要求披露信息的，接收方应当至少于实际作出披露行为前五个工作日通知</w:t>
      </w:r>
      <w:r>
        <w:rPr>
          <w:rFonts w:hint="eastAsia" w:ascii="仿宋" w:hAnsi="仿宋" w:eastAsia="仿宋" w:cs="仿宋"/>
          <w:kern w:val="0"/>
          <w:sz w:val="24"/>
          <w:highlight w:val="none"/>
          <w:lang w:val="zh-CN"/>
        </w:rPr>
        <w:t>披露</w:t>
      </w:r>
      <w:r>
        <w:rPr>
          <w:rFonts w:ascii="仿宋" w:hAnsi="仿宋" w:eastAsia="仿宋" w:cs="仿宋"/>
          <w:kern w:val="0"/>
          <w:sz w:val="24"/>
          <w:highlight w:val="none"/>
          <w:lang w:val="zh-CN"/>
        </w:rPr>
        <w:t>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13DF5D25">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.7披露方不保证保密信息的精确性与合理性。</w:t>
      </w:r>
    </w:p>
    <w:p w14:paraId="50E12384">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.8如果接收方得知第三方获得任何保密信息，应当及时书面通知披露方，并向披露方提供掌握的所有相关情况。</w:t>
      </w:r>
    </w:p>
    <w:p w14:paraId="581E1885">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.9对于接收方在本合同签订及履行过程中依法获得的个人信息和重要数据，接收方应当依法在境内存储，且不得向境外提供。</w:t>
      </w:r>
    </w:p>
    <w:p w14:paraId="7A53E6A9">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.10如接收方违反本条约定的，接收方应当赔偿因此而给披露方造成的一切损</w:t>
      </w:r>
      <w:r>
        <w:rPr>
          <w:rFonts w:hint="eastAsia" w:ascii="仿宋" w:hAnsi="仿宋" w:eastAsia="仿宋" w:cs="仿宋"/>
          <w:kern w:val="0"/>
          <w:sz w:val="24"/>
          <w:highlight w:val="none"/>
          <w:lang w:val="zh-CN"/>
        </w:rPr>
        <w:t>失。</w:t>
      </w:r>
    </w:p>
    <w:p w14:paraId="7F36A24F">
      <w:pPr>
        <w:spacing w:line="360" w:lineRule="exact"/>
        <w:ind w:firstLine="480" w:firstLineChars="200"/>
        <w:rPr>
          <w:rFonts w:ascii="仿宋" w:hAnsi="仿宋" w:eastAsia="仿宋" w:cs="仿宋"/>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.11本保密条款自保密信息提供或披露之日起至本合同终止或解除后</w:t>
      </w:r>
      <w:r>
        <w:rPr>
          <w:rFonts w:hint="eastAsia" w:ascii="仿宋" w:hAnsi="仿宋" w:eastAsia="仿宋" w:cs="仿宋"/>
          <w:kern w:val="0"/>
          <w:sz w:val="24"/>
          <w:highlight w:val="none"/>
          <w:lang w:val="zh-CN"/>
        </w:rPr>
        <w:t>五</w:t>
      </w:r>
      <w:r>
        <w:rPr>
          <w:rFonts w:ascii="仿宋" w:hAnsi="仿宋" w:eastAsia="仿宋" w:cs="仿宋"/>
          <w:kern w:val="0"/>
          <w:sz w:val="24"/>
          <w:highlight w:val="none"/>
          <w:lang w:val="zh-CN"/>
        </w:rPr>
        <w:t>年内持续有效。</w:t>
      </w:r>
    </w:p>
    <w:p w14:paraId="3E94389B">
      <w:pPr>
        <w:spacing w:line="360" w:lineRule="exact"/>
        <w:ind w:firstLine="424" w:firstLineChars="177"/>
        <w:rPr>
          <w:rFonts w:ascii="仿宋" w:hAnsi="仿宋" w:eastAsia="仿宋" w:cs="仿宋"/>
          <w:color w:val="000000"/>
          <w:kern w:val="0"/>
          <w:sz w:val="24"/>
          <w:szCs w:val="21"/>
          <w:highlight w:val="none"/>
          <w:lang w:val="zh-CN"/>
        </w:rPr>
      </w:pPr>
      <w:r>
        <w:rPr>
          <w:rFonts w:ascii="仿宋" w:hAnsi="仿宋" w:eastAsia="仿宋" w:cs="仿宋"/>
          <w:kern w:val="0"/>
          <w:sz w:val="24"/>
          <w:highlight w:val="none"/>
        </w:rPr>
        <w:t>12</w:t>
      </w:r>
      <w:r>
        <w:rPr>
          <w:rFonts w:ascii="仿宋" w:hAnsi="仿宋" w:eastAsia="仿宋" w:cs="仿宋"/>
          <w:kern w:val="0"/>
          <w:sz w:val="24"/>
          <w:highlight w:val="none"/>
          <w:lang w:val="zh-CN"/>
        </w:rPr>
        <w:t xml:space="preserve">.12 </w:t>
      </w:r>
      <w:r>
        <w:rPr>
          <w:rFonts w:hint="eastAsia" w:ascii="仿宋" w:hAnsi="仿宋" w:eastAsia="仿宋" w:cs="仿宋"/>
          <w:kern w:val="0"/>
          <w:sz w:val="24"/>
          <w:highlight w:val="none"/>
          <w:lang w:val="zh-CN"/>
        </w:rPr>
        <w:t>其他</w:t>
      </w:r>
      <w:r>
        <w:rPr>
          <w:rFonts w:ascii="仿宋" w:hAnsi="仿宋" w:eastAsia="仿宋" w:cs="仿宋"/>
          <w:kern w:val="0"/>
          <w:sz w:val="24"/>
          <w:highlight w:val="none"/>
          <w:lang w:val="zh-CN"/>
        </w:rPr>
        <w:t>[</w:t>
      </w:r>
      <w:r>
        <w:rPr>
          <w:rFonts w:hint="eastAsia" w:ascii="仿宋" w:hAnsi="仿宋" w:eastAsia="仿宋" w:cs="仿宋"/>
          <w:kern w:val="0"/>
          <w:sz w:val="24"/>
          <w:highlight w:val="none"/>
          <w:lang w:val="en-US" w:eastAsia="zh-CN"/>
        </w:rPr>
        <w:t>/</w:t>
      </w:r>
      <w:r>
        <w:rPr>
          <w:rFonts w:ascii="仿宋" w:hAnsi="仿宋" w:eastAsia="仿宋" w:cs="仿宋"/>
          <w:kern w:val="0"/>
          <w:sz w:val="24"/>
          <w:highlight w:val="none"/>
          <w:lang w:val="zh-CN"/>
        </w:rPr>
        <w:t>]。</w:t>
      </w:r>
    </w:p>
    <w:p w14:paraId="325A41AB">
      <w:pPr>
        <w:pStyle w:val="36"/>
        <w:spacing w:line="360" w:lineRule="exact"/>
        <w:ind w:firstLine="480" w:firstLineChars="200"/>
        <w:rPr>
          <w:rFonts w:ascii="仿宋" w:hAnsi="仿宋" w:eastAsia="仿宋" w:cs="仿宋"/>
          <w:b/>
          <w:color w:val="000000"/>
          <w:highlight w:val="none"/>
        </w:rPr>
      </w:pPr>
      <w:r>
        <w:rPr>
          <w:rFonts w:hint="eastAsia" w:ascii="仿宋" w:hAnsi="仿宋" w:eastAsia="仿宋" w:cs="仿宋"/>
          <w:b/>
          <w:color w:val="000000"/>
          <w:highlight w:val="none"/>
        </w:rPr>
        <w:t>第十三条权利归属及侵权处理</w:t>
      </w:r>
    </w:p>
    <w:p w14:paraId="7804A23D">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13.1双方同意本项目应用软件所有权益，包括但不限于所有权及知识产权、专利申请权，归甲方所有。乙方合法地用于开发应用软件的第三方软件和/或自有软件</w:t>
      </w:r>
      <w:r>
        <w:rPr>
          <w:rFonts w:hint="eastAsia" w:ascii="仿宋" w:hAnsi="仿宋" w:eastAsia="仿宋" w:cs="仿宋"/>
          <w:color w:val="000000"/>
          <w:highlight w:val="none"/>
        </w:rPr>
        <w:t>仍归乙方或第三方所有。</w:t>
      </w:r>
    </w:p>
    <w:p w14:paraId="030A789D">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13.2乙方按照本合同约定在履行维护和技术服务过程中，利用甲方提供的相关资料和工作条件完成的新技术成果的所有权益，包括但不限于知识产权及所有权、专利申请权，归甲方所有。</w:t>
      </w:r>
    </w:p>
    <w:p w14:paraId="6DC3FEF9">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13.3甲方依据本合同的规定，利用乙方提供的工作成果完成的新技术成果的所有权益，包括但不限于知识产权及所有权、专利申请权，归甲方所有。</w:t>
      </w:r>
    </w:p>
    <w:p w14:paraId="64EF3C39">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13.4乙方不得将本项目应用软件及与本项目应用软件具有相同或类似功能的软件提供或变换方式提供、出售给除甲方外的其他方。</w:t>
      </w:r>
      <w:r>
        <w:rPr>
          <w:rFonts w:hint="eastAsia" w:ascii="仿宋" w:hAnsi="仿宋" w:eastAsia="仿宋" w:cs="仿宋"/>
          <w:color w:val="000000"/>
          <w:highlight w:val="none"/>
        </w:rPr>
        <w:t>乙方在本合同终验证书签署后二年内，不得为除甲方外的其他方开发相同或类似功能的应用软件，也不能对其他方开发同类或类似功能的应用软件提供任何协助。</w:t>
      </w:r>
    </w:p>
    <w:p w14:paraId="3A6712C5">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13.5如果乙方违反上述条款，乙方承担全部责任，并赔偿甲方一切损失，同时甲方有权向乙方收取违约金，违约金金额为合同总价的[</w:t>
      </w:r>
      <w:r>
        <w:rPr>
          <w:rFonts w:hint="eastAsia" w:ascii="仿宋" w:hAnsi="仿宋" w:eastAsia="仿宋" w:cs="仿宋"/>
          <w:color w:val="000000"/>
          <w:highlight w:val="none"/>
          <w:lang w:val="en-US" w:eastAsia="zh-CN"/>
        </w:rPr>
        <w:t>0.3</w:t>
      </w:r>
      <w:r>
        <w:rPr>
          <w:rFonts w:ascii="仿宋" w:hAnsi="仿宋" w:eastAsia="仿宋" w:cs="仿宋"/>
          <w:color w:val="000000"/>
          <w:highlight w:val="none"/>
        </w:rPr>
        <w:t>]倍。</w:t>
      </w:r>
    </w:p>
    <w:p w14:paraId="546B30E1">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13.6乙方承诺，为完成本合同约定事项，乙方已从系统软件权利人处取得系统软件的许可使用权（或乙方为系统软件的著作权人），并有权许可</w:t>
      </w:r>
      <w:r>
        <w:rPr>
          <w:rFonts w:hint="eastAsia" w:ascii="仿宋" w:hAnsi="仿宋" w:eastAsia="仿宋" w:cs="仿宋"/>
          <w:color w:val="000000"/>
          <w:highlight w:val="none"/>
        </w:rPr>
        <w:t>甲方或甲方指定的第三方使用并用于应用软件，且该授权长期合法有效并能够满足本项目需要，并应协助甲方做好软件著作权登记相关材料的撰写工作。</w:t>
      </w:r>
    </w:p>
    <w:p w14:paraId="7CE57115">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13.7乙方承诺，其依据本合同开发应用软件及</w:t>
      </w:r>
      <w:r>
        <w:rPr>
          <w:rFonts w:hint="eastAsia" w:ascii="仿宋" w:hAnsi="仿宋" w:eastAsia="仿宋" w:cs="仿宋"/>
          <w:color w:val="000000"/>
          <w:highlight w:val="none"/>
        </w:rPr>
        <w:t>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w:t>
      </w:r>
      <w:r>
        <w:rPr>
          <w:rFonts w:ascii="仿宋" w:hAnsi="仿宋" w:eastAsia="仿宋" w:cs="仿宋"/>
          <w:color w:val="000000"/>
          <w:highlight w:val="none"/>
        </w:rPr>
        <w:t>[</w:t>
      </w:r>
      <w:r>
        <w:rPr>
          <w:rFonts w:hint="eastAsia" w:ascii="仿宋" w:hAnsi="仿宋" w:eastAsia="仿宋" w:cs="仿宋"/>
          <w:color w:val="000000"/>
          <w:highlight w:val="none"/>
          <w:lang w:val="en-US" w:eastAsia="zh-CN"/>
        </w:rPr>
        <w:t>10</w:t>
      </w:r>
      <w:r>
        <w:rPr>
          <w:rFonts w:ascii="仿宋" w:hAnsi="仿宋" w:eastAsia="仿宋" w:cs="仿宋"/>
          <w:color w:val="000000"/>
          <w:highlight w:val="none"/>
        </w:rPr>
        <w:t>]%</w:t>
      </w:r>
      <w:r>
        <w:rPr>
          <w:rFonts w:hint="eastAsia" w:ascii="仿宋" w:hAnsi="仿宋" w:eastAsia="仿宋" w:cs="仿宋"/>
          <w:color w:val="000000"/>
          <w:highlight w:val="none"/>
        </w:rPr>
        <w:t>的违约金，并赔偿甲方或甲方指定的第三方的损失。</w:t>
      </w:r>
    </w:p>
    <w:p w14:paraId="2DFF733B">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13.8如果有人提出法律或行政程序(合称“侵权指控”)，声称</w:t>
      </w:r>
      <w:r>
        <w:rPr>
          <w:rFonts w:hint="eastAsia" w:ascii="仿宋" w:hAnsi="仿宋" w:eastAsia="仿宋" w:cs="仿宋"/>
          <w:color w:val="000000"/>
          <w:highlight w:val="none"/>
        </w:rPr>
        <w:t>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2262FC06">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13.9如果在侵权指控的审理过程中有关机关禁止</w:t>
      </w:r>
      <w:r>
        <w:rPr>
          <w:rFonts w:hint="eastAsia" w:ascii="仿宋" w:hAnsi="仿宋" w:eastAsia="仿宋" w:cs="仿宋"/>
          <w:color w:val="000000"/>
          <w:highlight w:val="none"/>
        </w:rPr>
        <w:t>甲方或甲方指定的第三方继续使用本项目软件的部分或全部，乙方应采取以下措施之一：</w:t>
      </w:r>
    </w:p>
    <w:p w14:paraId="37710FBA">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w:t>
      </w:r>
      <w:r>
        <w:rPr>
          <w:rFonts w:ascii="仿宋" w:hAnsi="仿宋" w:eastAsia="仿宋" w:cs="仿宋"/>
          <w:color w:val="000000"/>
          <w:highlight w:val="none"/>
        </w:rPr>
        <w:t>1）使</w:t>
      </w:r>
      <w:r>
        <w:rPr>
          <w:rFonts w:hint="eastAsia" w:ascii="仿宋" w:hAnsi="仿宋" w:eastAsia="仿宋" w:cs="仿宋"/>
          <w:color w:val="000000"/>
          <w:highlight w:val="none"/>
        </w:rPr>
        <w:t>甲方或甲方指定的第三方重新免费获得使用上述软件的权利。</w:t>
      </w:r>
    </w:p>
    <w:p w14:paraId="7006206D">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w:t>
      </w:r>
      <w:r>
        <w:rPr>
          <w:rFonts w:ascii="仿宋" w:hAnsi="仿宋" w:eastAsia="仿宋" w:cs="仿宋"/>
          <w:color w:val="000000"/>
          <w:highlight w:val="none"/>
        </w:rPr>
        <w:t>2）免费更换或改造上述软件，使</w:t>
      </w:r>
      <w:r>
        <w:rPr>
          <w:rFonts w:hint="eastAsia" w:ascii="仿宋" w:hAnsi="仿宋" w:eastAsia="仿宋" w:cs="仿宋"/>
          <w:color w:val="000000"/>
          <w:highlight w:val="none"/>
        </w:rPr>
        <w:t>甲方或甲方指定的第三方不受上述禁令限制继续使用该软件。</w:t>
      </w:r>
    </w:p>
    <w:p w14:paraId="0E222148">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w:t>
      </w:r>
      <w:r>
        <w:rPr>
          <w:rFonts w:ascii="仿宋" w:hAnsi="仿宋" w:eastAsia="仿宋" w:cs="仿宋"/>
          <w:color w:val="000000"/>
          <w:highlight w:val="none"/>
        </w:rPr>
        <w:t>3）其</w:t>
      </w:r>
      <w:r>
        <w:rPr>
          <w:rFonts w:hint="eastAsia" w:ascii="仿宋" w:hAnsi="仿宋" w:eastAsia="仿宋" w:cs="仿宋"/>
          <w:color w:val="000000"/>
          <w:highlight w:val="none"/>
        </w:rPr>
        <w:t>他</w:t>
      </w:r>
      <w:r>
        <w:rPr>
          <w:rFonts w:ascii="仿宋" w:hAnsi="仿宋" w:eastAsia="仿宋" w:cs="仿宋"/>
          <w:color w:val="000000"/>
          <w:highlight w:val="none"/>
        </w:rPr>
        <w:t>使</w:t>
      </w:r>
      <w:r>
        <w:rPr>
          <w:rFonts w:hint="eastAsia" w:ascii="仿宋" w:hAnsi="仿宋" w:eastAsia="仿宋" w:cs="仿宋"/>
          <w:color w:val="000000"/>
          <w:highlight w:val="none"/>
        </w:rPr>
        <w:t>甲方或甲方指定的第三方对软件拥有合法使用权，或其他弥补甲方或甲方指定的第三方受损利益、实现合同目的的合理方式，且不收取任何费用。</w:t>
      </w:r>
    </w:p>
    <w:p w14:paraId="7E275D55">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乙方采取上述措施不能免除乙方就甲方或甲方指定的第三方因此遭受的损失进行赔偿的义务。</w:t>
      </w:r>
    </w:p>
    <w:p w14:paraId="79C5BB12">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13.10</w:t>
      </w:r>
      <w:r>
        <w:rPr>
          <w:rFonts w:ascii="仿宋" w:hAnsi="仿宋" w:eastAsia="仿宋" w:cs="仿宋"/>
          <w:color w:val="000000"/>
          <w:kern w:val="2"/>
          <w:highlight w:val="none"/>
        </w:rPr>
        <w:t>未经甲方书面同意，乙方不得在</w:t>
      </w:r>
      <w:r>
        <w:rPr>
          <w:rFonts w:hint="eastAsia" w:ascii="仿宋" w:hAnsi="仿宋" w:eastAsia="仿宋" w:cs="仿宋"/>
          <w:color w:val="000000"/>
          <w:highlight w:val="none"/>
        </w:rPr>
        <w:t>本项目软件</w:t>
      </w:r>
      <w:r>
        <w:rPr>
          <w:rFonts w:ascii="仿宋" w:hAnsi="仿宋" w:eastAsia="仿宋" w:cs="仿宋"/>
          <w:color w:val="000000"/>
          <w:kern w:val="2"/>
          <w:highlight w:val="none"/>
        </w:rPr>
        <w:t>中植入或嵌入甲方需求外功能（包括但不限于软件后门、攻击模块、广告插件等）</w:t>
      </w:r>
      <w:r>
        <w:rPr>
          <w:rFonts w:hint="eastAsia" w:ascii="仿宋" w:hAnsi="仿宋" w:eastAsia="仿宋" w:cs="仿宋"/>
          <w:color w:val="000000"/>
          <w:highlight w:val="none"/>
        </w:rPr>
        <w:t>。否则，</w:t>
      </w:r>
      <w:r>
        <w:rPr>
          <w:rFonts w:ascii="仿宋" w:hAnsi="仿宋" w:eastAsia="仿宋" w:cs="仿宋"/>
          <w:color w:val="000000"/>
          <w:kern w:val="2"/>
          <w:highlight w:val="none"/>
        </w:rPr>
        <w:t>乙方应向甲方支付合同总价</w:t>
      </w:r>
      <w:r>
        <w:rPr>
          <w:rFonts w:ascii="仿宋" w:hAnsi="仿宋" w:eastAsia="仿宋" w:cs="仿宋"/>
          <w:color w:val="000000"/>
          <w:highlight w:val="none"/>
        </w:rPr>
        <w:t>[</w:t>
      </w:r>
      <w:r>
        <w:rPr>
          <w:rFonts w:hint="eastAsia" w:ascii="仿宋" w:hAnsi="仿宋" w:eastAsia="仿宋" w:cs="仿宋"/>
          <w:color w:val="000000"/>
          <w:highlight w:val="none"/>
          <w:lang w:val="en-US" w:eastAsia="zh-CN"/>
        </w:rPr>
        <w:t>10</w:t>
      </w:r>
      <w:r>
        <w:rPr>
          <w:rFonts w:ascii="仿宋" w:hAnsi="仿宋" w:eastAsia="仿宋" w:cs="仿宋"/>
          <w:color w:val="000000"/>
          <w:highlight w:val="none"/>
        </w:rPr>
        <w:t>]%</w:t>
      </w:r>
      <w:r>
        <w:rPr>
          <w:rFonts w:ascii="仿宋" w:hAnsi="仿宋" w:eastAsia="仿宋" w:cs="仿宋"/>
          <w:color w:val="000000"/>
          <w:kern w:val="2"/>
          <w:highlight w:val="none"/>
        </w:rPr>
        <w:t>的违约金，</w:t>
      </w:r>
      <w:r>
        <w:rPr>
          <w:rFonts w:hint="eastAsia" w:ascii="仿宋" w:hAnsi="仿宋" w:eastAsia="仿宋" w:cs="仿宋"/>
          <w:color w:val="000000"/>
          <w:highlight w:val="none"/>
        </w:rPr>
        <w:t>并赔偿甲方或甲方指定的第三方的损失。</w:t>
      </w:r>
    </w:p>
    <w:p w14:paraId="36093D59">
      <w:pPr>
        <w:pStyle w:val="36"/>
        <w:spacing w:line="360" w:lineRule="exact"/>
        <w:ind w:firstLine="480" w:firstLineChars="200"/>
        <w:rPr>
          <w:rFonts w:ascii="仿宋" w:hAnsi="仿宋" w:eastAsia="仿宋" w:cs="仿宋"/>
          <w:color w:val="000000"/>
          <w:highlight w:val="none"/>
        </w:rPr>
      </w:pPr>
      <w:r>
        <w:rPr>
          <w:rFonts w:hint="eastAsia" w:ascii="仿宋" w:hAnsi="仿宋" w:eastAsia="仿宋" w:cs="仿宋"/>
          <w:b/>
          <w:color w:val="000000"/>
          <w:highlight w:val="none"/>
        </w:rPr>
        <w:t>第十四条合同的解除</w:t>
      </w:r>
    </w:p>
    <w:p w14:paraId="3FF10E40">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14.1双方确定，本合同可以在以下情况出现时解除：</w:t>
      </w:r>
    </w:p>
    <w:p w14:paraId="48EB0966">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w:t>
      </w:r>
      <w:r>
        <w:rPr>
          <w:rFonts w:ascii="仿宋" w:hAnsi="仿宋" w:eastAsia="仿宋" w:cs="仿宋"/>
          <w:color w:val="000000"/>
          <w:highlight w:val="none"/>
        </w:rPr>
        <w:t>1）由于本合同规定的不可抗力致使本合同的履行成为不必要或不可能的。</w:t>
      </w:r>
    </w:p>
    <w:p w14:paraId="08269F10">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w:t>
      </w:r>
      <w:r>
        <w:rPr>
          <w:rFonts w:ascii="仿宋" w:hAnsi="仿宋" w:eastAsia="仿宋" w:cs="仿宋"/>
          <w:color w:val="000000"/>
          <w:highlight w:val="none"/>
        </w:rPr>
        <w:t>2）在本合同履行中，若应用软件已经由他人公开（包括以专利权方式公开），乙方</w:t>
      </w:r>
      <w:r>
        <w:rPr>
          <w:rFonts w:ascii="仿宋" w:hAnsi="仿宋" w:eastAsia="仿宋" w:cs="仿宋"/>
          <w:color w:val="000000"/>
          <w:szCs w:val="24"/>
          <w:highlight w:val="none"/>
        </w:rPr>
        <w:t>应</w:t>
      </w:r>
      <w:r>
        <w:rPr>
          <w:rFonts w:hint="eastAsia" w:ascii="仿宋" w:hAnsi="仿宋" w:eastAsia="仿宋" w:cs="仿宋"/>
          <w:color w:val="000000"/>
          <w:szCs w:val="24"/>
          <w:highlight w:val="none"/>
        </w:rPr>
        <w:t>当</w:t>
      </w:r>
      <w:r>
        <w:rPr>
          <w:rFonts w:ascii="仿宋" w:hAnsi="仿宋" w:eastAsia="仿宋" w:cs="仿宋"/>
          <w:color w:val="000000"/>
          <w:highlight w:val="none"/>
        </w:rPr>
        <w:t>在知道或应当知道前述公开之日起[</w:t>
      </w:r>
      <w:r>
        <w:rPr>
          <w:rFonts w:hint="eastAsia" w:ascii="仿宋" w:hAnsi="仿宋" w:eastAsia="仿宋" w:cs="仿宋"/>
          <w:color w:val="000000"/>
          <w:highlight w:val="none"/>
          <w:lang w:val="en-US" w:eastAsia="zh-CN"/>
        </w:rPr>
        <w:t>10</w:t>
      </w:r>
      <w:r>
        <w:rPr>
          <w:rFonts w:ascii="仿宋" w:hAnsi="仿宋" w:eastAsia="仿宋" w:cs="仿宋"/>
          <w:color w:val="000000"/>
          <w:highlight w:val="none"/>
        </w:rPr>
        <w:t>]日内</w:t>
      </w:r>
      <w:r>
        <w:rPr>
          <w:rFonts w:hint="eastAsia" w:ascii="仿宋" w:hAnsi="仿宋" w:eastAsia="仿宋" w:cs="仿宋"/>
          <w:color w:val="000000"/>
          <w:highlight w:val="none"/>
        </w:rPr>
        <w:t>通知甲方，甲方有权解除本合同。乙方逾期未通知致使甲方产生损失的，甲方有权要求予以赔偿。如果出现由于乙方原因（如泄密）导致技术公开，除退还甲方已付款项及自付款之日起至</w:t>
      </w:r>
      <w:r>
        <w:rPr>
          <w:rFonts w:hint="eastAsia" w:ascii="仿宋" w:hAnsi="仿宋" w:eastAsia="仿宋" w:cs="仿宋"/>
          <w:color w:val="000000"/>
          <w:szCs w:val="24"/>
          <w:highlight w:val="none"/>
        </w:rPr>
        <w:t>乙方</w:t>
      </w:r>
      <w:r>
        <w:rPr>
          <w:rFonts w:hint="eastAsia" w:ascii="仿宋" w:hAnsi="仿宋" w:eastAsia="仿宋" w:cs="仿宋"/>
          <w:color w:val="000000"/>
          <w:highlight w:val="none"/>
        </w:rPr>
        <w:t>返还</w:t>
      </w:r>
      <w:r>
        <w:rPr>
          <w:rFonts w:hint="eastAsia" w:ascii="仿宋" w:hAnsi="仿宋" w:eastAsia="仿宋" w:cs="仿宋"/>
          <w:color w:val="000000"/>
          <w:szCs w:val="24"/>
          <w:highlight w:val="none"/>
        </w:rPr>
        <w:t>款项</w:t>
      </w:r>
      <w:r>
        <w:rPr>
          <w:rFonts w:hint="eastAsia" w:ascii="仿宋" w:hAnsi="仿宋" w:eastAsia="仿宋" w:cs="仿宋"/>
          <w:color w:val="000000"/>
          <w:highlight w:val="none"/>
        </w:rPr>
        <w:t>之日止的利息（按照付款时中国人民银行授权全国银行间同业拆借中心公布的一年期贷款市场报价利率（</w:t>
      </w:r>
      <w:r>
        <w:rPr>
          <w:rFonts w:ascii="仿宋" w:hAnsi="仿宋" w:eastAsia="仿宋" w:cs="仿宋"/>
          <w:color w:val="000000"/>
          <w:highlight w:val="none"/>
        </w:rPr>
        <w:t>LPR）标准计算）</w:t>
      </w:r>
      <w:r>
        <w:rPr>
          <w:rFonts w:hint="eastAsia" w:ascii="仿宋" w:hAnsi="仿宋" w:eastAsia="仿宋" w:cs="仿宋"/>
          <w:color w:val="000000"/>
          <w:highlight w:val="none"/>
        </w:rPr>
        <w:t>外，乙方还</w:t>
      </w:r>
      <w:r>
        <w:rPr>
          <w:rFonts w:hint="eastAsia" w:ascii="仿宋" w:hAnsi="仿宋" w:eastAsia="仿宋" w:cs="仿宋"/>
          <w:color w:val="000000"/>
          <w:szCs w:val="24"/>
          <w:highlight w:val="none"/>
        </w:rPr>
        <w:t>应当</w:t>
      </w:r>
      <w:r>
        <w:rPr>
          <w:rFonts w:hint="eastAsia" w:ascii="仿宋" w:hAnsi="仿宋" w:eastAsia="仿宋" w:cs="仿宋"/>
          <w:color w:val="000000"/>
          <w:highlight w:val="none"/>
        </w:rPr>
        <w:t>向甲方支付相当于甲方已付款项</w:t>
      </w:r>
      <w:r>
        <w:rPr>
          <w:rFonts w:ascii="仿宋" w:hAnsi="仿宋" w:eastAsia="仿宋" w:cs="仿宋"/>
          <w:color w:val="000000"/>
          <w:highlight w:val="none"/>
        </w:rPr>
        <w:t>[</w:t>
      </w:r>
      <w:r>
        <w:rPr>
          <w:rFonts w:hint="eastAsia" w:ascii="仿宋" w:hAnsi="仿宋" w:eastAsia="仿宋" w:cs="仿宋"/>
          <w:color w:val="000000"/>
          <w:highlight w:val="none"/>
          <w:lang w:val="en-US" w:eastAsia="zh-CN"/>
        </w:rPr>
        <w:t>1</w:t>
      </w:r>
      <w:r>
        <w:rPr>
          <w:rFonts w:ascii="仿宋" w:hAnsi="仿宋" w:eastAsia="仿宋" w:cs="仿宋"/>
          <w:color w:val="000000"/>
          <w:highlight w:val="none"/>
        </w:rPr>
        <w:t>]倍</w:t>
      </w:r>
      <w:r>
        <w:rPr>
          <w:rFonts w:hint="eastAsia" w:ascii="仿宋" w:hAnsi="仿宋" w:eastAsia="仿宋" w:cs="仿宋"/>
          <w:color w:val="000000"/>
          <w:highlight w:val="none"/>
        </w:rPr>
        <w:t>的赔偿金额。</w:t>
      </w:r>
    </w:p>
    <w:p w14:paraId="71C41C3C">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14.2本合同自有权解除合同一方发出解除的书面通知时解除。</w:t>
      </w:r>
    </w:p>
    <w:p w14:paraId="47F0BC93">
      <w:pPr>
        <w:pStyle w:val="36"/>
        <w:spacing w:line="360" w:lineRule="exact"/>
        <w:ind w:firstLine="480" w:firstLineChars="200"/>
        <w:rPr>
          <w:rFonts w:ascii="仿宋" w:hAnsi="仿宋" w:eastAsia="仿宋" w:cs="仿宋"/>
          <w:b/>
          <w:color w:val="000000"/>
          <w:highlight w:val="none"/>
        </w:rPr>
      </w:pPr>
      <w:r>
        <w:rPr>
          <w:rFonts w:hint="eastAsia" w:ascii="仿宋" w:hAnsi="仿宋" w:eastAsia="仿宋" w:cs="仿宋"/>
          <w:b/>
          <w:color w:val="000000"/>
          <w:highlight w:val="none"/>
        </w:rPr>
        <w:t>第十五条合同生效及其他</w:t>
      </w:r>
    </w:p>
    <w:p w14:paraId="087E87BC">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15.1本合同</w:t>
      </w:r>
      <w:r>
        <w:rPr>
          <w:rFonts w:hint="eastAsia" w:ascii="仿宋" w:hAnsi="仿宋" w:eastAsia="仿宋" w:cs="仿宋"/>
          <w:color w:val="000000"/>
          <w:highlight w:val="none"/>
        </w:rPr>
        <w:t>纸质文本一式肆</w:t>
      </w:r>
      <w:r>
        <w:rPr>
          <w:rFonts w:ascii="仿宋" w:hAnsi="仿宋" w:eastAsia="仿宋" w:cs="仿宋"/>
          <w:color w:val="000000"/>
          <w:highlight w:val="none"/>
        </w:rPr>
        <w:t>份，甲乙双方各执</w:t>
      </w:r>
      <w:r>
        <w:rPr>
          <w:rFonts w:hint="eastAsia" w:ascii="仿宋" w:hAnsi="仿宋" w:eastAsia="仿宋" w:cs="仿宋"/>
          <w:color w:val="000000"/>
          <w:highlight w:val="none"/>
        </w:rPr>
        <w:t>贰</w:t>
      </w:r>
      <w:r>
        <w:rPr>
          <w:rFonts w:ascii="仿宋" w:hAnsi="仿宋" w:eastAsia="仿宋" w:cs="仿宋"/>
          <w:color w:val="000000"/>
          <w:highlight w:val="none"/>
        </w:rPr>
        <w:t>份</w:t>
      </w:r>
      <w:r>
        <w:rPr>
          <w:rFonts w:hint="eastAsia" w:ascii="仿宋" w:hAnsi="仿宋" w:eastAsia="仿宋" w:cs="仿宋"/>
          <w:color w:val="000000"/>
          <w:highlight w:val="none"/>
        </w:rPr>
        <w:t>，自双方签字盖章之日起生效；若使用电子印章的，自双方盖章之日起生效。本合同</w:t>
      </w:r>
      <w:r>
        <w:rPr>
          <w:rFonts w:ascii="仿宋" w:hAnsi="仿宋" w:eastAsia="仿宋" w:cs="仿宋"/>
          <w:color w:val="000000"/>
          <w:highlight w:val="none"/>
        </w:rPr>
        <w:t>保持其有效直至双方已完全履行合同项下的所有义务且双方之间的所有付款和索赔已结清</w:t>
      </w:r>
      <w:r>
        <w:rPr>
          <w:rFonts w:hint="eastAsia" w:ascii="仿宋" w:hAnsi="仿宋" w:eastAsia="仿宋" w:cs="仿宋"/>
          <w:color w:val="000000"/>
          <w:highlight w:val="none"/>
        </w:rPr>
        <w:t>。</w:t>
      </w:r>
    </w:p>
    <w:p w14:paraId="7C1A0605">
      <w:pPr>
        <w:pStyle w:val="36"/>
        <w:spacing w:line="360" w:lineRule="exact"/>
        <w:ind w:firstLineChars="200"/>
        <w:rPr>
          <w:rFonts w:ascii="仿宋" w:hAnsi="仿宋" w:eastAsia="仿宋" w:cs="仿宋"/>
          <w:color w:val="000000"/>
          <w:highlight w:val="none"/>
        </w:rPr>
      </w:pPr>
      <w:r>
        <w:rPr>
          <w:rFonts w:hint="eastAsia" w:ascii="仿宋" w:hAnsi="仿宋" w:eastAsia="仿宋" w:cs="仿宋"/>
          <w:color w:val="000000"/>
          <w:highlight w:val="none"/>
        </w:rPr>
        <w:t>若甲方加盖电子印章的，以加盖</w:t>
      </w:r>
      <w:r>
        <w:rPr>
          <w:rFonts w:ascii="仿宋" w:hAnsi="仿宋" w:eastAsia="仿宋" w:cs="仿宋"/>
          <w:color w:val="000000"/>
          <w:highlight w:val="none"/>
        </w:rPr>
        <w:t>甲方电子印章的本合同电子文档所载内容为准</w:t>
      </w:r>
      <w:r>
        <w:rPr>
          <w:rFonts w:hint="eastAsia" w:ascii="仿宋" w:hAnsi="仿宋" w:eastAsia="仿宋" w:cs="仿宋"/>
          <w:color w:val="000000"/>
          <w:highlight w:val="none"/>
        </w:rPr>
        <w:t>。</w:t>
      </w:r>
    </w:p>
    <w:p w14:paraId="597A37CF">
      <w:pPr>
        <w:pStyle w:val="36"/>
        <w:spacing w:line="360" w:lineRule="exact"/>
        <w:ind w:firstLineChars="200"/>
        <w:rPr>
          <w:rFonts w:ascii="仿宋" w:hAnsi="仿宋" w:eastAsia="仿宋" w:cs="仿宋"/>
          <w:color w:val="000000"/>
          <w:szCs w:val="24"/>
          <w:highlight w:val="none"/>
        </w:rPr>
      </w:pPr>
      <w:r>
        <w:rPr>
          <w:rFonts w:ascii="仿宋" w:hAnsi="仿宋" w:eastAsia="仿宋" w:cs="仿宋"/>
          <w:color w:val="000000"/>
          <w:highlight w:val="none"/>
        </w:rPr>
        <w:t>15.2</w:t>
      </w:r>
      <w:r>
        <w:rPr>
          <w:rFonts w:hint="eastAsia" w:ascii="仿宋" w:hAnsi="仿宋" w:eastAsia="仿宋" w:cs="仿宋"/>
          <w:color w:val="000000"/>
          <w:highlight w:val="none"/>
        </w:rPr>
        <w:t>本合同</w:t>
      </w:r>
      <w:r>
        <w:rPr>
          <w:rFonts w:ascii="仿宋" w:hAnsi="仿宋" w:eastAsia="仿宋" w:cs="仿宋"/>
          <w:color w:val="000000"/>
          <w:highlight w:val="none"/>
        </w:rPr>
        <w:t>附件</w:t>
      </w:r>
      <w:r>
        <w:rPr>
          <w:rFonts w:hint="eastAsia" w:ascii="仿宋" w:hAnsi="仿宋" w:eastAsia="仿宋" w:cs="仿宋"/>
          <w:color w:val="000000"/>
          <w:highlight w:val="none"/>
        </w:rPr>
        <w:t>同时</w:t>
      </w:r>
      <w:r>
        <w:rPr>
          <w:rFonts w:ascii="仿宋" w:hAnsi="仿宋" w:eastAsia="仿宋" w:cs="仿宋"/>
          <w:color w:val="000000"/>
          <w:highlight w:val="none"/>
        </w:rPr>
        <w:t>存在中文</w:t>
      </w:r>
      <w:r>
        <w:rPr>
          <w:rFonts w:hint="eastAsia" w:ascii="仿宋" w:hAnsi="仿宋" w:eastAsia="仿宋" w:cs="仿宋"/>
          <w:color w:val="000000"/>
          <w:highlight w:val="none"/>
        </w:rPr>
        <w:t>和</w:t>
      </w:r>
      <w:r>
        <w:rPr>
          <w:rFonts w:ascii="仿宋" w:hAnsi="仿宋" w:eastAsia="仿宋" w:cs="仿宋"/>
          <w:color w:val="000000"/>
          <w:highlight w:val="none"/>
        </w:rPr>
        <w:t>英文文本</w:t>
      </w:r>
      <w:r>
        <w:rPr>
          <w:rFonts w:hint="eastAsia" w:ascii="仿宋" w:hAnsi="仿宋" w:eastAsia="仿宋" w:cs="仿宋"/>
          <w:color w:val="000000"/>
          <w:highlight w:val="none"/>
        </w:rPr>
        <w:t>的</w:t>
      </w:r>
      <w:r>
        <w:rPr>
          <w:rFonts w:ascii="仿宋" w:hAnsi="仿宋" w:eastAsia="仿宋" w:cs="仿宋"/>
          <w:color w:val="000000"/>
          <w:highlight w:val="none"/>
        </w:rPr>
        <w:t>，中英文不一致时，以中文</w:t>
      </w:r>
      <w:r>
        <w:rPr>
          <w:rFonts w:hint="eastAsia" w:ascii="仿宋" w:hAnsi="仿宋" w:eastAsia="仿宋" w:cs="仿宋"/>
          <w:color w:val="000000"/>
          <w:highlight w:val="none"/>
        </w:rPr>
        <w:t>文本</w:t>
      </w:r>
      <w:r>
        <w:rPr>
          <w:rFonts w:ascii="仿宋" w:hAnsi="仿宋" w:eastAsia="仿宋" w:cs="仿宋"/>
          <w:color w:val="000000"/>
          <w:highlight w:val="none"/>
        </w:rPr>
        <w:t>为准</w:t>
      </w:r>
      <w:r>
        <w:rPr>
          <w:rFonts w:hint="eastAsia" w:ascii="仿宋" w:hAnsi="仿宋" w:eastAsia="仿宋" w:cs="仿宋"/>
          <w:color w:val="000000"/>
          <w:highlight w:val="none"/>
        </w:rPr>
        <w:t>。</w:t>
      </w:r>
    </w:p>
    <w:p w14:paraId="0273BF5E">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15.3</w:t>
      </w:r>
      <w:r>
        <w:rPr>
          <w:rFonts w:hint="eastAsia" w:ascii="仿宋" w:hAnsi="仿宋" w:eastAsia="仿宋" w:cs="仿宋"/>
          <w:color w:val="000000"/>
          <w:highlight w:val="none"/>
        </w:rPr>
        <w:t>本合同替代此前双方所有关于本合同事项的口头或书面的纪要、备忘录、合同、协议等法律文件。</w:t>
      </w:r>
    </w:p>
    <w:p w14:paraId="2AD91F17">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15.4</w:t>
      </w:r>
      <w:r>
        <w:rPr>
          <w:rFonts w:hint="eastAsia" w:ascii="仿宋" w:hAnsi="仿宋" w:eastAsia="仿宋" w:cs="仿宋"/>
          <w:color w:val="000000"/>
          <w:highlight w:val="none"/>
        </w:rPr>
        <w:t>乙</w:t>
      </w:r>
      <w:r>
        <w:rPr>
          <w:rFonts w:ascii="仿宋" w:hAnsi="仿宋" w:eastAsia="仿宋" w:cs="仿宋"/>
          <w:color w:val="000000"/>
          <w:highlight w:val="none"/>
        </w:rPr>
        <w:t>方未经</w:t>
      </w:r>
      <w:r>
        <w:rPr>
          <w:rFonts w:hint="eastAsia" w:ascii="仿宋" w:hAnsi="仿宋" w:eastAsia="仿宋" w:cs="仿宋"/>
          <w:color w:val="000000"/>
          <w:highlight w:val="none"/>
        </w:rPr>
        <w:t>甲</w:t>
      </w:r>
      <w:r>
        <w:rPr>
          <w:rFonts w:ascii="仿宋" w:hAnsi="仿宋" w:eastAsia="仿宋" w:cs="仿宋"/>
          <w:color w:val="000000"/>
          <w:highlight w:val="none"/>
        </w:rPr>
        <w:t>方同意不得向任何第三方透露本合同的签订及其内容。</w:t>
      </w:r>
      <w:r>
        <w:rPr>
          <w:rFonts w:hint="eastAsia" w:ascii="仿宋" w:hAnsi="仿宋" w:eastAsia="仿宋" w:cs="仿宋"/>
          <w:color w:val="000000"/>
          <w:highlight w:val="none"/>
        </w:rPr>
        <w:t>甲</w:t>
      </w:r>
      <w:r>
        <w:rPr>
          <w:rFonts w:ascii="仿宋" w:hAnsi="仿宋" w:eastAsia="仿宋" w:cs="仿宋"/>
          <w:color w:val="000000"/>
          <w:highlight w:val="none"/>
        </w:rPr>
        <w:t>方向其关联公司透露的，不受此限。</w:t>
      </w:r>
    </w:p>
    <w:p w14:paraId="52BD6009">
      <w:pPr>
        <w:pStyle w:val="36"/>
        <w:spacing w:line="360" w:lineRule="exact"/>
        <w:ind w:firstLineChars="200"/>
        <w:rPr>
          <w:rFonts w:ascii="仿宋" w:hAnsi="仿宋" w:eastAsia="仿宋" w:cs="仿宋"/>
          <w:color w:val="000000"/>
          <w:highlight w:val="none"/>
        </w:rPr>
      </w:pPr>
      <w:r>
        <w:rPr>
          <w:rFonts w:ascii="仿宋" w:hAnsi="仿宋" w:eastAsia="仿宋" w:cs="仿宋"/>
          <w:color w:val="000000"/>
          <w:highlight w:val="none"/>
        </w:rPr>
        <w:t>15.5对合同内容做出的任何修改和补充应为书面形式，由双方签字盖章后成为</w:t>
      </w:r>
      <w:r>
        <w:rPr>
          <w:rFonts w:hint="eastAsia" w:ascii="仿宋" w:hAnsi="仿宋" w:eastAsia="仿宋" w:cs="仿宋"/>
          <w:color w:val="000000"/>
          <w:highlight w:val="none"/>
        </w:rPr>
        <w:t>合同不可分割的部分。</w:t>
      </w:r>
    </w:p>
    <w:p w14:paraId="0CDB480B">
      <w:pPr>
        <w:spacing w:line="360" w:lineRule="exact"/>
        <w:ind w:firstLine="480" w:firstLineChars="200"/>
        <w:rPr>
          <w:rFonts w:ascii="仿宋" w:hAnsi="仿宋" w:eastAsia="仿宋" w:cs="仿宋"/>
          <w:color w:val="000000"/>
          <w:sz w:val="24"/>
          <w:szCs w:val="21"/>
          <w:highlight w:val="none"/>
        </w:rPr>
      </w:pPr>
      <w:r>
        <w:rPr>
          <w:rFonts w:ascii="仿宋" w:hAnsi="仿宋" w:eastAsia="仿宋" w:cs="仿宋"/>
          <w:color w:val="000000"/>
          <w:sz w:val="24"/>
          <w:highlight w:val="none"/>
        </w:rPr>
        <w:t>15.6</w:t>
      </w:r>
      <w:r>
        <w:rPr>
          <w:rFonts w:hint="eastAsia" w:ascii="仿宋" w:hAnsi="仿宋" w:eastAsia="仿宋" w:cs="仿宋"/>
          <w:color w:val="000000"/>
          <w:sz w:val="24"/>
          <w:highlight w:val="none"/>
        </w:rPr>
        <w:t>甲乙双方因履行本合同或与本合同有关的一切通知都应当按照本合同中的地址，以书面信函或者传真或者电子邮件方式进行。其中：</w:t>
      </w:r>
    </w:p>
    <w:p w14:paraId="4080B5E9">
      <w:pPr>
        <w:spacing w:line="360" w:lineRule="exact"/>
        <w:ind w:firstLine="480" w:firstLineChars="200"/>
        <w:rPr>
          <w:rFonts w:ascii="仿宋" w:hAnsi="仿宋" w:eastAsia="仿宋" w:cs="仿宋"/>
          <w:color w:val="000000"/>
          <w:sz w:val="24"/>
          <w:szCs w:val="21"/>
          <w:highlight w:val="none"/>
        </w:rPr>
      </w:pPr>
      <w:r>
        <w:rPr>
          <w:rFonts w:ascii="仿宋" w:hAnsi="仿宋" w:eastAsia="仿宋" w:cs="仿宋"/>
          <w:color w:val="000000"/>
          <w:sz w:val="24"/>
          <w:highlight w:val="none"/>
        </w:rPr>
        <w:t>15.6.1除本合同另有约定外，有关下述任一事项的通知，均应当采用书面信函形式作出，否则，该通知无效，不产生本合同项下的通知效力：</w:t>
      </w:r>
    </w:p>
    <w:p w14:paraId="594B2D4F">
      <w:pPr>
        <w:spacing w:line="360" w:lineRule="exact"/>
        <w:ind w:firstLine="480" w:firstLineChars="200"/>
        <w:rPr>
          <w:rFonts w:ascii="仿宋" w:hAnsi="仿宋" w:eastAsia="仿宋" w:cs="仿宋"/>
          <w:color w:val="000000"/>
          <w:sz w:val="24"/>
          <w:highlight w:val="none"/>
        </w:rPr>
      </w:pPr>
      <w:r>
        <w:rPr>
          <w:rFonts w:hint="eastAsia" w:ascii="仿宋" w:hAnsi="仿宋" w:eastAsia="仿宋" w:cs="仿宋"/>
          <w:color w:val="000000"/>
          <w:sz w:val="24"/>
          <w:highlight w:val="none"/>
        </w:rPr>
        <w:t>（</w:t>
      </w:r>
      <w:r>
        <w:rPr>
          <w:rFonts w:ascii="仿宋" w:hAnsi="仿宋" w:eastAsia="仿宋" w:cs="仿宋"/>
          <w:color w:val="000000"/>
          <w:sz w:val="24"/>
          <w:highlight w:val="none"/>
        </w:rPr>
        <w:t>1）与本合同费用及支付事宜有关的通知；</w:t>
      </w:r>
    </w:p>
    <w:p w14:paraId="20250729">
      <w:pPr>
        <w:spacing w:line="360" w:lineRule="exact"/>
        <w:ind w:firstLine="480" w:firstLineChars="200"/>
        <w:rPr>
          <w:rFonts w:ascii="仿宋" w:hAnsi="仿宋" w:eastAsia="仿宋" w:cs="仿宋"/>
          <w:color w:val="000000"/>
          <w:sz w:val="24"/>
          <w:highlight w:val="none"/>
        </w:rPr>
      </w:pPr>
      <w:r>
        <w:rPr>
          <w:rFonts w:hint="eastAsia" w:ascii="仿宋" w:hAnsi="仿宋" w:eastAsia="仿宋" w:cs="仿宋"/>
          <w:color w:val="000000"/>
          <w:sz w:val="24"/>
          <w:highlight w:val="none"/>
        </w:rPr>
        <w:t>（</w:t>
      </w:r>
      <w:r>
        <w:rPr>
          <w:rFonts w:ascii="仿宋" w:hAnsi="仿宋" w:eastAsia="仿宋" w:cs="仿宋"/>
          <w:color w:val="000000"/>
          <w:sz w:val="24"/>
          <w:highlight w:val="none"/>
        </w:rPr>
        <w:t>2）与本合同违约事宜有关的通知；</w:t>
      </w:r>
    </w:p>
    <w:p w14:paraId="17F2CE17">
      <w:pPr>
        <w:spacing w:line="360" w:lineRule="exact"/>
        <w:ind w:firstLine="480" w:firstLineChars="200"/>
        <w:rPr>
          <w:rFonts w:ascii="仿宋" w:hAnsi="仿宋" w:eastAsia="仿宋" w:cs="仿宋"/>
          <w:color w:val="000000"/>
          <w:sz w:val="24"/>
          <w:highlight w:val="none"/>
        </w:rPr>
      </w:pPr>
      <w:r>
        <w:rPr>
          <w:rFonts w:hint="eastAsia" w:ascii="仿宋" w:hAnsi="仿宋" w:eastAsia="仿宋" w:cs="仿宋"/>
          <w:color w:val="000000"/>
          <w:sz w:val="24"/>
          <w:highlight w:val="none"/>
        </w:rPr>
        <w:t>（</w:t>
      </w:r>
      <w:r>
        <w:rPr>
          <w:rFonts w:ascii="仿宋" w:hAnsi="仿宋" w:eastAsia="仿宋" w:cs="仿宋"/>
          <w:color w:val="000000"/>
          <w:sz w:val="24"/>
          <w:highlight w:val="none"/>
        </w:rPr>
        <w:t>3）与本合同终止、解除或变更事宜有关的通知；</w:t>
      </w:r>
    </w:p>
    <w:p w14:paraId="687D779A">
      <w:pPr>
        <w:spacing w:line="360" w:lineRule="exact"/>
        <w:ind w:firstLine="480" w:firstLineChars="200"/>
        <w:rPr>
          <w:rFonts w:ascii="仿宋" w:hAnsi="仿宋" w:eastAsia="仿宋" w:cs="仿宋"/>
          <w:color w:val="000000"/>
          <w:sz w:val="24"/>
          <w:highlight w:val="none"/>
        </w:rPr>
      </w:pPr>
      <w:r>
        <w:rPr>
          <w:rFonts w:hint="eastAsia" w:ascii="仿宋" w:hAnsi="仿宋" w:eastAsia="仿宋" w:cs="仿宋"/>
          <w:color w:val="000000"/>
          <w:sz w:val="24"/>
          <w:highlight w:val="none"/>
        </w:rPr>
        <w:t>（</w:t>
      </w:r>
      <w:r>
        <w:rPr>
          <w:rFonts w:ascii="仿宋" w:hAnsi="仿宋" w:eastAsia="仿宋" w:cs="仿宋"/>
          <w:color w:val="000000"/>
          <w:sz w:val="24"/>
          <w:highlight w:val="none"/>
        </w:rPr>
        <w:t>4）与本合同延续/续展有关的通知；</w:t>
      </w:r>
    </w:p>
    <w:p w14:paraId="07C44471">
      <w:pPr>
        <w:spacing w:line="360" w:lineRule="exact"/>
        <w:ind w:firstLine="480" w:firstLineChars="200"/>
        <w:rPr>
          <w:rFonts w:ascii="仿宋" w:hAnsi="仿宋" w:eastAsia="仿宋" w:cs="仿宋"/>
          <w:color w:val="000000"/>
          <w:sz w:val="24"/>
          <w:highlight w:val="none"/>
        </w:rPr>
      </w:pPr>
      <w:r>
        <w:rPr>
          <w:rFonts w:hint="eastAsia" w:ascii="仿宋" w:hAnsi="仿宋" w:eastAsia="仿宋" w:cs="仿宋"/>
          <w:color w:val="000000"/>
          <w:sz w:val="24"/>
          <w:highlight w:val="none"/>
        </w:rPr>
        <w:t>（</w:t>
      </w:r>
      <w:r>
        <w:rPr>
          <w:rFonts w:ascii="仿宋" w:hAnsi="仿宋" w:eastAsia="仿宋" w:cs="仿宋"/>
          <w:color w:val="000000"/>
          <w:sz w:val="24"/>
          <w:highlight w:val="none"/>
        </w:rPr>
        <w:t>5）[</w:t>
      </w:r>
      <w:r>
        <w:rPr>
          <w:rFonts w:hint="eastAsia" w:ascii="仿宋" w:hAnsi="仿宋" w:eastAsia="仿宋" w:cs="仿宋"/>
          <w:color w:val="000000"/>
          <w:sz w:val="24"/>
          <w:highlight w:val="none"/>
          <w:lang w:val="en-US" w:eastAsia="zh-CN"/>
        </w:rPr>
        <w:t>/</w:t>
      </w:r>
      <w:r>
        <w:rPr>
          <w:rFonts w:ascii="仿宋" w:hAnsi="仿宋" w:eastAsia="仿宋" w:cs="仿宋"/>
          <w:color w:val="000000"/>
          <w:sz w:val="24"/>
          <w:highlight w:val="none"/>
        </w:rPr>
        <w:t>]。</w:t>
      </w:r>
    </w:p>
    <w:p w14:paraId="3CD74461">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15</w:t>
      </w:r>
      <w:r>
        <w:rPr>
          <w:rFonts w:ascii="仿宋" w:hAnsi="仿宋" w:eastAsia="仿宋"/>
          <w:color w:val="000000"/>
          <w:sz w:val="24"/>
          <w:highlight w:val="none"/>
        </w:rPr>
        <w:t>.6.2本合同约定的各种通知方式的送达标准如下：</w:t>
      </w:r>
    </w:p>
    <w:p w14:paraId="26DF4532">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1）如采用书面信函形式，应当使用挂号信或者具有良好信誉的特快专递送达，接受方签收挂号信或特快专递的时间（以邮局或快递公司系统记录为准）为通知送达时间；</w:t>
      </w:r>
    </w:p>
    <w:p w14:paraId="3AB1F41E">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2）如采用传真方式，传真到达接受方指定传真系统的时间为通知送达时间；</w:t>
      </w:r>
    </w:p>
    <w:p w14:paraId="5203A48B">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3）如采用电子邮件方式，电子邮件到达接受方指定电子邮箱的时间为通知送达时间。</w:t>
      </w:r>
    </w:p>
    <w:p w14:paraId="5408F06B">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4）如采用甲方供应商门户网站在线提交的方式，信息表单正式创建提交系统的时间为通知送达时间。如甲方供应商门户网站关闭或故障，双方应立即使用书面信函形式或者传真或者电子邮件方式进行通知。</w:t>
      </w:r>
    </w:p>
    <w:p w14:paraId="33F371E6">
      <w:pPr>
        <w:spacing w:line="360" w:lineRule="exact"/>
        <w:ind w:firstLine="480" w:firstLineChars="200"/>
        <w:rPr>
          <w:rFonts w:ascii="仿宋" w:hAnsi="仿宋" w:eastAsia="仿宋"/>
          <w:color w:val="000000"/>
          <w:sz w:val="24"/>
          <w:highlight w:val="none"/>
        </w:rPr>
      </w:pPr>
      <w:r>
        <w:rPr>
          <w:rFonts w:ascii="仿宋" w:hAnsi="仿宋" w:eastAsia="仿宋"/>
          <w:color w:val="000000"/>
          <w:sz w:val="24"/>
          <w:highlight w:val="none"/>
        </w:rPr>
        <w:t>如果因接受方原因（包括但不限于接受方拒收书面信函、接受方传真机关闭或故障、接受方电子邮箱地址不存在或者邮箱已满或者设置拒收等）导致通知发送失败，视为通知已经送达（发送方侧载明的书面信函寄出时间或者传真发送时间或者电子邮件发送时间视为通知送达时间）。</w:t>
      </w:r>
    </w:p>
    <w:p w14:paraId="6BDA4FF6">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15</w:t>
      </w:r>
      <w:r>
        <w:rPr>
          <w:rFonts w:ascii="仿宋" w:hAnsi="仿宋" w:eastAsia="仿宋"/>
          <w:color w:val="000000"/>
          <w:sz w:val="24"/>
          <w:highlight w:val="none"/>
        </w:rPr>
        <w:t>.6.3</w:t>
      </w:r>
      <w:r>
        <w:rPr>
          <w:rFonts w:hint="eastAsia" w:ascii="仿宋" w:hAnsi="仿宋" w:eastAsia="仿宋"/>
          <w:color w:val="000000"/>
          <w:sz w:val="24"/>
          <w:highlight w:val="none"/>
        </w:rPr>
        <w:t>本合同双方通知地址及方式如下：</w:t>
      </w:r>
    </w:p>
    <w:p w14:paraId="219D5060">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甲方：中国电信</w:t>
      </w:r>
      <w:r>
        <w:rPr>
          <w:rFonts w:ascii="仿宋" w:hAnsi="仿宋" w:eastAsia="仿宋"/>
          <w:color w:val="000000"/>
          <w:highlight w:val="none"/>
        </w:rPr>
        <w:t>[</w:t>
      </w:r>
      <w:r>
        <w:rPr>
          <w:rFonts w:hint="eastAsia" w:ascii="仿宋" w:hAnsi="仿宋" w:eastAsia="仿宋"/>
          <w:color w:val="000000"/>
          <w:highlight w:val="none"/>
          <w:lang w:eastAsia="zh-CN"/>
        </w:rPr>
        <w:t>股份有限公司湖北分</w:t>
      </w:r>
      <w:r>
        <w:rPr>
          <w:rFonts w:ascii="仿宋" w:hAnsi="仿宋" w:eastAsia="仿宋"/>
          <w:color w:val="000000"/>
          <w:highlight w:val="none"/>
        </w:rPr>
        <w:t>]公司</w:t>
      </w:r>
    </w:p>
    <w:p w14:paraId="22CBEE15">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地  址：[</w:t>
      </w:r>
      <w:r>
        <w:rPr>
          <w:rFonts w:hint="eastAsia" w:ascii="仿宋" w:hAnsi="仿宋" w:eastAsia="仿宋"/>
          <w:color w:val="000000"/>
          <w:highlight w:val="none"/>
        </w:rPr>
        <w:t>湖北省武汉市江汉区常青路158号</w:t>
      </w:r>
      <w:r>
        <w:rPr>
          <w:rFonts w:ascii="仿宋" w:hAnsi="仿宋" w:eastAsia="仿宋"/>
          <w:color w:val="000000"/>
          <w:highlight w:val="none"/>
        </w:rPr>
        <w:t>]</w:t>
      </w:r>
    </w:p>
    <w:p w14:paraId="7F8E4E6F">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联系人：[  ]</w:t>
      </w:r>
    </w:p>
    <w:p w14:paraId="11B7E39A">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电  话：[  ]</w:t>
      </w:r>
    </w:p>
    <w:p w14:paraId="1C424B9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传  真：[  ]</w:t>
      </w:r>
    </w:p>
    <w:p w14:paraId="2468E44B">
      <w:pPr>
        <w:pStyle w:val="36"/>
        <w:spacing w:line="360" w:lineRule="exact"/>
        <w:ind w:firstLine="960" w:firstLineChars="400"/>
        <w:rPr>
          <w:rFonts w:ascii="仿宋" w:hAnsi="仿宋" w:eastAsia="仿宋"/>
          <w:color w:val="000000"/>
          <w:highlight w:val="none"/>
        </w:rPr>
      </w:pPr>
      <w:r>
        <w:rPr>
          <w:rFonts w:hint="eastAsia" w:ascii="仿宋" w:hAnsi="仿宋" w:eastAsia="仿宋"/>
          <w:color w:val="000000"/>
          <w:highlight w:val="none"/>
        </w:rPr>
        <w:t>邮  编：</w:t>
      </w:r>
      <w:r>
        <w:rPr>
          <w:rFonts w:ascii="仿宋" w:hAnsi="仿宋" w:eastAsia="仿宋"/>
          <w:color w:val="000000"/>
          <w:highlight w:val="none"/>
        </w:rPr>
        <w:t>[  ]</w:t>
      </w:r>
    </w:p>
    <w:p w14:paraId="207D42E6">
      <w:pPr>
        <w:pStyle w:val="36"/>
        <w:spacing w:line="360" w:lineRule="exact"/>
        <w:ind w:firstLine="960" w:firstLineChars="400"/>
        <w:rPr>
          <w:rFonts w:ascii="仿宋" w:hAnsi="仿宋" w:eastAsia="仿宋"/>
          <w:color w:val="000000"/>
          <w:highlight w:val="none"/>
        </w:rPr>
      </w:pPr>
      <w:r>
        <w:rPr>
          <w:rFonts w:hint="eastAsia" w:ascii="仿宋" w:hAnsi="仿宋" w:eastAsia="仿宋"/>
          <w:color w:val="000000"/>
          <w:szCs w:val="24"/>
          <w:highlight w:val="none"/>
        </w:rPr>
        <w:t>电子邮箱</w:t>
      </w:r>
      <w:r>
        <w:rPr>
          <w:rFonts w:hint="eastAsia" w:ascii="仿宋" w:hAnsi="仿宋" w:eastAsia="仿宋"/>
          <w:color w:val="000000"/>
          <w:highlight w:val="none"/>
        </w:rPr>
        <w:t>：</w:t>
      </w:r>
      <w:r>
        <w:rPr>
          <w:rFonts w:ascii="仿宋" w:hAnsi="仿宋" w:eastAsia="仿宋"/>
          <w:color w:val="000000"/>
          <w:highlight w:val="none"/>
        </w:rPr>
        <w:t>[  ]</w:t>
      </w:r>
    </w:p>
    <w:p w14:paraId="2AA168DD">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乙方：</w:t>
      </w:r>
      <w:r>
        <w:rPr>
          <w:rFonts w:ascii="仿宋" w:hAnsi="仿宋" w:eastAsia="仿宋"/>
          <w:color w:val="000000"/>
          <w:highlight w:val="none"/>
        </w:rPr>
        <w:t>[  ]</w:t>
      </w:r>
    </w:p>
    <w:p w14:paraId="577145C0">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地  址：[  ]</w:t>
      </w:r>
    </w:p>
    <w:p w14:paraId="0CBFA814">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联系人：[  ]</w:t>
      </w:r>
    </w:p>
    <w:p w14:paraId="5129350E">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电  话：[  ]</w:t>
      </w:r>
    </w:p>
    <w:p w14:paraId="1B212A0D">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 xml:space="preserve">    传  真：[  ]</w:t>
      </w:r>
    </w:p>
    <w:p w14:paraId="70FD0A54">
      <w:pPr>
        <w:pStyle w:val="36"/>
        <w:spacing w:line="360" w:lineRule="exact"/>
        <w:ind w:firstLineChars="200"/>
        <w:rPr>
          <w:rFonts w:ascii="仿宋" w:hAnsi="仿宋" w:eastAsia="仿宋"/>
          <w:color w:val="000000"/>
          <w:highlight w:val="none"/>
        </w:rPr>
      </w:pPr>
      <w:r>
        <w:rPr>
          <w:rFonts w:ascii="仿宋" w:hAnsi="仿宋" w:eastAsia="仿宋"/>
          <w:color w:val="000000"/>
          <w:highlight w:val="none"/>
        </w:rPr>
        <w:tab/>
      </w:r>
      <w:r>
        <w:rPr>
          <w:rFonts w:ascii="仿宋" w:hAnsi="仿宋" w:eastAsia="仿宋"/>
          <w:color w:val="000000"/>
          <w:highlight w:val="none"/>
        </w:rPr>
        <w:t xml:space="preserve"> 邮  编：[  ]</w:t>
      </w:r>
    </w:p>
    <w:p w14:paraId="48C744FD">
      <w:pPr>
        <w:pStyle w:val="36"/>
        <w:spacing w:line="360" w:lineRule="exact"/>
        <w:ind w:firstLine="960" w:firstLineChars="400"/>
        <w:rPr>
          <w:rFonts w:ascii="仿宋" w:hAnsi="仿宋" w:eastAsia="仿宋"/>
          <w:color w:val="000000"/>
          <w:highlight w:val="none"/>
        </w:rPr>
      </w:pPr>
      <w:r>
        <w:rPr>
          <w:rFonts w:hint="eastAsia" w:ascii="仿宋" w:hAnsi="仿宋" w:eastAsia="仿宋"/>
          <w:color w:val="000000"/>
          <w:szCs w:val="24"/>
          <w:highlight w:val="none"/>
        </w:rPr>
        <w:t>电子邮箱</w:t>
      </w:r>
      <w:r>
        <w:rPr>
          <w:rFonts w:hint="eastAsia" w:ascii="仿宋" w:hAnsi="仿宋" w:eastAsia="仿宋"/>
          <w:color w:val="000000"/>
          <w:highlight w:val="none"/>
        </w:rPr>
        <w:t>：</w:t>
      </w:r>
      <w:r>
        <w:rPr>
          <w:rFonts w:ascii="仿宋" w:hAnsi="仿宋" w:eastAsia="仿宋"/>
          <w:color w:val="000000"/>
          <w:highlight w:val="none"/>
        </w:rPr>
        <w:t>[  ]</w:t>
      </w:r>
    </w:p>
    <w:p w14:paraId="6057531B">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上述任何信息发生变更的，变更方应及时以书面形式通知另一方，未及时通知并影响本合同履行或造成损失的，应承担相应的责任。</w:t>
      </w:r>
    </w:p>
    <w:p w14:paraId="4004BE21">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.7未得到</w:t>
      </w:r>
      <w:r>
        <w:rPr>
          <w:rFonts w:hint="eastAsia" w:ascii="仿宋" w:hAnsi="仿宋" w:eastAsia="仿宋"/>
          <w:color w:val="000000"/>
          <w:highlight w:val="none"/>
        </w:rPr>
        <w:t>甲</w:t>
      </w:r>
      <w:r>
        <w:rPr>
          <w:rFonts w:ascii="仿宋" w:hAnsi="仿宋" w:eastAsia="仿宋"/>
          <w:color w:val="000000"/>
          <w:highlight w:val="none"/>
        </w:rPr>
        <w:t>方的书面许可，</w:t>
      </w:r>
      <w:r>
        <w:rPr>
          <w:rFonts w:hint="eastAsia" w:ascii="仿宋" w:hAnsi="仿宋" w:eastAsia="仿宋"/>
          <w:color w:val="000000"/>
          <w:highlight w:val="none"/>
        </w:rPr>
        <w:t>乙</w:t>
      </w:r>
      <w:r>
        <w:rPr>
          <w:rFonts w:ascii="仿宋" w:hAnsi="仿宋" w:eastAsia="仿宋"/>
          <w:color w:val="000000"/>
          <w:highlight w:val="none"/>
        </w:rPr>
        <w:t>方均不得以广告或在公共场合使用或摹仿对方的商业名称、商标、图案、服务标志、符号、代码、型号或缩写，</w:t>
      </w:r>
      <w:r>
        <w:rPr>
          <w:rFonts w:hint="eastAsia" w:ascii="仿宋" w:hAnsi="仿宋" w:eastAsia="仿宋"/>
          <w:color w:val="000000"/>
          <w:highlight w:val="none"/>
        </w:rPr>
        <w:t>乙</w:t>
      </w:r>
      <w:r>
        <w:rPr>
          <w:rFonts w:ascii="仿宋" w:hAnsi="仿宋" w:eastAsia="仿宋"/>
          <w:color w:val="000000"/>
          <w:highlight w:val="none"/>
        </w:rPr>
        <w:t>方均不得声称对</w:t>
      </w:r>
      <w:r>
        <w:rPr>
          <w:rFonts w:hint="eastAsia" w:ascii="仿宋" w:hAnsi="仿宋" w:eastAsia="仿宋"/>
          <w:color w:val="000000"/>
          <w:highlight w:val="none"/>
        </w:rPr>
        <w:t>甲</w:t>
      </w:r>
      <w:r>
        <w:rPr>
          <w:rFonts w:ascii="仿宋" w:hAnsi="仿宋" w:eastAsia="仿宋"/>
          <w:color w:val="000000"/>
          <w:highlight w:val="none"/>
        </w:rPr>
        <w:t>方的商业名称、商标、图案、服务标志、符号、代码、型号或缩写拥有所有权。</w:t>
      </w:r>
    </w:p>
    <w:p w14:paraId="0A0B07D9">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.8本合同各条标题仅为提示之用，应以条文内容确定各方的权利义务。</w:t>
      </w:r>
    </w:p>
    <w:p w14:paraId="79CC701C">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.9如果本合同的任何条款在任何时候变成不合法、无效或不可强制执行而不从根本上影响本合同的效力时，本合同的其</w:t>
      </w:r>
      <w:r>
        <w:rPr>
          <w:rFonts w:hint="eastAsia" w:ascii="仿宋" w:hAnsi="仿宋" w:eastAsia="仿宋"/>
          <w:color w:val="000000"/>
          <w:highlight w:val="none"/>
        </w:rPr>
        <w:t>他条</w:t>
      </w:r>
      <w:r>
        <w:rPr>
          <w:rFonts w:ascii="仿宋" w:hAnsi="仿宋" w:eastAsia="仿宋"/>
          <w:color w:val="000000"/>
          <w:highlight w:val="none"/>
        </w:rPr>
        <w:t>款不受影响。</w:t>
      </w:r>
    </w:p>
    <w:p w14:paraId="067F9FA9">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.10本合同的任何内容不应被视为或解释为双方之间具有合资、合伙、代理关系。</w:t>
      </w:r>
    </w:p>
    <w:p w14:paraId="25350853">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.11未经甲方书面同意，乙方</w:t>
      </w:r>
      <w:r>
        <w:rPr>
          <w:rFonts w:hint="eastAsia" w:ascii="仿宋" w:hAnsi="仿宋" w:eastAsia="仿宋"/>
          <w:color w:val="000000"/>
          <w:highlight w:val="none"/>
        </w:rPr>
        <w:t>不得向第三方转让全部或部分权利，也不得以包括但不限于保理、质押等形式处分本合同项下的权利</w:t>
      </w:r>
      <w:r>
        <w:rPr>
          <w:rFonts w:ascii="仿宋" w:hAnsi="仿宋" w:eastAsia="仿宋"/>
          <w:color w:val="000000"/>
          <w:highlight w:val="none"/>
        </w:rPr>
        <w:t>。</w:t>
      </w:r>
    </w:p>
    <w:p w14:paraId="1752C254">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15</w:t>
      </w:r>
      <w:r>
        <w:rPr>
          <w:rFonts w:ascii="仿宋" w:hAnsi="仿宋" w:eastAsia="仿宋"/>
          <w:color w:val="000000"/>
          <w:highlight w:val="none"/>
        </w:rPr>
        <w:t xml:space="preserve">.12 </w:t>
      </w:r>
      <w:r>
        <w:rPr>
          <w:rFonts w:hint="eastAsia" w:ascii="仿宋" w:hAnsi="仿宋" w:eastAsia="仿宋" w:cs="仿宋"/>
          <w:highlight w:val="none"/>
        </w:rPr>
        <w:t>乙方保证</w:t>
      </w:r>
      <w:r>
        <w:rPr>
          <w:rFonts w:hint="eastAsia" w:ascii="仿宋" w:hAnsi="仿宋" w:eastAsia="仿宋"/>
          <w:highlight w:val="none"/>
        </w:rPr>
        <w:t>乙方和/或其所代表的制造商（如有）、软件著作权人（如有）、知识产权权利人（如有）</w:t>
      </w:r>
      <w:r>
        <w:rPr>
          <w:rFonts w:hint="eastAsia" w:ascii="仿宋" w:hAnsi="仿宋" w:eastAsia="仿宋" w:cs="仿宋"/>
          <w:highlight w:val="none"/>
        </w:rPr>
        <w:t>等第三方</w:t>
      </w:r>
      <w:r>
        <w:rPr>
          <w:rFonts w:hint="eastAsia" w:ascii="仿宋" w:hAnsi="仿宋" w:eastAsia="仿宋"/>
          <w:highlight w:val="none"/>
        </w:rPr>
        <w:t>接受不时修订的《中国电信供应商不良行为管理规则》（发布于“中国电信阳光采购网”[</w:t>
      </w:r>
      <w:r>
        <w:rPr>
          <w:rFonts w:ascii="仿宋" w:hAnsi="仿宋" w:eastAsia="仿宋"/>
          <w:highlight w:val="none"/>
        </w:rPr>
        <w:t>https://caigou.chinatelecom.com.cn/MSS-PORTAL/account/login.do]</w:t>
      </w:r>
      <w:r>
        <w:rPr>
          <w:rFonts w:hint="eastAsia" w:ascii="仿宋" w:hAnsi="仿宋" w:eastAsia="仿宋"/>
          <w:highlight w:val="none"/>
        </w:rPr>
        <w:t>）的承诺，，甲方有权按照《中国电信供应商不良行为管理规则》，对乙方和/或其代表的制造商（如有）、软件著作权人（如有）、知识产权权利人（如有）</w:t>
      </w:r>
      <w:r>
        <w:rPr>
          <w:rFonts w:hint="eastAsia" w:ascii="仿宋" w:hAnsi="仿宋" w:eastAsia="仿宋" w:cs="仿宋"/>
          <w:highlight w:val="none"/>
        </w:rPr>
        <w:t>等第三方</w:t>
      </w:r>
      <w:r>
        <w:rPr>
          <w:rFonts w:hint="eastAsia" w:ascii="仿宋" w:hAnsi="仿宋" w:eastAsia="仿宋"/>
          <w:highlight w:val="none"/>
        </w:rPr>
        <w:t>进行不良行为管理和处理。</w:t>
      </w:r>
    </w:p>
    <w:p w14:paraId="60BFE5D3">
      <w:pPr>
        <w:spacing w:line="360" w:lineRule="exact"/>
        <w:ind w:firstLine="480" w:firstLineChars="200"/>
        <w:rPr>
          <w:rFonts w:ascii="仿宋" w:hAnsi="仿宋" w:eastAsia="仿宋"/>
          <w:color w:val="000000"/>
          <w:kern w:val="0"/>
          <w:sz w:val="24"/>
          <w:szCs w:val="20"/>
          <w:highlight w:val="none"/>
        </w:rPr>
      </w:pPr>
      <w:r>
        <w:rPr>
          <w:rFonts w:hint="eastAsia" w:ascii="仿宋" w:hAnsi="仿宋" w:eastAsia="仿宋"/>
          <w:color w:val="000000"/>
          <w:kern w:val="0"/>
          <w:sz w:val="24"/>
          <w:highlight w:val="none"/>
        </w:rPr>
        <w:t>15.13</w:t>
      </w:r>
      <w:r>
        <w:rPr>
          <w:rFonts w:hint="eastAsia" w:ascii="仿宋" w:hAnsi="仿宋" w:eastAsia="仿宋"/>
          <w:color w:val="000000"/>
          <w:kern w:val="0"/>
          <w:sz w:val="24"/>
          <w:szCs w:val="20"/>
          <w:highlight w:val="none"/>
        </w:rPr>
        <w:t>双方同意，下述文件</w:t>
      </w:r>
      <w:r>
        <w:rPr>
          <w:rFonts w:hint="eastAsia" w:ascii="仿宋" w:hAnsi="仿宋" w:eastAsia="仿宋"/>
          <w:color w:val="000000"/>
          <w:kern w:val="0"/>
          <w:sz w:val="24"/>
          <w:highlight w:val="none"/>
        </w:rPr>
        <w:t>是本合同不可分割的</w:t>
      </w:r>
      <w:r>
        <w:rPr>
          <w:rFonts w:hint="eastAsia" w:ascii="仿宋" w:hAnsi="仿宋" w:eastAsia="仿宋"/>
          <w:color w:val="000000"/>
          <w:kern w:val="0"/>
          <w:sz w:val="24"/>
          <w:szCs w:val="20"/>
          <w:highlight w:val="none"/>
        </w:rPr>
        <w:t>组成部分，并</w:t>
      </w:r>
      <w:r>
        <w:rPr>
          <w:rFonts w:hint="eastAsia" w:ascii="仿宋" w:hAnsi="仿宋" w:eastAsia="仿宋"/>
          <w:color w:val="000000"/>
          <w:kern w:val="0"/>
          <w:sz w:val="24"/>
          <w:highlight w:val="none"/>
        </w:rPr>
        <w:t>与</w:t>
      </w:r>
      <w:r>
        <w:rPr>
          <w:rFonts w:hint="eastAsia" w:ascii="仿宋" w:hAnsi="仿宋" w:eastAsia="仿宋"/>
          <w:color w:val="000000"/>
          <w:kern w:val="0"/>
          <w:sz w:val="24"/>
          <w:szCs w:val="20"/>
          <w:highlight w:val="none"/>
        </w:rPr>
        <w:t>本</w:t>
      </w:r>
      <w:r>
        <w:rPr>
          <w:rFonts w:hint="eastAsia" w:ascii="仿宋" w:hAnsi="仿宋" w:eastAsia="仿宋"/>
          <w:color w:val="000000"/>
          <w:kern w:val="0"/>
          <w:sz w:val="24"/>
          <w:highlight w:val="none"/>
        </w:rPr>
        <w:t>合同</w:t>
      </w:r>
      <w:r>
        <w:rPr>
          <w:rFonts w:hint="eastAsia" w:ascii="仿宋" w:hAnsi="仿宋" w:eastAsia="仿宋"/>
          <w:color w:val="000000"/>
          <w:kern w:val="0"/>
          <w:sz w:val="24"/>
          <w:szCs w:val="20"/>
          <w:highlight w:val="none"/>
        </w:rPr>
        <w:t>文件一起阅读和解释：</w:t>
      </w:r>
    </w:p>
    <w:p w14:paraId="406E86F5">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1）本合同正文；</w:t>
      </w:r>
    </w:p>
    <w:p w14:paraId="309B5E9F">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w:t>
      </w:r>
      <w:r>
        <w:rPr>
          <w:rFonts w:ascii="仿宋" w:hAnsi="仿宋" w:eastAsia="仿宋"/>
          <w:color w:val="000000"/>
          <w:sz w:val="24"/>
          <w:highlight w:val="none"/>
        </w:rPr>
        <w:t>2）合同附件</w:t>
      </w:r>
      <w:r>
        <w:rPr>
          <w:rFonts w:hint="eastAsia" w:ascii="仿宋" w:hAnsi="仿宋" w:eastAsia="仿宋"/>
          <w:color w:val="000000"/>
          <w:sz w:val="24"/>
          <w:highlight w:val="none"/>
        </w:rPr>
        <w:t>（如有）</w:t>
      </w:r>
      <w:r>
        <w:rPr>
          <w:rFonts w:ascii="仿宋" w:hAnsi="仿宋" w:eastAsia="仿宋"/>
          <w:color w:val="000000"/>
          <w:sz w:val="24"/>
          <w:highlight w:val="none"/>
        </w:rPr>
        <w:t xml:space="preserve">； </w:t>
      </w:r>
    </w:p>
    <w:p w14:paraId="51FFF186">
      <w:pPr>
        <w:spacing w:line="360" w:lineRule="exact"/>
        <w:ind w:firstLine="480" w:firstLineChars="200"/>
        <w:rPr>
          <w:rFonts w:ascii="仿宋" w:hAnsi="仿宋" w:eastAsia="仿宋"/>
          <w:color w:val="000000"/>
          <w:kern w:val="0"/>
          <w:sz w:val="24"/>
          <w:highlight w:val="none"/>
        </w:rPr>
      </w:pPr>
      <w:r>
        <w:rPr>
          <w:rFonts w:hint="eastAsia" w:ascii="仿宋" w:hAnsi="仿宋" w:eastAsia="仿宋"/>
          <w:color w:val="000000"/>
          <w:kern w:val="0"/>
          <w:sz w:val="24"/>
          <w:highlight w:val="none"/>
        </w:rPr>
        <w:t>（</w:t>
      </w:r>
      <w:r>
        <w:rPr>
          <w:rFonts w:ascii="仿宋" w:hAnsi="仿宋" w:eastAsia="仿宋"/>
          <w:color w:val="000000"/>
          <w:kern w:val="0"/>
          <w:sz w:val="24"/>
          <w:highlight w:val="none"/>
        </w:rPr>
        <w:t>3）中标/中选/成交通知书</w:t>
      </w:r>
      <w:r>
        <w:rPr>
          <w:rFonts w:hint="eastAsia" w:ascii="仿宋" w:hAnsi="仿宋" w:eastAsia="仿宋"/>
          <w:color w:val="000000"/>
          <w:sz w:val="24"/>
          <w:highlight w:val="none"/>
        </w:rPr>
        <w:t>（如有）</w:t>
      </w:r>
      <w:r>
        <w:rPr>
          <w:rFonts w:ascii="仿宋" w:hAnsi="仿宋" w:eastAsia="仿宋"/>
          <w:color w:val="000000"/>
          <w:kern w:val="0"/>
          <w:sz w:val="24"/>
          <w:highlight w:val="none"/>
        </w:rPr>
        <w:t xml:space="preserve">； </w:t>
      </w:r>
    </w:p>
    <w:p w14:paraId="694EBE69">
      <w:pPr>
        <w:spacing w:line="360" w:lineRule="exact"/>
        <w:ind w:firstLine="480" w:firstLineChars="200"/>
        <w:rPr>
          <w:rFonts w:ascii="仿宋" w:hAnsi="仿宋" w:eastAsia="仿宋"/>
          <w:color w:val="000000"/>
          <w:kern w:val="0"/>
          <w:sz w:val="24"/>
          <w:highlight w:val="none"/>
        </w:rPr>
      </w:pPr>
      <w:r>
        <w:rPr>
          <w:rFonts w:hint="eastAsia" w:ascii="仿宋" w:hAnsi="仿宋" w:eastAsia="仿宋"/>
          <w:color w:val="000000"/>
          <w:kern w:val="0"/>
          <w:sz w:val="24"/>
          <w:highlight w:val="none"/>
        </w:rPr>
        <w:t>（</w:t>
      </w:r>
      <w:r>
        <w:rPr>
          <w:rFonts w:ascii="仿宋" w:hAnsi="仿宋" w:eastAsia="仿宋"/>
          <w:color w:val="000000"/>
          <w:kern w:val="0"/>
          <w:sz w:val="24"/>
          <w:highlight w:val="none"/>
        </w:rPr>
        <w:t>4）投标文件/参选文件/应答文件</w:t>
      </w:r>
      <w:r>
        <w:rPr>
          <w:rFonts w:hint="eastAsia" w:ascii="仿宋" w:hAnsi="仿宋" w:eastAsia="仿宋"/>
          <w:color w:val="000000"/>
          <w:sz w:val="24"/>
          <w:highlight w:val="none"/>
        </w:rPr>
        <w:t>（如有）</w:t>
      </w:r>
      <w:r>
        <w:rPr>
          <w:rFonts w:ascii="仿宋" w:hAnsi="仿宋" w:eastAsia="仿宋"/>
          <w:color w:val="000000"/>
          <w:kern w:val="0"/>
          <w:sz w:val="24"/>
          <w:highlight w:val="none"/>
        </w:rPr>
        <w:t>；</w:t>
      </w:r>
    </w:p>
    <w:p w14:paraId="022C78B6">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w:t>
      </w:r>
      <w:r>
        <w:rPr>
          <w:rFonts w:ascii="仿宋" w:hAnsi="仿宋" w:eastAsia="仿宋"/>
          <w:color w:val="000000"/>
          <w:highlight w:val="none"/>
        </w:rPr>
        <w:t>5）其</w:t>
      </w:r>
      <w:r>
        <w:rPr>
          <w:rFonts w:hint="eastAsia" w:ascii="仿宋" w:hAnsi="仿宋" w:eastAsia="仿宋"/>
          <w:color w:val="000000"/>
          <w:highlight w:val="none"/>
        </w:rPr>
        <w:t>他明确双方权利义务的合同性文件（如有）。</w:t>
      </w:r>
    </w:p>
    <w:p w14:paraId="1034469E">
      <w:pPr>
        <w:pStyle w:val="36"/>
        <w:spacing w:line="360" w:lineRule="exact"/>
        <w:ind w:firstLineChars="200"/>
        <w:rPr>
          <w:rFonts w:ascii="仿宋" w:hAnsi="仿宋" w:eastAsia="仿宋"/>
          <w:color w:val="000000"/>
          <w:szCs w:val="24"/>
          <w:highlight w:val="none"/>
        </w:rPr>
      </w:pPr>
      <w:r>
        <w:rPr>
          <w:rFonts w:hint="eastAsia" w:ascii="仿宋" w:hAnsi="仿宋" w:eastAsia="仿宋"/>
          <w:color w:val="000000"/>
          <w:highlight w:val="none"/>
        </w:rPr>
        <w:t>上述各文件彼此相互解释、相互补充，如在上述文件之间出现含糊或冲突之处，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olor w:val="000000"/>
          <w:szCs w:val="24"/>
          <w:highlight w:val="none"/>
        </w:rPr>
        <w:t>。</w:t>
      </w:r>
    </w:p>
    <w:p w14:paraId="4947A84B">
      <w:pPr>
        <w:pStyle w:val="36"/>
        <w:spacing w:line="360" w:lineRule="exact"/>
        <w:ind w:firstLineChars="200"/>
        <w:rPr>
          <w:rFonts w:ascii="仿宋" w:hAnsi="仿宋" w:eastAsia="仿宋"/>
          <w:color w:val="000000"/>
          <w:highlight w:val="none"/>
        </w:rPr>
      </w:pPr>
      <w:r>
        <w:rPr>
          <w:rFonts w:hint="eastAsia" w:ascii="仿宋" w:hAnsi="仿宋" w:eastAsia="仿宋"/>
          <w:color w:val="000000"/>
          <w:highlight w:val="none"/>
        </w:rPr>
        <w:t>本合同附件为：</w:t>
      </w:r>
    </w:p>
    <w:p w14:paraId="2E84D38F">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附件一：</w:t>
      </w:r>
      <w:r>
        <w:rPr>
          <w:rFonts w:ascii="仿宋" w:hAnsi="仿宋" w:eastAsia="仿宋"/>
          <w:color w:val="000000"/>
          <w:sz w:val="24"/>
          <w:highlight w:val="none"/>
        </w:rPr>
        <w:t>价格清单</w:t>
      </w:r>
    </w:p>
    <w:p w14:paraId="47259712">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附件二：总体技术要求</w:t>
      </w:r>
    </w:p>
    <w:p w14:paraId="2A707CA5">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附件三：</w:t>
      </w:r>
      <w:r>
        <w:rPr>
          <w:rFonts w:ascii="仿宋" w:hAnsi="仿宋" w:eastAsia="仿宋"/>
          <w:color w:val="000000"/>
          <w:sz w:val="24"/>
          <w:highlight w:val="none"/>
        </w:rPr>
        <w:t>项目进度表</w:t>
      </w:r>
    </w:p>
    <w:p w14:paraId="54E19039">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附件四：</w:t>
      </w:r>
      <w:r>
        <w:rPr>
          <w:rFonts w:ascii="仿宋" w:hAnsi="仿宋" w:eastAsia="仿宋"/>
          <w:color w:val="000000"/>
          <w:sz w:val="24"/>
          <w:highlight w:val="none"/>
        </w:rPr>
        <w:t>技术文件清单</w:t>
      </w:r>
    </w:p>
    <w:p w14:paraId="6999280F">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附件五：</w:t>
      </w:r>
      <w:r>
        <w:rPr>
          <w:rFonts w:ascii="仿宋" w:hAnsi="仿宋" w:eastAsia="仿宋"/>
          <w:color w:val="000000"/>
          <w:sz w:val="24"/>
          <w:highlight w:val="none"/>
        </w:rPr>
        <w:t>软件安装前测试方案、测试计划、初验、终验测试标准</w:t>
      </w:r>
    </w:p>
    <w:p w14:paraId="684BE548">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附件六：</w:t>
      </w:r>
      <w:r>
        <w:rPr>
          <w:rFonts w:ascii="仿宋" w:hAnsi="仿宋" w:eastAsia="仿宋"/>
          <w:color w:val="000000"/>
          <w:sz w:val="24"/>
          <w:highlight w:val="none"/>
        </w:rPr>
        <w:t>乙方承诺</w:t>
      </w:r>
    </w:p>
    <w:p w14:paraId="0D8880FE">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附件七：</w:t>
      </w:r>
      <w:r>
        <w:rPr>
          <w:rFonts w:ascii="仿宋" w:hAnsi="仿宋" w:eastAsia="仿宋"/>
          <w:color w:val="000000"/>
          <w:sz w:val="24"/>
          <w:highlight w:val="none"/>
        </w:rPr>
        <w:t>技术支持及服务</w:t>
      </w:r>
    </w:p>
    <w:p w14:paraId="4AF1EEC5">
      <w:pPr>
        <w:spacing w:line="360" w:lineRule="exact"/>
        <w:ind w:firstLine="480" w:firstLineChars="200"/>
        <w:rPr>
          <w:rFonts w:ascii="仿宋" w:hAnsi="仿宋" w:eastAsia="仿宋"/>
          <w:color w:val="000000"/>
          <w:sz w:val="24"/>
          <w:highlight w:val="none"/>
        </w:rPr>
      </w:pPr>
      <w:r>
        <w:rPr>
          <w:rFonts w:hint="eastAsia" w:ascii="仿宋" w:hAnsi="仿宋" w:eastAsia="仿宋"/>
          <w:color w:val="000000"/>
          <w:sz w:val="24"/>
          <w:highlight w:val="none"/>
        </w:rPr>
        <w:t>附件八：</w:t>
      </w:r>
      <w:r>
        <w:rPr>
          <w:rFonts w:ascii="仿宋" w:hAnsi="仿宋" w:eastAsia="仿宋"/>
          <w:color w:val="000000"/>
          <w:sz w:val="24"/>
          <w:highlight w:val="none"/>
        </w:rPr>
        <w:t>培训方式</w:t>
      </w:r>
      <w:r>
        <w:rPr>
          <w:rFonts w:ascii="仿宋" w:hAnsi="仿宋" w:eastAsia="仿宋"/>
          <w:color w:val="000000"/>
          <w:sz w:val="24"/>
          <w:highlight w:val="none"/>
        </w:rPr>
        <w:tab/>
      </w:r>
    </w:p>
    <w:p w14:paraId="30A32483">
      <w:pPr>
        <w:spacing w:line="360" w:lineRule="exact"/>
        <w:ind w:firstLine="480" w:firstLineChars="200"/>
        <w:rPr>
          <w:rFonts w:hint="default" w:ascii="仿宋" w:hAnsi="仿宋" w:eastAsia="仿宋"/>
          <w:color w:val="000000"/>
          <w:sz w:val="24"/>
          <w:highlight w:val="none"/>
          <w:lang w:val="en-US" w:eastAsia="zh-CN"/>
        </w:rPr>
      </w:pPr>
      <w:r>
        <w:rPr>
          <w:rFonts w:hint="eastAsia" w:ascii="仿宋" w:hAnsi="仿宋" w:eastAsia="仿宋"/>
          <w:color w:val="000000"/>
          <w:sz w:val="24"/>
          <w:highlight w:val="none"/>
          <w:lang w:val="en-US" w:eastAsia="zh-CN"/>
        </w:rPr>
        <w:t>附件九：中国电信湖北分公司 IT 工程项目软件供应商考核评估办法</w:t>
      </w:r>
    </w:p>
    <w:p w14:paraId="56639BA4">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附件</w:t>
      </w:r>
      <w:r>
        <w:rPr>
          <w:rFonts w:hint="eastAsia" w:ascii="仿宋" w:hAnsi="仿宋" w:eastAsia="仿宋"/>
          <w:color w:val="000000"/>
          <w:sz w:val="24"/>
          <w:highlight w:val="none"/>
          <w:lang w:val="en-US" w:eastAsia="zh-CN"/>
        </w:rPr>
        <w:t>十</w:t>
      </w:r>
      <w:r>
        <w:rPr>
          <w:rFonts w:hint="eastAsia" w:ascii="仿宋" w:hAnsi="仿宋" w:eastAsia="仿宋"/>
          <w:color w:val="000000"/>
          <w:sz w:val="24"/>
          <w:highlight w:val="none"/>
        </w:rPr>
        <w:t>：软件许可使用权证书或其他软件许可使用文件</w:t>
      </w:r>
    </w:p>
    <w:p w14:paraId="72065DC2">
      <w:pPr>
        <w:spacing w:line="360" w:lineRule="exact"/>
        <w:ind w:firstLine="480" w:firstLineChars="200"/>
        <w:jc w:val="left"/>
        <w:rPr>
          <w:rFonts w:ascii="仿宋" w:hAnsi="仿宋" w:eastAsia="仿宋"/>
          <w:color w:val="000000"/>
          <w:sz w:val="24"/>
          <w:highlight w:val="none"/>
        </w:rPr>
      </w:pPr>
      <w:r>
        <w:rPr>
          <w:rFonts w:hint="eastAsia" w:ascii="仿宋" w:hAnsi="仿宋" w:eastAsia="仿宋"/>
          <w:color w:val="000000"/>
          <w:sz w:val="24"/>
          <w:highlight w:val="none"/>
        </w:rPr>
        <w:t>附件十</w:t>
      </w:r>
      <w:r>
        <w:rPr>
          <w:rFonts w:hint="eastAsia" w:ascii="仿宋" w:hAnsi="仿宋" w:eastAsia="仿宋"/>
          <w:color w:val="000000"/>
          <w:sz w:val="24"/>
          <w:highlight w:val="none"/>
          <w:lang w:val="en-US" w:eastAsia="zh-CN"/>
        </w:rPr>
        <w:t>一</w:t>
      </w:r>
      <w:r>
        <w:rPr>
          <w:rFonts w:hint="eastAsia" w:ascii="仿宋" w:hAnsi="仿宋" w:eastAsia="仿宋"/>
          <w:color w:val="000000"/>
          <w:sz w:val="24"/>
          <w:highlight w:val="none"/>
        </w:rPr>
        <w:t>：外部组件软件成分信息清单</w:t>
      </w:r>
    </w:p>
    <w:p w14:paraId="4BE23978">
      <w:pPr>
        <w:spacing w:line="360" w:lineRule="exact"/>
        <w:ind w:firstLine="480" w:firstLineChars="200"/>
        <w:jc w:val="left"/>
        <w:rPr>
          <w:rFonts w:ascii="仿宋" w:hAnsi="仿宋" w:eastAsia="仿宋"/>
          <w:sz w:val="24"/>
          <w:highlight w:val="none"/>
        </w:rPr>
      </w:pPr>
      <w:r>
        <w:rPr>
          <w:rFonts w:hint="eastAsia" w:ascii="仿宋" w:hAnsi="仿宋" w:eastAsia="仿宋"/>
          <w:color w:val="000000"/>
          <w:sz w:val="24"/>
          <w:highlight w:val="none"/>
        </w:rPr>
        <w:t>附件十</w:t>
      </w:r>
      <w:r>
        <w:rPr>
          <w:rFonts w:hint="eastAsia" w:ascii="仿宋" w:hAnsi="仿宋" w:eastAsia="仿宋"/>
          <w:color w:val="000000"/>
          <w:sz w:val="24"/>
          <w:highlight w:val="none"/>
          <w:lang w:val="en-US" w:eastAsia="zh-CN"/>
        </w:rPr>
        <w:t>二</w:t>
      </w:r>
      <w:r>
        <w:rPr>
          <w:rFonts w:hint="eastAsia" w:ascii="仿宋" w:hAnsi="仿宋" w:eastAsia="仿宋"/>
          <w:color w:val="000000"/>
          <w:sz w:val="24"/>
          <w:highlight w:val="none"/>
        </w:rPr>
        <w:t>：</w:t>
      </w:r>
      <w:r>
        <w:rPr>
          <w:rFonts w:hint="eastAsia" w:ascii="仿宋" w:hAnsi="仿宋" w:eastAsia="仿宋"/>
          <w:sz w:val="24"/>
          <w:highlight w:val="none"/>
        </w:rPr>
        <w:t>安全生产管理责任书</w:t>
      </w:r>
    </w:p>
    <w:p w14:paraId="4E0D287D">
      <w:pPr>
        <w:spacing w:line="360" w:lineRule="exact"/>
        <w:ind w:firstLine="480" w:firstLineChars="200"/>
        <w:jc w:val="left"/>
        <w:rPr>
          <w:rFonts w:ascii="仿宋" w:hAnsi="仿宋" w:eastAsia="仿宋"/>
          <w:sz w:val="24"/>
          <w:highlight w:val="none"/>
        </w:rPr>
      </w:pPr>
      <w:r>
        <w:rPr>
          <w:rFonts w:hint="eastAsia" w:ascii="仿宋" w:hAnsi="仿宋" w:eastAsia="仿宋"/>
          <w:sz w:val="24"/>
          <w:highlight w:val="none"/>
        </w:rPr>
        <w:t>附件十</w:t>
      </w:r>
      <w:r>
        <w:rPr>
          <w:rFonts w:hint="eastAsia" w:ascii="仿宋" w:hAnsi="仿宋" w:eastAsia="仿宋"/>
          <w:sz w:val="24"/>
          <w:highlight w:val="none"/>
          <w:lang w:val="en-US" w:eastAsia="zh-CN"/>
        </w:rPr>
        <w:t>三</w:t>
      </w:r>
      <w:r>
        <w:rPr>
          <w:rFonts w:hint="eastAsia" w:ascii="仿宋" w:hAnsi="仿宋" w:eastAsia="仿宋"/>
          <w:sz w:val="24"/>
          <w:highlight w:val="none"/>
        </w:rPr>
        <w:t>：网络及信息安全承诺书</w:t>
      </w:r>
    </w:p>
    <w:p w14:paraId="06285A4E">
      <w:pPr>
        <w:spacing w:line="360" w:lineRule="exact"/>
        <w:ind w:firstLine="480" w:firstLineChars="200"/>
        <w:jc w:val="left"/>
        <w:rPr>
          <w:rFonts w:hint="eastAsia" w:ascii="仿宋" w:hAnsi="仿宋" w:eastAsia="仿宋"/>
          <w:sz w:val="24"/>
          <w:highlight w:val="none"/>
        </w:rPr>
      </w:pPr>
      <w:r>
        <w:rPr>
          <w:rFonts w:hint="eastAsia" w:ascii="仿宋" w:hAnsi="仿宋" w:eastAsia="仿宋"/>
          <w:sz w:val="24"/>
          <w:highlight w:val="none"/>
        </w:rPr>
        <w:t>附件十</w:t>
      </w:r>
      <w:r>
        <w:rPr>
          <w:rFonts w:hint="eastAsia" w:ascii="仿宋" w:hAnsi="仿宋" w:eastAsia="仿宋"/>
          <w:sz w:val="24"/>
          <w:highlight w:val="none"/>
          <w:lang w:val="en-US" w:eastAsia="zh-CN"/>
        </w:rPr>
        <w:t>四</w:t>
      </w:r>
      <w:r>
        <w:rPr>
          <w:rFonts w:hint="eastAsia" w:ascii="仿宋" w:hAnsi="仿宋" w:eastAsia="仿宋"/>
          <w:sz w:val="24"/>
          <w:highlight w:val="none"/>
        </w:rPr>
        <w:t>：廉洁协议</w:t>
      </w:r>
    </w:p>
    <w:p w14:paraId="479FFB95">
      <w:pPr>
        <w:spacing w:line="360" w:lineRule="exact"/>
        <w:ind w:firstLine="480" w:firstLineChars="200"/>
        <w:jc w:val="left"/>
        <w:rPr>
          <w:rFonts w:hint="default" w:ascii="仿宋" w:hAnsi="仿宋" w:eastAsia="仿宋"/>
          <w:sz w:val="24"/>
          <w:highlight w:val="none"/>
          <w:lang w:val="en-US" w:eastAsia="zh-CN"/>
        </w:rPr>
      </w:pPr>
      <w:r>
        <w:rPr>
          <w:rFonts w:hint="eastAsia" w:ascii="仿宋" w:hAnsi="仿宋" w:eastAsia="仿宋"/>
          <w:sz w:val="24"/>
          <w:highlight w:val="none"/>
          <w:lang w:val="en-US" w:eastAsia="zh-CN"/>
        </w:rPr>
        <w:t>附件十五：第三方数据安全协议</w:t>
      </w:r>
    </w:p>
    <w:p w14:paraId="16C80E9D">
      <w:pPr>
        <w:spacing w:line="360" w:lineRule="exact"/>
        <w:rPr>
          <w:rFonts w:ascii="仿宋" w:hAnsi="仿宋" w:eastAsia="仿宋"/>
          <w:color w:val="000000"/>
          <w:sz w:val="24"/>
          <w:highlight w:val="none"/>
        </w:rPr>
      </w:pPr>
    </w:p>
    <w:p w14:paraId="61F3E369">
      <w:pPr>
        <w:spacing w:line="360" w:lineRule="exact"/>
        <w:jc w:val="center"/>
        <w:rPr>
          <w:rFonts w:ascii="仿宋" w:hAnsi="仿宋" w:eastAsia="仿宋"/>
          <w:b/>
          <w:color w:val="000000"/>
          <w:sz w:val="24"/>
          <w:highlight w:val="none"/>
        </w:rPr>
      </w:pPr>
      <w:r>
        <w:rPr>
          <w:rFonts w:hint="eastAsia" w:ascii="仿宋" w:hAnsi="仿宋" w:eastAsia="仿宋"/>
          <w:b/>
          <w:color w:val="000000"/>
          <w:sz w:val="24"/>
          <w:highlight w:val="none"/>
        </w:rPr>
        <w:t>补充附页</w:t>
      </w:r>
    </w:p>
    <w:p w14:paraId="3BB12ABD">
      <w:pPr>
        <w:spacing w:line="360" w:lineRule="exact"/>
        <w:ind w:firstLine="538"/>
        <w:jc w:val="left"/>
        <w:rPr>
          <w:rFonts w:ascii="仿宋" w:hAnsi="仿宋" w:eastAsia="仿宋"/>
          <w:sz w:val="24"/>
          <w:highlight w:val="none"/>
        </w:rPr>
      </w:pPr>
      <w:r>
        <w:rPr>
          <w:rFonts w:hint="eastAsia" w:ascii="仿宋" w:hAnsi="仿宋" w:eastAsia="仿宋"/>
          <w:color w:val="000000"/>
          <w:sz w:val="24"/>
          <w:highlight w:val="none"/>
        </w:rPr>
        <w:t>经友好协商，对本合同条款补充、修改如下，本补充附页为合同正文的一部分，与合同正文冲突时，以本补充附页为准：</w:t>
      </w:r>
      <w:r>
        <w:rPr>
          <w:rFonts w:ascii="仿宋" w:hAnsi="仿宋" w:eastAsia="仿宋"/>
          <w:color w:val="000000"/>
          <w:sz w:val="24"/>
          <w:highlight w:val="none"/>
        </w:rPr>
        <w:t>[</w:t>
      </w:r>
      <w:r>
        <w:rPr>
          <w:rFonts w:hint="eastAsia" w:ascii="仿宋" w:hAnsi="仿宋" w:eastAsia="仿宋"/>
          <w:sz w:val="24"/>
          <w:highlight w:val="none"/>
        </w:rPr>
        <w:t>1.根据本合同由乙方开发的软件著作权归甲方所有，乙方保证该等软件符合《计算机保护条例》和《计算机软件著作权登记办法》规定，能够依法进行计算机软件著作权登记。</w:t>
      </w:r>
    </w:p>
    <w:p w14:paraId="1658140F">
      <w:pPr>
        <w:spacing w:line="360" w:lineRule="exact"/>
        <w:ind w:firstLine="538"/>
        <w:jc w:val="left"/>
        <w:rPr>
          <w:rFonts w:hint="eastAsia" w:ascii="仿宋" w:hAnsi="仿宋" w:eastAsia="仿宋"/>
          <w:sz w:val="24"/>
          <w:highlight w:val="none"/>
        </w:rPr>
      </w:pPr>
      <w:r>
        <w:rPr>
          <w:rFonts w:hint="eastAsia" w:ascii="仿宋" w:hAnsi="仿宋" w:eastAsia="仿宋"/>
          <w:sz w:val="24"/>
          <w:highlight w:val="none"/>
        </w:rPr>
        <w:t>2.乙方应负责完成本合同约定的软件著作权登记工作，著作权人登记为“</w:t>
      </w:r>
      <w:r>
        <w:rPr>
          <w:rFonts w:hint="eastAsia" w:ascii="仿宋" w:hAnsi="仿宋" w:eastAsia="仿宋"/>
          <w:sz w:val="24"/>
          <w:highlight w:val="none"/>
          <w:lang w:eastAsia="zh-CN"/>
        </w:rPr>
        <w:t>中国电信股份有限公司湖北分公司</w:t>
      </w:r>
      <w:r>
        <w:rPr>
          <w:rFonts w:hint="eastAsia" w:ascii="仿宋" w:hAnsi="仿宋" w:eastAsia="仿宋"/>
          <w:sz w:val="24"/>
          <w:highlight w:val="none"/>
        </w:rPr>
        <w:t>”。该软件著作权登记工作可以由乙方自行完成，也可以委托给甲方指定的代理机构完成，费用由乙方承担。</w:t>
      </w:r>
    </w:p>
    <w:p w14:paraId="7070ACD7">
      <w:pPr>
        <w:spacing w:line="360" w:lineRule="exact"/>
        <w:ind w:firstLine="538"/>
        <w:jc w:val="left"/>
        <w:rPr>
          <w:rFonts w:hint="eastAsia" w:ascii="仿宋" w:hAnsi="仿宋" w:eastAsia="仿宋"/>
          <w:sz w:val="24"/>
          <w:highlight w:val="none"/>
        </w:rPr>
      </w:pPr>
      <w:r>
        <w:rPr>
          <w:rFonts w:hint="eastAsia" w:ascii="仿宋" w:hAnsi="仿宋" w:eastAsia="仿宋"/>
          <w:sz w:val="24"/>
          <w:highlight w:val="none"/>
        </w:rPr>
        <w:t>3.甲方有义务按照计算机软件著作权登记主管部门的要求向乙方（含代理机构）提供计算机软件著作权登记所需要的资料。</w:t>
      </w:r>
    </w:p>
    <w:p w14:paraId="751214DF">
      <w:pPr>
        <w:spacing w:line="360" w:lineRule="exact"/>
        <w:ind w:firstLine="538"/>
        <w:jc w:val="left"/>
        <w:rPr>
          <w:rFonts w:hint="eastAsia" w:ascii="仿宋" w:hAnsi="仿宋" w:eastAsia="仿宋"/>
          <w:sz w:val="24"/>
          <w:highlight w:val="none"/>
        </w:rPr>
      </w:pPr>
      <w:r>
        <w:rPr>
          <w:rFonts w:hint="eastAsia" w:ascii="仿宋" w:hAnsi="仿宋" w:eastAsia="仿宋"/>
          <w:sz w:val="24"/>
          <w:highlight w:val="none"/>
        </w:rPr>
        <w:t>4. 本合同第三条约定的“合同总价”已经包含了乙方完成计算机软件著作权登记可能产生的登记费、代理费等。</w:t>
      </w:r>
    </w:p>
    <w:p w14:paraId="46D75C60">
      <w:pPr>
        <w:spacing w:line="360" w:lineRule="exact"/>
        <w:ind w:firstLine="538"/>
        <w:jc w:val="left"/>
        <w:rPr>
          <w:rFonts w:hint="eastAsia" w:ascii="仿宋" w:hAnsi="仿宋" w:eastAsia="仿宋"/>
          <w:sz w:val="24"/>
          <w:highlight w:val="none"/>
        </w:rPr>
      </w:pPr>
      <w:r>
        <w:rPr>
          <w:rFonts w:hint="eastAsia" w:ascii="仿宋" w:hAnsi="仿宋" w:eastAsia="仿宋"/>
          <w:sz w:val="24"/>
          <w:highlight w:val="none"/>
        </w:rPr>
        <w:t>5.非甲方原因，乙方如未能完成本合同约定的软件著作权登记工作并向甲方移交计算机软件著作权登记证书的，视为乙方根本违约，乙方应退还甲方所有合同款并承担甲方由此造成的损失。</w:t>
      </w:r>
    </w:p>
    <w:p w14:paraId="6D41C41A">
      <w:pPr>
        <w:shd w:val="clear"/>
        <w:spacing w:line="360" w:lineRule="exact"/>
        <w:ind w:firstLine="480" w:firstLineChars="200"/>
        <w:rPr>
          <w:rFonts w:hint="eastAsia" w:ascii="仿宋" w:hAnsi="仿宋" w:eastAsia="仿宋"/>
          <w:sz w:val="24"/>
          <w:highlight w:val="none"/>
        </w:rPr>
      </w:pPr>
      <w:r>
        <w:rPr>
          <w:rFonts w:hint="eastAsia" w:ascii="仿宋" w:hAnsi="仿宋" w:eastAsia="仿宋"/>
          <w:sz w:val="24"/>
          <w:highlight w:val="none"/>
        </w:rPr>
        <w:t>6.本合同未经甲方书面同意，乙方不得将本合同项下对甲方的债权转让给第三方或向第三方质押；乙方擅自转让或质押本合同项下债权的，应向甲方承担违约责任并按照合同总费用的[ 5 ]%向甲方支付违约金。</w:t>
      </w:r>
    </w:p>
    <w:p w14:paraId="0B5C53EB">
      <w:pPr>
        <w:shd w:val="clear"/>
        <w:spacing w:line="360" w:lineRule="exact"/>
        <w:ind w:firstLine="480" w:firstLineChars="200"/>
        <w:rPr>
          <w:rFonts w:hint="eastAsia" w:ascii="仿宋" w:hAnsi="仿宋" w:eastAsia="仿宋"/>
          <w:sz w:val="24"/>
          <w:highlight w:val="none"/>
        </w:rPr>
      </w:pPr>
      <w:r>
        <w:rPr>
          <w:rFonts w:hint="eastAsia" w:ascii="仿宋" w:hAnsi="仿宋" w:eastAsia="仿宋"/>
          <w:sz w:val="24"/>
          <w:highlight w:val="none"/>
        </w:rPr>
        <w:t>7.本合同条款 6.10 修订如下：保修期届满后乙方继续提供服务的价格和方式由双方另行协商确定。</w:t>
      </w:r>
    </w:p>
    <w:p w14:paraId="3994164D">
      <w:pPr>
        <w:shd w:val="clear"/>
        <w:spacing w:line="360" w:lineRule="exact"/>
        <w:ind w:firstLine="480" w:firstLineChars="200"/>
        <w:rPr>
          <w:rFonts w:hint="eastAsia" w:ascii="仿宋" w:hAnsi="仿宋" w:eastAsia="仿宋"/>
          <w:sz w:val="24"/>
          <w:highlight w:val="none"/>
        </w:rPr>
      </w:pPr>
      <w:r>
        <w:rPr>
          <w:rFonts w:hint="eastAsia" w:ascii="仿宋" w:hAnsi="仿宋" w:eastAsia="仿宋"/>
          <w:sz w:val="24"/>
          <w:highlight w:val="none"/>
        </w:rPr>
        <w:t>8.本项目是指</w:t>
      </w:r>
      <w:r>
        <w:rPr>
          <w:rFonts w:hint="eastAsia" w:ascii="仿宋" w:hAnsi="仿宋" w:eastAsia="仿宋"/>
          <w:sz w:val="24"/>
          <w:highlight w:val="none"/>
          <w:lang w:eastAsia="zh-CN"/>
        </w:rPr>
        <w:t>2024年中国电信湖北公司采控中心技术研发项目（第二次）</w:t>
      </w:r>
      <w:r>
        <w:rPr>
          <w:rFonts w:hint="eastAsia" w:ascii="仿宋" w:hAnsi="仿宋" w:eastAsia="仿宋"/>
          <w:sz w:val="24"/>
          <w:highlight w:val="none"/>
        </w:rPr>
        <w:t>。</w:t>
      </w:r>
    </w:p>
    <w:p w14:paraId="54F4961B">
      <w:pPr>
        <w:shd w:val="clear"/>
        <w:spacing w:line="360" w:lineRule="exact"/>
        <w:ind w:firstLine="480" w:firstLineChars="200"/>
        <w:rPr>
          <w:rFonts w:hint="eastAsia" w:ascii="仿宋" w:hAnsi="仿宋" w:eastAsia="仿宋"/>
          <w:sz w:val="24"/>
          <w:highlight w:val="none"/>
        </w:rPr>
      </w:pPr>
      <w:r>
        <w:rPr>
          <w:rFonts w:hint="eastAsia" w:ascii="仿宋" w:hAnsi="仿宋" w:eastAsia="仿宋"/>
          <w:sz w:val="24"/>
          <w:highlight w:val="none"/>
        </w:rPr>
        <w:t>9.乙方如要终止对本项目的服务，应在维保（或免维）到期前12个月书面通知甲方，并在征得甲方书面同意之后，按照甲方的要求做好系统的维护培训、文档交接等工作。</w:t>
      </w:r>
    </w:p>
    <w:p w14:paraId="43352D0D">
      <w:pPr>
        <w:shd w:val="clear"/>
        <w:spacing w:line="360" w:lineRule="exact"/>
        <w:ind w:firstLine="480" w:firstLineChars="200"/>
        <w:rPr>
          <w:rFonts w:hint="eastAsia" w:ascii="仿宋" w:hAnsi="仿宋" w:eastAsia="仿宋"/>
          <w:sz w:val="24"/>
          <w:highlight w:val="none"/>
        </w:rPr>
      </w:pPr>
      <w:r>
        <w:rPr>
          <w:rFonts w:hint="eastAsia" w:ascii="仿宋" w:hAnsi="仿宋" w:eastAsia="仿宋"/>
          <w:sz w:val="24"/>
          <w:highlight w:val="none"/>
        </w:rPr>
        <w:t>10.如乙方在未征得甲方书面同意的情况下单方面退出本项目的后续服务，或未配合甲方做好维护交接工作，给甲方造成损失的，或导致本项目无法正常运转，需支付甲乙双方近三年就本项目签订的合同总金额的50%给甲方，以弥补甲方的损失。</w:t>
      </w:r>
    </w:p>
    <w:p w14:paraId="3E72BA90">
      <w:pPr>
        <w:shd w:val="clear"/>
        <w:spacing w:line="360" w:lineRule="exact"/>
        <w:ind w:firstLine="480" w:firstLineChars="200"/>
        <w:rPr>
          <w:rFonts w:ascii="仿宋" w:hAnsi="仿宋" w:eastAsia="仿宋"/>
          <w:color w:val="000000"/>
          <w:sz w:val="24"/>
          <w:highlight w:val="none"/>
        </w:rPr>
      </w:pPr>
      <w:r>
        <w:rPr>
          <w:rFonts w:hint="eastAsia" w:ascii="仿宋" w:hAnsi="仿宋" w:eastAsia="仿宋"/>
          <w:sz w:val="24"/>
          <w:highlight w:val="none"/>
        </w:rPr>
        <w:t>11.乙方需提供具有权威机构提供的代码安全性审计报告或由电信出具的代码安全审计报告</w:t>
      </w:r>
      <w:r>
        <w:rPr>
          <w:rFonts w:ascii="仿宋" w:hAnsi="仿宋" w:eastAsia="仿宋"/>
          <w:color w:val="000000"/>
          <w:sz w:val="24"/>
          <w:highlight w:val="none"/>
        </w:rPr>
        <w:t>]</w:t>
      </w:r>
    </w:p>
    <w:p w14:paraId="39D6D566">
      <w:pPr>
        <w:spacing w:line="360" w:lineRule="exact"/>
        <w:rPr>
          <w:rFonts w:ascii="仿宋" w:hAnsi="仿宋" w:eastAsia="仿宋"/>
          <w:color w:val="000000"/>
          <w:sz w:val="24"/>
          <w:highlight w:val="none"/>
        </w:rPr>
      </w:pPr>
      <w:r>
        <w:rPr>
          <w:rFonts w:ascii="仿宋" w:hAnsi="仿宋" w:eastAsia="仿宋"/>
          <w:sz w:val="24"/>
          <w:highlight w:val="none"/>
        </w:rPr>
        <w:br w:type="page"/>
      </w:r>
      <w:r>
        <w:rPr>
          <w:rFonts w:hint="eastAsia" w:ascii="仿宋" w:hAnsi="仿宋" w:eastAsia="仿宋"/>
          <w:color w:val="000000"/>
          <w:sz w:val="24"/>
          <w:highlight w:val="none"/>
        </w:rPr>
        <w:t>甲方：中国电信</w:t>
      </w:r>
      <w:r>
        <w:rPr>
          <w:rFonts w:ascii="仿宋" w:hAnsi="仿宋" w:eastAsia="仿宋"/>
          <w:color w:val="000000"/>
          <w:sz w:val="24"/>
          <w:highlight w:val="none"/>
        </w:rPr>
        <w:t>[</w:t>
      </w:r>
      <w:r>
        <w:rPr>
          <w:rFonts w:hint="eastAsia" w:ascii="仿宋" w:hAnsi="仿宋" w:eastAsia="仿宋"/>
          <w:color w:val="000000"/>
          <w:sz w:val="24"/>
          <w:highlight w:val="none"/>
          <w:lang w:eastAsia="zh-CN"/>
        </w:rPr>
        <w:t>股份有限公司湖北分</w:t>
      </w:r>
      <w:r>
        <w:rPr>
          <w:rFonts w:ascii="仿宋" w:hAnsi="仿宋" w:eastAsia="仿宋"/>
          <w:color w:val="000000"/>
          <w:sz w:val="24"/>
          <w:highlight w:val="none"/>
        </w:rPr>
        <w:t>]公司</w:t>
      </w:r>
    </w:p>
    <w:p w14:paraId="344E17FC">
      <w:pPr>
        <w:spacing w:line="360" w:lineRule="exact"/>
        <w:rPr>
          <w:rFonts w:ascii="仿宋" w:hAnsi="仿宋" w:eastAsia="仿宋"/>
          <w:color w:val="000000"/>
          <w:sz w:val="24"/>
          <w:highlight w:val="none"/>
        </w:rPr>
      </w:pPr>
      <w:r>
        <w:rPr>
          <w:rFonts w:hint="eastAsia" w:ascii="仿宋" w:hAnsi="仿宋" w:eastAsia="仿宋"/>
          <w:color w:val="000000"/>
          <w:sz w:val="24"/>
          <w:highlight w:val="none"/>
        </w:rPr>
        <w:t>法定代表人</w:t>
      </w:r>
      <w:r>
        <w:rPr>
          <w:rFonts w:ascii="仿宋" w:hAnsi="仿宋" w:eastAsia="仿宋"/>
          <w:color w:val="000000"/>
          <w:sz w:val="24"/>
          <w:highlight w:val="none"/>
        </w:rPr>
        <w:t>/负责人</w:t>
      </w:r>
    </w:p>
    <w:p w14:paraId="33BAE2BD">
      <w:pPr>
        <w:spacing w:line="360" w:lineRule="exact"/>
        <w:rPr>
          <w:rFonts w:ascii="仿宋" w:hAnsi="仿宋" w:eastAsia="仿宋"/>
          <w:color w:val="000000"/>
          <w:sz w:val="24"/>
          <w:highlight w:val="none"/>
        </w:rPr>
      </w:pPr>
      <w:r>
        <w:rPr>
          <w:rFonts w:hint="eastAsia" w:ascii="仿宋" w:hAnsi="仿宋" w:eastAsia="仿宋"/>
          <w:color w:val="000000"/>
          <w:sz w:val="24"/>
          <w:highlight w:val="none"/>
        </w:rPr>
        <w:t>或授权代表：</w:t>
      </w:r>
    </w:p>
    <w:p w14:paraId="13BE04E2">
      <w:pPr>
        <w:spacing w:line="360" w:lineRule="exact"/>
        <w:rPr>
          <w:rFonts w:ascii="仿宋" w:hAnsi="仿宋" w:eastAsia="仿宋"/>
          <w:color w:val="000000"/>
          <w:sz w:val="24"/>
          <w:highlight w:val="none"/>
        </w:rPr>
      </w:pPr>
    </w:p>
    <w:p w14:paraId="75FDA0DC">
      <w:pPr>
        <w:spacing w:line="360" w:lineRule="exact"/>
        <w:rPr>
          <w:rFonts w:ascii="仿宋" w:hAnsi="仿宋" w:eastAsia="仿宋"/>
          <w:color w:val="000000"/>
          <w:sz w:val="24"/>
          <w:highlight w:val="none"/>
        </w:rPr>
      </w:pPr>
    </w:p>
    <w:p w14:paraId="7F5B0828">
      <w:pPr>
        <w:spacing w:line="360" w:lineRule="exact"/>
        <w:rPr>
          <w:rFonts w:ascii="仿宋" w:hAnsi="仿宋" w:eastAsia="仿宋"/>
          <w:color w:val="000000"/>
          <w:sz w:val="24"/>
          <w:highlight w:val="none"/>
        </w:rPr>
      </w:pPr>
    </w:p>
    <w:p w14:paraId="59CEC2A1">
      <w:pPr>
        <w:spacing w:line="360" w:lineRule="exact"/>
        <w:rPr>
          <w:rFonts w:ascii="仿宋" w:hAnsi="仿宋" w:eastAsia="仿宋"/>
          <w:color w:val="000000"/>
          <w:sz w:val="24"/>
          <w:highlight w:val="none"/>
        </w:rPr>
      </w:pPr>
      <w:r>
        <w:rPr>
          <w:rFonts w:hint="eastAsia" w:ascii="仿宋" w:hAnsi="仿宋" w:eastAsia="仿宋"/>
          <w:color w:val="000000"/>
          <w:sz w:val="24"/>
          <w:highlight w:val="none"/>
        </w:rPr>
        <w:t>乙方：</w:t>
      </w:r>
      <w:r>
        <w:rPr>
          <w:rFonts w:ascii="仿宋" w:hAnsi="仿宋" w:eastAsia="仿宋"/>
          <w:color w:val="000000"/>
          <w:sz w:val="24"/>
          <w:highlight w:val="none"/>
        </w:rPr>
        <w:t xml:space="preserve">[  ]         </w:t>
      </w:r>
    </w:p>
    <w:p w14:paraId="3948E153">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法定代表人</w:t>
      </w:r>
      <w:r>
        <w:rPr>
          <w:rFonts w:ascii="仿宋" w:hAnsi="仿宋" w:eastAsia="仿宋"/>
          <w:color w:val="000000"/>
          <w:sz w:val="24"/>
          <w:highlight w:val="none"/>
        </w:rPr>
        <w:t>/负责人</w:t>
      </w:r>
    </w:p>
    <w:p w14:paraId="17B92875">
      <w:pPr>
        <w:widowControl/>
        <w:autoSpaceDE w:val="0"/>
        <w:autoSpaceDN w:val="0"/>
        <w:spacing w:line="360" w:lineRule="exact"/>
        <w:textAlignment w:val="bottom"/>
        <w:rPr>
          <w:rFonts w:ascii="仿宋" w:hAnsi="仿宋" w:eastAsia="仿宋"/>
          <w:color w:val="000000"/>
          <w:sz w:val="24"/>
          <w:highlight w:val="none"/>
        </w:rPr>
      </w:pPr>
      <w:r>
        <w:rPr>
          <w:rFonts w:hint="eastAsia" w:ascii="仿宋" w:hAnsi="仿宋" w:eastAsia="仿宋"/>
          <w:color w:val="000000"/>
          <w:sz w:val="24"/>
          <w:highlight w:val="none"/>
        </w:rPr>
        <w:t>或授权代表：</w:t>
      </w:r>
    </w:p>
    <w:p w14:paraId="731FFA6C">
      <w:pPr>
        <w:widowControl/>
        <w:autoSpaceDE w:val="0"/>
        <w:autoSpaceDN w:val="0"/>
        <w:spacing w:line="360" w:lineRule="exact"/>
        <w:textAlignment w:val="bottom"/>
        <w:rPr>
          <w:rFonts w:ascii="仿宋" w:hAnsi="仿宋" w:eastAsia="仿宋"/>
          <w:color w:val="000000"/>
          <w:sz w:val="24"/>
          <w:highlight w:val="none"/>
        </w:rPr>
      </w:pPr>
    </w:p>
    <w:p w14:paraId="5E898F76">
      <w:pPr>
        <w:spacing w:line="360" w:lineRule="exact"/>
        <w:rPr>
          <w:rFonts w:ascii="仿宋" w:hAnsi="仿宋" w:eastAsia="仿宋"/>
          <w:color w:val="000000"/>
          <w:sz w:val="24"/>
          <w:highlight w:val="none"/>
        </w:rPr>
      </w:pPr>
      <w:r>
        <w:rPr>
          <w:rFonts w:hint="eastAsia" w:ascii="仿宋" w:hAnsi="仿宋" w:eastAsia="仿宋"/>
          <w:color w:val="000000"/>
          <w:kern w:val="0"/>
          <w:sz w:val="24"/>
          <w:highlight w:val="none"/>
        </w:rPr>
        <w:t>签署日期：</w:t>
      </w:r>
      <w:r>
        <w:rPr>
          <w:rFonts w:ascii="仿宋" w:hAnsi="仿宋" w:eastAsia="仿宋"/>
          <w:color w:val="000000"/>
          <w:kern w:val="0"/>
          <w:sz w:val="24"/>
          <w:highlight w:val="none"/>
        </w:rPr>
        <w:t>[  ]</w:t>
      </w:r>
      <w:r>
        <w:rPr>
          <w:rFonts w:hint="eastAsia" w:ascii="仿宋" w:hAnsi="仿宋" w:eastAsia="仿宋"/>
          <w:color w:val="000000"/>
          <w:sz w:val="24"/>
          <w:highlight w:val="none"/>
        </w:rPr>
        <w:t>年</w:t>
      </w:r>
      <w:r>
        <w:rPr>
          <w:rFonts w:ascii="仿宋" w:hAnsi="仿宋" w:eastAsia="仿宋"/>
          <w:color w:val="000000"/>
          <w:kern w:val="0"/>
          <w:sz w:val="24"/>
          <w:highlight w:val="none"/>
        </w:rPr>
        <w:t>[  ]</w:t>
      </w:r>
      <w:r>
        <w:rPr>
          <w:rFonts w:hint="eastAsia" w:ascii="仿宋" w:hAnsi="仿宋" w:eastAsia="仿宋"/>
          <w:color w:val="000000"/>
          <w:sz w:val="24"/>
          <w:highlight w:val="none"/>
        </w:rPr>
        <w:t>月</w:t>
      </w:r>
      <w:r>
        <w:rPr>
          <w:rFonts w:ascii="仿宋" w:hAnsi="仿宋" w:eastAsia="仿宋"/>
          <w:color w:val="000000"/>
          <w:kern w:val="0"/>
          <w:sz w:val="24"/>
          <w:highlight w:val="none"/>
        </w:rPr>
        <w:t>[  ]</w:t>
      </w:r>
      <w:r>
        <w:rPr>
          <w:rFonts w:hint="eastAsia" w:ascii="仿宋" w:hAnsi="仿宋" w:eastAsia="仿宋"/>
          <w:color w:val="000000"/>
          <w:sz w:val="24"/>
          <w:highlight w:val="none"/>
        </w:rPr>
        <w:t>日</w:t>
      </w:r>
    </w:p>
    <w:p w14:paraId="66976B71">
      <w:pPr>
        <w:tabs>
          <w:tab w:val="left" w:pos="588"/>
        </w:tabs>
        <w:snapToGrid w:val="0"/>
        <w:spacing w:before="120" w:after="120" w:line="440" w:lineRule="exact"/>
        <w:jc w:val="left"/>
        <w:outlineLvl w:val="2"/>
        <w:rPr>
          <w:rFonts w:ascii="宋体" w:hAnsi="宋体"/>
          <w:b/>
          <w:bCs/>
          <w:sz w:val="24"/>
        </w:rPr>
      </w:pPr>
      <w:r>
        <w:rPr>
          <w:rFonts w:ascii="仿宋" w:hAnsi="仿宋" w:eastAsia="仿宋"/>
          <w:color w:val="000000"/>
          <w:sz w:val="24"/>
          <w:highlight w:val="none"/>
        </w:rPr>
        <w:br w:type="page"/>
      </w:r>
      <w:bookmarkStart w:id="631" w:name="_Toc1607"/>
      <w:bookmarkStart w:id="632" w:name="_Toc16367"/>
      <w:bookmarkStart w:id="633" w:name="_Toc18474"/>
      <w:r>
        <w:rPr>
          <w:rFonts w:hint="eastAsia" w:ascii="宋体" w:hAnsi="宋体"/>
          <w:b/>
          <w:bCs/>
          <w:sz w:val="24"/>
        </w:rPr>
        <w:t>附件一：价格清单</w:t>
      </w:r>
      <w:bookmarkEnd w:id="631"/>
      <w:bookmarkEnd w:id="632"/>
      <w:bookmarkEnd w:id="633"/>
    </w:p>
    <w:p w14:paraId="501C2547">
      <w:pPr>
        <w:tabs>
          <w:tab w:val="left" w:pos="588"/>
        </w:tabs>
        <w:snapToGrid w:val="0"/>
        <w:spacing w:before="120" w:after="120" w:line="440" w:lineRule="exact"/>
        <w:jc w:val="left"/>
        <w:outlineLvl w:val="2"/>
        <w:rPr>
          <w:rFonts w:hint="eastAsia" w:ascii="宋体" w:hAnsi="宋体" w:eastAsia="宋体" w:cs="Times New Roman"/>
          <w:b/>
          <w:bCs/>
          <w:sz w:val="24"/>
        </w:rPr>
      </w:pPr>
      <w:bookmarkStart w:id="634" w:name="_Toc31112"/>
      <w:bookmarkStart w:id="635" w:name="_Toc6480"/>
      <w:bookmarkStart w:id="636" w:name="_Toc25511"/>
      <w:r>
        <w:rPr>
          <w:rFonts w:hint="eastAsia" w:ascii="宋体" w:hAnsi="宋体" w:eastAsia="宋体" w:cs="Times New Roman"/>
          <w:b/>
          <w:bCs/>
          <w:sz w:val="24"/>
        </w:rPr>
        <w:t>附件二：总体技术要求（技术规范书）</w:t>
      </w:r>
      <w:bookmarkEnd w:id="634"/>
      <w:bookmarkEnd w:id="635"/>
      <w:bookmarkEnd w:id="636"/>
    </w:p>
    <w:p w14:paraId="2E2F374C">
      <w:pPr>
        <w:tabs>
          <w:tab w:val="left" w:pos="588"/>
        </w:tabs>
        <w:snapToGrid w:val="0"/>
        <w:spacing w:before="120" w:after="120" w:line="440" w:lineRule="exact"/>
        <w:jc w:val="left"/>
        <w:outlineLvl w:val="2"/>
        <w:rPr>
          <w:rFonts w:ascii="宋体" w:hAnsi="宋体"/>
          <w:b/>
          <w:bCs/>
          <w:sz w:val="24"/>
        </w:rPr>
      </w:pPr>
      <w:bookmarkStart w:id="637" w:name="_Toc23555"/>
      <w:bookmarkStart w:id="638" w:name="_Toc17492"/>
      <w:bookmarkStart w:id="639" w:name="_Toc28190"/>
      <w:r>
        <w:rPr>
          <w:rFonts w:ascii="宋体" w:hAnsi="宋体"/>
          <w:b/>
          <w:bCs/>
          <w:sz w:val="24"/>
        </w:rPr>
        <w:t>附件三</w:t>
      </w:r>
      <w:r>
        <w:rPr>
          <w:rFonts w:hint="eastAsia" w:ascii="宋体" w:hAnsi="宋体"/>
          <w:b/>
          <w:bCs/>
          <w:sz w:val="24"/>
        </w:rPr>
        <w:t>：</w:t>
      </w:r>
      <w:r>
        <w:rPr>
          <w:rFonts w:ascii="宋体" w:hAnsi="宋体"/>
          <w:b/>
          <w:bCs/>
          <w:sz w:val="24"/>
        </w:rPr>
        <w:t>项目进度表</w:t>
      </w:r>
      <w:bookmarkEnd w:id="637"/>
      <w:bookmarkEnd w:id="638"/>
      <w:bookmarkEnd w:id="639"/>
    </w:p>
    <w:p w14:paraId="749774F6">
      <w:pPr>
        <w:spacing w:before="60" w:after="60" w:line="360" w:lineRule="auto"/>
        <w:rPr>
          <w:rFonts w:ascii="Calibri" w:hAnsi="Calibri"/>
          <w:b/>
          <w:bCs/>
          <w:sz w:val="24"/>
          <w:szCs w:val="20"/>
        </w:rPr>
      </w:pPr>
      <w:r>
        <w:rPr>
          <w:rFonts w:hint="eastAsia" w:ascii="Calibri" w:hAnsi="Calibri"/>
          <w:b/>
          <w:bCs/>
          <w:sz w:val="24"/>
          <w:szCs w:val="20"/>
        </w:rPr>
        <w:t>承诺：合同签定生效后XX日历日内完成软件的开发与实施上线。</w:t>
      </w:r>
    </w:p>
    <w:tbl>
      <w:tblPr>
        <w:tblStyle w:val="42"/>
        <w:tblW w:w="8902" w:type="dxa"/>
        <w:tblInd w:w="-289" w:type="dxa"/>
        <w:tblLayout w:type="fixed"/>
        <w:tblCellMar>
          <w:top w:w="0" w:type="dxa"/>
          <w:left w:w="108" w:type="dxa"/>
          <w:bottom w:w="0" w:type="dxa"/>
          <w:right w:w="108" w:type="dxa"/>
        </w:tblCellMar>
      </w:tblPr>
      <w:tblGrid>
        <w:gridCol w:w="1840"/>
        <w:gridCol w:w="1110"/>
        <w:gridCol w:w="1162"/>
        <w:gridCol w:w="1388"/>
        <w:gridCol w:w="1701"/>
        <w:gridCol w:w="1701"/>
      </w:tblGrid>
      <w:tr w14:paraId="773367C8">
        <w:trPr>
          <w:trHeight w:val="727" w:hRule="atLeast"/>
        </w:trPr>
        <w:tc>
          <w:tcPr>
            <w:tcW w:w="1840" w:type="dxa"/>
            <w:tcBorders>
              <w:top w:val="single" w:color="auto" w:sz="4" w:space="0"/>
              <w:left w:val="single" w:color="auto" w:sz="4" w:space="0"/>
              <w:bottom w:val="single" w:color="auto" w:sz="4" w:space="0"/>
              <w:right w:val="single" w:color="auto" w:sz="4" w:space="0"/>
            </w:tcBorders>
            <w:shd w:val="clear" w:color="000000" w:fill="FFFFFF"/>
            <w:vAlign w:val="center"/>
          </w:tcPr>
          <w:p w14:paraId="44D1B6FD">
            <w:pPr>
              <w:spacing w:before="60" w:after="60" w:line="360" w:lineRule="auto"/>
              <w:jc w:val="center"/>
              <w:rPr>
                <w:rFonts w:ascii="Calibri" w:hAnsi="Calibri"/>
                <w:sz w:val="24"/>
                <w:szCs w:val="20"/>
              </w:rPr>
            </w:pPr>
            <w:r>
              <w:rPr>
                <w:rFonts w:hint="eastAsia" w:ascii="Calibri" w:hAnsi="Calibri"/>
                <w:sz w:val="24"/>
                <w:szCs w:val="20"/>
              </w:rPr>
              <w:t>项目日期</w:t>
            </w:r>
          </w:p>
        </w:tc>
        <w:tc>
          <w:tcPr>
            <w:tcW w:w="1110" w:type="dxa"/>
            <w:tcBorders>
              <w:top w:val="single" w:color="auto" w:sz="4" w:space="0"/>
              <w:left w:val="nil"/>
              <w:bottom w:val="single" w:color="auto" w:sz="4" w:space="0"/>
              <w:right w:val="single" w:color="auto" w:sz="4" w:space="0"/>
            </w:tcBorders>
            <w:shd w:val="clear" w:color="000000" w:fill="FFFFFF"/>
            <w:vAlign w:val="center"/>
          </w:tcPr>
          <w:p w14:paraId="6621530F">
            <w:pPr>
              <w:spacing w:before="60" w:after="60" w:line="360" w:lineRule="auto"/>
              <w:jc w:val="center"/>
              <w:rPr>
                <w:rFonts w:ascii="Calibri" w:hAnsi="Calibri"/>
                <w:sz w:val="24"/>
                <w:szCs w:val="20"/>
              </w:rPr>
            </w:pPr>
            <w:r>
              <w:rPr>
                <w:rFonts w:hint="eastAsia" w:ascii="Calibri" w:hAnsi="Calibri"/>
                <w:sz w:val="24"/>
                <w:szCs w:val="20"/>
              </w:rPr>
              <w:t>T</w:t>
            </w:r>
            <w:r>
              <w:rPr>
                <w:rFonts w:ascii="Calibri" w:hAnsi="Calibri"/>
                <w:sz w:val="24"/>
                <w:szCs w:val="20"/>
              </w:rPr>
              <w:t>0+</w:t>
            </w:r>
            <w:r>
              <w:rPr>
                <w:rFonts w:hint="eastAsia" w:ascii="Calibri" w:hAnsi="Calibri"/>
                <w:sz w:val="24"/>
                <w:szCs w:val="20"/>
              </w:rPr>
              <w:t>X日</w:t>
            </w:r>
          </w:p>
        </w:tc>
        <w:tc>
          <w:tcPr>
            <w:tcW w:w="1162" w:type="dxa"/>
            <w:tcBorders>
              <w:top w:val="single" w:color="auto" w:sz="4" w:space="0"/>
              <w:left w:val="nil"/>
              <w:bottom w:val="single" w:color="auto" w:sz="4" w:space="0"/>
              <w:right w:val="single" w:color="auto" w:sz="4" w:space="0"/>
            </w:tcBorders>
            <w:shd w:val="clear" w:color="000000" w:fill="FFFFFF"/>
            <w:vAlign w:val="center"/>
          </w:tcPr>
          <w:p w14:paraId="1895BA8E">
            <w:pPr>
              <w:spacing w:before="60" w:after="60" w:line="360" w:lineRule="auto"/>
              <w:jc w:val="center"/>
              <w:rPr>
                <w:rFonts w:ascii="Calibri" w:hAnsi="Calibri"/>
                <w:sz w:val="24"/>
                <w:szCs w:val="20"/>
              </w:rPr>
            </w:pPr>
            <w:r>
              <w:rPr>
                <w:rFonts w:hint="eastAsia" w:ascii="Calibri" w:hAnsi="Calibri"/>
                <w:sz w:val="24"/>
                <w:szCs w:val="20"/>
              </w:rPr>
              <w:t>T</w:t>
            </w:r>
            <w:r>
              <w:rPr>
                <w:rFonts w:ascii="Calibri" w:hAnsi="Calibri"/>
                <w:sz w:val="24"/>
                <w:szCs w:val="20"/>
              </w:rPr>
              <w:t>0+</w:t>
            </w:r>
            <w:r>
              <w:rPr>
                <w:rFonts w:hint="eastAsia" w:ascii="Calibri" w:hAnsi="Calibri"/>
                <w:sz w:val="24"/>
                <w:szCs w:val="20"/>
              </w:rPr>
              <w:t>XX日</w:t>
            </w:r>
          </w:p>
        </w:tc>
        <w:tc>
          <w:tcPr>
            <w:tcW w:w="1388" w:type="dxa"/>
            <w:tcBorders>
              <w:top w:val="single" w:color="auto" w:sz="4" w:space="0"/>
              <w:left w:val="nil"/>
              <w:bottom w:val="single" w:color="auto" w:sz="4" w:space="0"/>
              <w:right w:val="single" w:color="auto" w:sz="4" w:space="0"/>
            </w:tcBorders>
            <w:shd w:val="clear" w:color="000000" w:fill="FFFFFF"/>
            <w:vAlign w:val="center"/>
          </w:tcPr>
          <w:p w14:paraId="7160512C">
            <w:pPr>
              <w:spacing w:before="60" w:after="60" w:line="360" w:lineRule="auto"/>
              <w:jc w:val="center"/>
              <w:rPr>
                <w:rFonts w:ascii="Calibri" w:hAnsi="Calibri"/>
                <w:sz w:val="24"/>
                <w:szCs w:val="20"/>
              </w:rPr>
            </w:pPr>
            <w:r>
              <w:rPr>
                <w:rFonts w:hint="eastAsia" w:ascii="Calibri" w:hAnsi="Calibri"/>
                <w:sz w:val="24"/>
                <w:szCs w:val="20"/>
              </w:rPr>
              <w:t>T</w:t>
            </w:r>
            <w:r>
              <w:rPr>
                <w:rFonts w:ascii="Calibri" w:hAnsi="Calibri"/>
                <w:sz w:val="24"/>
                <w:szCs w:val="20"/>
              </w:rPr>
              <w:t>0+</w:t>
            </w:r>
            <w:r>
              <w:rPr>
                <w:rFonts w:hint="eastAsia" w:ascii="Calibri" w:hAnsi="Calibri"/>
                <w:sz w:val="24"/>
                <w:szCs w:val="20"/>
              </w:rPr>
              <w:t>XX日</w:t>
            </w:r>
          </w:p>
        </w:tc>
        <w:tc>
          <w:tcPr>
            <w:tcW w:w="1701" w:type="dxa"/>
            <w:tcBorders>
              <w:top w:val="single" w:color="auto" w:sz="4" w:space="0"/>
              <w:left w:val="nil"/>
              <w:bottom w:val="single" w:color="auto" w:sz="4" w:space="0"/>
              <w:right w:val="single" w:color="auto" w:sz="4" w:space="0"/>
            </w:tcBorders>
            <w:shd w:val="clear" w:color="000000" w:fill="FFFFFF"/>
            <w:vAlign w:val="center"/>
          </w:tcPr>
          <w:p w14:paraId="52191C18">
            <w:pPr>
              <w:spacing w:before="60" w:after="60" w:line="360" w:lineRule="auto"/>
              <w:jc w:val="center"/>
              <w:rPr>
                <w:rFonts w:ascii="Calibri" w:hAnsi="Calibri"/>
                <w:sz w:val="24"/>
                <w:szCs w:val="20"/>
              </w:rPr>
            </w:pPr>
            <w:r>
              <w:rPr>
                <w:rFonts w:hint="eastAsia" w:ascii="Calibri" w:hAnsi="Calibri"/>
                <w:sz w:val="24"/>
                <w:szCs w:val="20"/>
              </w:rPr>
              <w:t>T</w:t>
            </w:r>
            <w:r>
              <w:rPr>
                <w:rFonts w:ascii="Calibri" w:hAnsi="Calibri"/>
                <w:sz w:val="24"/>
                <w:szCs w:val="20"/>
              </w:rPr>
              <w:t>0+</w:t>
            </w:r>
            <w:r>
              <w:rPr>
                <w:rFonts w:hint="eastAsia" w:ascii="Calibri" w:hAnsi="Calibri"/>
                <w:sz w:val="24"/>
                <w:szCs w:val="20"/>
              </w:rPr>
              <w:t>XX日</w:t>
            </w:r>
          </w:p>
        </w:tc>
        <w:tc>
          <w:tcPr>
            <w:tcW w:w="1701" w:type="dxa"/>
            <w:tcBorders>
              <w:top w:val="single" w:color="auto" w:sz="4" w:space="0"/>
              <w:left w:val="nil"/>
              <w:bottom w:val="single" w:color="auto" w:sz="4" w:space="0"/>
              <w:right w:val="single" w:color="auto" w:sz="4" w:space="0"/>
            </w:tcBorders>
            <w:shd w:val="clear" w:color="000000" w:fill="FFFFFF"/>
            <w:vAlign w:val="center"/>
          </w:tcPr>
          <w:p w14:paraId="4D93A640">
            <w:pPr>
              <w:spacing w:before="60" w:after="60" w:line="360" w:lineRule="auto"/>
              <w:jc w:val="center"/>
              <w:rPr>
                <w:rFonts w:ascii="Calibri" w:hAnsi="Calibri"/>
                <w:sz w:val="24"/>
                <w:szCs w:val="20"/>
              </w:rPr>
            </w:pPr>
            <w:r>
              <w:rPr>
                <w:rFonts w:hint="eastAsia" w:ascii="Calibri" w:hAnsi="Calibri"/>
                <w:sz w:val="24"/>
                <w:szCs w:val="20"/>
              </w:rPr>
              <w:t>T</w:t>
            </w:r>
            <w:r>
              <w:rPr>
                <w:rFonts w:ascii="Calibri" w:hAnsi="Calibri"/>
                <w:sz w:val="24"/>
                <w:szCs w:val="20"/>
              </w:rPr>
              <w:t>0+</w:t>
            </w:r>
            <w:r>
              <w:rPr>
                <w:rFonts w:hint="eastAsia" w:ascii="Calibri" w:hAnsi="Calibri"/>
                <w:sz w:val="24"/>
                <w:szCs w:val="20"/>
              </w:rPr>
              <w:t>XX日</w:t>
            </w:r>
          </w:p>
        </w:tc>
      </w:tr>
      <w:tr w14:paraId="6DCB0516">
        <w:tblPrEx>
          <w:tblCellMar>
            <w:top w:w="0" w:type="dxa"/>
            <w:left w:w="108" w:type="dxa"/>
            <w:bottom w:w="0" w:type="dxa"/>
            <w:right w:w="108" w:type="dxa"/>
          </w:tblCellMar>
        </w:tblPrEx>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3B6AFF83">
            <w:pPr>
              <w:spacing w:before="60" w:after="60" w:line="360" w:lineRule="auto"/>
              <w:rPr>
                <w:rFonts w:ascii="Calibri" w:hAnsi="Calibri"/>
                <w:sz w:val="24"/>
                <w:szCs w:val="20"/>
              </w:rPr>
            </w:pPr>
            <w:r>
              <w:rPr>
                <w:rFonts w:hint="eastAsia" w:ascii="Calibri" w:hAnsi="Calibri"/>
                <w:sz w:val="24"/>
                <w:szCs w:val="20"/>
              </w:rPr>
              <w:t>项目启动</w:t>
            </w:r>
          </w:p>
        </w:tc>
        <w:tc>
          <w:tcPr>
            <w:tcW w:w="1110" w:type="dxa"/>
            <w:tcBorders>
              <w:top w:val="nil"/>
              <w:left w:val="nil"/>
              <w:bottom w:val="single" w:color="auto" w:sz="4" w:space="0"/>
              <w:right w:val="single" w:color="auto" w:sz="4" w:space="0"/>
            </w:tcBorders>
            <w:shd w:val="clear" w:color="000000" w:fill="B4C6E7"/>
            <w:vAlign w:val="center"/>
          </w:tcPr>
          <w:p w14:paraId="6FB9252D">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FFFF"/>
            <w:vAlign w:val="center"/>
          </w:tcPr>
          <w:p w14:paraId="7C5755C1">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FFFFFF"/>
            <w:vAlign w:val="center"/>
          </w:tcPr>
          <w:p w14:paraId="18720FC2">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FFFFFF"/>
            <w:vAlign w:val="center"/>
          </w:tcPr>
          <w:p w14:paraId="1BBC3074">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FFFFFF"/>
          </w:tcPr>
          <w:p w14:paraId="1DD0AF72">
            <w:pPr>
              <w:spacing w:before="60" w:after="60" w:line="360" w:lineRule="auto"/>
              <w:rPr>
                <w:rFonts w:ascii="Calibri" w:hAnsi="Calibri"/>
                <w:sz w:val="24"/>
                <w:szCs w:val="20"/>
              </w:rPr>
            </w:pPr>
          </w:p>
        </w:tc>
      </w:tr>
      <w:tr w14:paraId="5F352C6D">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540E76E0">
            <w:pPr>
              <w:spacing w:before="60" w:after="60" w:line="360" w:lineRule="auto"/>
              <w:rPr>
                <w:rFonts w:ascii="Calibri" w:hAnsi="Calibri"/>
                <w:sz w:val="24"/>
                <w:szCs w:val="20"/>
              </w:rPr>
            </w:pPr>
            <w:r>
              <w:rPr>
                <w:rFonts w:hint="eastAsia" w:ascii="Calibri" w:hAnsi="Calibri"/>
                <w:sz w:val="24"/>
                <w:szCs w:val="20"/>
              </w:rPr>
              <w:t>环境部署</w:t>
            </w:r>
          </w:p>
        </w:tc>
        <w:tc>
          <w:tcPr>
            <w:tcW w:w="1110" w:type="dxa"/>
            <w:tcBorders>
              <w:top w:val="nil"/>
              <w:left w:val="nil"/>
              <w:bottom w:val="single" w:color="auto" w:sz="4" w:space="0"/>
              <w:right w:val="single" w:color="auto" w:sz="4" w:space="0"/>
            </w:tcBorders>
            <w:shd w:val="clear" w:color="000000" w:fill="FFD966"/>
            <w:vAlign w:val="center"/>
          </w:tcPr>
          <w:p w14:paraId="56EF42E7">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D966"/>
            <w:vAlign w:val="center"/>
          </w:tcPr>
          <w:p w14:paraId="26494350">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FFFFFF"/>
            <w:vAlign w:val="center"/>
          </w:tcPr>
          <w:p w14:paraId="51EEF5D4">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FFFFFF"/>
            <w:vAlign w:val="center"/>
          </w:tcPr>
          <w:p w14:paraId="6C334BAF">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FFFFFF"/>
          </w:tcPr>
          <w:p w14:paraId="586B54F6">
            <w:pPr>
              <w:spacing w:before="60" w:after="60" w:line="360" w:lineRule="auto"/>
              <w:rPr>
                <w:rFonts w:ascii="Calibri" w:hAnsi="Calibri"/>
                <w:sz w:val="24"/>
                <w:szCs w:val="20"/>
              </w:rPr>
            </w:pPr>
          </w:p>
        </w:tc>
      </w:tr>
      <w:tr w14:paraId="743275E3">
        <w:tblPrEx>
          <w:tblCellMar>
            <w:top w:w="0" w:type="dxa"/>
            <w:left w:w="108" w:type="dxa"/>
            <w:bottom w:w="0" w:type="dxa"/>
            <w:right w:w="108" w:type="dxa"/>
          </w:tblCellMar>
        </w:tblPrEx>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2939739D">
            <w:pPr>
              <w:spacing w:before="60" w:after="60" w:line="360" w:lineRule="auto"/>
              <w:rPr>
                <w:rFonts w:ascii="Calibri" w:hAnsi="Calibri"/>
                <w:sz w:val="24"/>
                <w:szCs w:val="20"/>
              </w:rPr>
            </w:pPr>
            <w:r>
              <w:rPr>
                <w:rFonts w:hint="eastAsia" w:ascii="Calibri" w:hAnsi="Calibri"/>
                <w:sz w:val="24"/>
                <w:szCs w:val="20"/>
              </w:rPr>
              <w:t>需求分析</w:t>
            </w:r>
          </w:p>
        </w:tc>
        <w:tc>
          <w:tcPr>
            <w:tcW w:w="1110" w:type="dxa"/>
            <w:tcBorders>
              <w:top w:val="nil"/>
              <w:left w:val="nil"/>
              <w:bottom w:val="single" w:color="auto" w:sz="4" w:space="0"/>
              <w:right w:val="single" w:color="auto" w:sz="4" w:space="0"/>
            </w:tcBorders>
            <w:shd w:val="clear" w:color="000000" w:fill="FFFFFF"/>
            <w:vAlign w:val="center"/>
          </w:tcPr>
          <w:p w14:paraId="4A64FC4B">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A9D08E"/>
            <w:vAlign w:val="center"/>
          </w:tcPr>
          <w:p w14:paraId="75E3B107">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auto" w:fill="FFFFFF"/>
            <w:vAlign w:val="center"/>
          </w:tcPr>
          <w:p w14:paraId="2ED08BCD">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vAlign w:val="center"/>
          </w:tcPr>
          <w:p w14:paraId="422FBD70">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353DF50A">
            <w:pPr>
              <w:spacing w:before="60" w:after="60" w:line="360" w:lineRule="auto"/>
              <w:rPr>
                <w:rFonts w:ascii="Calibri" w:hAnsi="Calibri"/>
                <w:sz w:val="24"/>
                <w:szCs w:val="20"/>
              </w:rPr>
            </w:pPr>
          </w:p>
        </w:tc>
      </w:tr>
      <w:tr w14:paraId="35590723">
        <w:tblPrEx>
          <w:tblCellMar>
            <w:top w:w="0" w:type="dxa"/>
            <w:left w:w="108" w:type="dxa"/>
            <w:bottom w:w="0" w:type="dxa"/>
            <w:right w:w="108" w:type="dxa"/>
          </w:tblCellMar>
        </w:tblPrEx>
        <w:trPr>
          <w:trHeight w:val="810"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595A38C1">
            <w:pPr>
              <w:spacing w:before="60" w:after="60" w:line="360" w:lineRule="auto"/>
              <w:rPr>
                <w:rFonts w:ascii="Calibri" w:hAnsi="Calibri"/>
                <w:sz w:val="24"/>
                <w:szCs w:val="20"/>
              </w:rPr>
            </w:pPr>
            <w:r>
              <w:rPr>
                <w:rFonts w:hint="eastAsia" w:ascii="Calibri" w:hAnsi="Calibri"/>
                <w:sz w:val="24"/>
                <w:szCs w:val="20"/>
              </w:rPr>
              <w:t>业务、模型设计</w:t>
            </w:r>
          </w:p>
        </w:tc>
        <w:tc>
          <w:tcPr>
            <w:tcW w:w="1110" w:type="dxa"/>
            <w:tcBorders>
              <w:top w:val="nil"/>
              <w:left w:val="nil"/>
              <w:bottom w:val="single" w:color="auto" w:sz="4" w:space="0"/>
              <w:right w:val="single" w:color="auto" w:sz="4" w:space="0"/>
            </w:tcBorders>
            <w:shd w:val="clear" w:color="000000" w:fill="FFFFFF"/>
            <w:vAlign w:val="center"/>
          </w:tcPr>
          <w:p w14:paraId="3E2DA330">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4B084"/>
            <w:vAlign w:val="center"/>
          </w:tcPr>
          <w:p w14:paraId="765FE94C">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auto" w:fill="FFFFFF"/>
            <w:vAlign w:val="center"/>
          </w:tcPr>
          <w:p w14:paraId="6D4DA8E3">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vAlign w:val="center"/>
          </w:tcPr>
          <w:p w14:paraId="3550758C">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0D305130">
            <w:pPr>
              <w:spacing w:before="60" w:after="60" w:line="360" w:lineRule="auto"/>
              <w:rPr>
                <w:rFonts w:ascii="Calibri" w:hAnsi="Calibri"/>
                <w:sz w:val="24"/>
                <w:szCs w:val="20"/>
              </w:rPr>
            </w:pPr>
          </w:p>
        </w:tc>
      </w:tr>
      <w:tr w14:paraId="7FBB5679">
        <w:trPr>
          <w:trHeight w:val="810"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54D1BA1C">
            <w:pPr>
              <w:spacing w:before="60" w:after="60" w:line="360" w:lineRule="auto"/>
              <w:rPr>
                <w:rFonts w:ascii="Calibri" w:hAnsi="Calibri"/>
                <w:sz w:val="24"/>
                <w:szCs w:val="20"/>
              </w:rPr>
            </w:pPr>
            <w:r>
              <w:rPr>
                <w:rFonts w:hint="eastAsia" w:ascii="Calibri" w:hAnsi="Calibri"/>
                <w:sz w:val="24"/>
                <w:szCs w:val="20"/>
              </w:rPr>
              <w:t>定制功能开发</w:t>
            </w:r>
          </w:p>
        </w:tc>
        <w:tc>
          <w:tcPr>
            <w:tcW w:w="1110" w:type="dxa"/>
            <w:tcBorders>
              <w:top w:val="nil"/>
              <w:left w:val="nil"/>
              <w:bottom w:val="single" w:color="auto" w:sz="4" w:space="0"/>
              <w:right w:val="single" w:color="auto" w:sz="4" w:space="0"/>
            </w:tcBorders>
            <w:shd w:val="clear" w:color="000000" w:fill="FFFFFF"/>
            <w:vAlign w:val="center"/>
          </w:tcPr>
          <w:p w14:paraId="5F6ACB56">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auto" w:fill="FFC000"/>
            <w:vAlign w:val="center"/>
          </w:tcPr>
          <w:p w14:paraId="0965F01E">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auto" w:fill="FFC000"/>
            <w:vAlign w:val="center"/>
          </w:tcPr>
          <w:p w14:paraId="4E963F75">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vAlign w:val="center"/>
          </w:tcPr>
          <w:p w14:paraId="11D12944">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08D84E54">
            <w:pPr>
              <w:spacing w:before="60" w:after="60" w:line="360" w:lineRule="auto"/>
              <w:rPr>
                <w:rFonts w:ascii="Calibri" w:hAnsi="Calibri"/>
                <w:sz w:val="24"/>
                <w:szCs w:val="20"/>
              </w:rPr>
            </w:pPr>
          </w:p>
        </w:tc>
      </w:tr>
      <w:tr w14:paraId="39FC38A6">
        <w:tblPrEx>
          <w:tblCellMar>
            <w:top w:w="0" w:type="dxa"/>
            <w:left w:w="108" w:type="dxa"/>
            <w:bottom w:w="0" w:type="dxa"/>
            <w:right w:w="108" w:type="dxa"/>
          </w:tblCellMar>
        </w:tblPrEx>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2B864771">
            <w:pPr>
              <w:spacing w:before="60" w:after="60" w:line="360" w:lineRule="auto"/>
              <w:rPr>
                <w:rFonts w:ascii="Calibri" w:hAnsi="Calibri"/>
                <w:sz w:val="24"/>
                <w:szCs w:val="20"/>
              </w:rPr>
            </w:pPr>
            <w:r>
              <w:rPr>
                <w:rFonts w:hint="eastAsia" w:ascii="Calibri" w:hAnsi="Calibri"/>
                <w:sz w:val="24"/>
                <w:szCs w:val="20"/>
              </w:rPr>
              <w:t>部署实施</w:t>
            </w:r>
          </w:p>
        </w:tc>
        <w:tc>
          <w:tcPr>
            <w:tcW w:w="1110" w:type="dxa"/>
            <w:tcBorders>
              <w:top w:val="nil"/>
              <w:left w:val="nil"/>
              <w:bottom w:val="single" w:color="auto" w:sz="4" w:space="0"/>
              <w:right w:val="single" w:color="auto" w:sz="4" w:space="0"/>
            </w:tcBorders>
            <w:shd w:val="clear" w:color="000000" w:fill="FFFFFF"/>
            <w:vAlign w:val="center"/>
          </w:tcPr>
          <w:p w14:paraId="63D4859C">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FFFF"/>
            <w:vAlign w:val="center"/>
          </w:tcPr>
          <w:p w14:paraId="7BD58734">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2F75B5"/>
            <w:vAlign w:val="center"/>
          </w:tcPr>
          <w:p w14:paraId="03C14248">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auto"/>
            <w:vAlign w:val="center"/>
          </w:tcPr>
          <w:p w14:paraId="224C8CA2">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53AB8F71">
            <w:pPr>
              <w:spacing w:before="60" w:after="60" w:line="360" w:lineRule="auto"/>
              <w:rPr>
                <w:rFonts w:ascii="Calibri" w:hAnsi="Calibri"/>
                <w:sz w:val="24"/>
                <w:szCs w:val="20"/>
              </w:rPr>
            </w:pPr>
          </w:p>
        </w:tc>
      </w:tr>
      <w:tr w14:paraId="167AC6EB">
        <w:tblPrEx>
          <w:tblCellMar>
            <w:top w:w="0" w:type="dxa"/>
            <w:left w:w="108" w:type="dxa"/>
            <w:bottom w:w="0" w:type="dxa"/>
            <w:right w:w="108" w:type="dxa"/>
          </w:tblCellMar>
        </w:tblPrEx>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0E3AF106">
            <w:pPr>
              <w:spacing w:before="60" w:after="60" w:line="360" w:lineRule="auto"/>
              <w:rPr>
                <w:rFonts w:ascii="Calibri" w:hAnsi="Calibri"/>
                <w:sz w:val="24"/>
                <w:szCs w:val="20"/>
              </w:rPr>
            </w:pPr>
            <w:r>
              <w:rPr>
                <w:rFonts w:hint="eastAsia" w:ascii="Calibri" w:hAnsi="Calibri"/>
                <w:sz w:val="24"/>
                <w:szCs w:val="20"/>
              </w:rPr>
              <w:t>联调测试</w:t>
            </w:r>
          </w:p>
        </w:tc>
        <w:tc>
          <w:tcPr>
            <w:tcW w:w="1110" w:type="dxa"/>
            <w:tcBorders>
              <w:top w:val="nil"/>
              <w:left w:val="nil"/>
              <w:bottom w:val="single" w:color="auto" w:sz="4" w:space="0"/>
              <w:right w:val="single" w:color="auto" w:sz="4" w:space="0"/>
            </w:tcBorders>
            <w:shd w:val="clear" w:color="000000" w:fill="FFFFFF"/>
            <w:vAlign w:val="center"/>
          </w:tcPr>
          <w:p w14:paraId="7094A5C2">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FFFF"/>
            <w:vAlign w:val="center"/>
          </w:tcPr>
          <w:p w14:paraId="60155CA0">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00B0F0"/>
            <w:vAlign w:val="center"/>
          </w:tcPr>
          <w:p w14:paraId="1BEE865D">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00B0F0"/>
            <w:vAlign w:val="center"/>
          </w:tcPr>
          <w:p w14:paraId="151A8B9C">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0035FA8D">
            <w:pPr>
              <w:spacing w:before="60" w:after="60" w:line="360" w:lineRule="auto"/>
              <w:rPr>
                <w:rFonts w:ascii="Calibri" w:hAnsi="Calibri"/>
                <w:sz w:val="24"/>
                <w:szCs w:val="20"/>
              </w:rPr>
            </w:pPr>
          </w:p>
        </w:tc>
      </w:tr>
      <w:tr w14:paraId="58CCF382">
        <w:trPr>
          <w:trHeight w:val="543"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31157465">
            <w:pPr>
              <w:spacing w:before="60" w:after="60" w:line="360" w:lineRule="auto"/>
              <w:rPr>
                <w:rFonts w:ascii="Calibri" w:hAnsi="Calibri"/>
                <w:sz w:val="24"/>
                <w:szCs w:val="20"/>
              </w:rPr>
            </w:pPr>
            <w:r>
              <w:rPr>
                <w:rFonts w:hint="eastAsia" w:ascii="Calibri" w:hAnsi="Calibri"/>
                <w:sz w:val="24"/>
                <w:szCs w:val="20"/>
              </w:rPr>
              <w:t>数据核对</w:t>
            </w:r>
          </w:p>
        </w:tc>
        <w:tc>
          <w:tcPr>
            <w:tcW w:w="1110" w:type="dxa"/>
            <w:tcBorders>
              <w:top w:val="nil"/>
              <w:left w:val="nil"/>
              <w:bottom w:val="single" w:color="auto" w:sz="4" w:space="0"/>
              <w:right w:val="single" w:color="auto" w:sz="4" w:space="0"/>
            </w:tcBorders>
            <w:shd w:val="clear" w:color="000000" w:fill="FFFFFF"/>
            <w:vAlign w:val="center"/>
          </w:tcPr>
          <w:p w14:paraId="53B9D775">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FFFF"/>
            <w:vAlign w:val="center"/>
          </w:tcPr>
          <w:p w14:paraId="4B08913F">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FFFFFF"/>
            <w:vAlign w:val="center"/>
          </w:tcPr>
          <w:p w14:paraId="336C7082">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E2EFDA"/>
            <w:vAlign w:val="center"/>
          </w:tcPr>
          <w:p w14:paraId="1E2CCB79">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FFFFFF"/>
          </w:tcPr>
          <w:p w14:paraId="31CE5B13">
            <w:pPr>
              <w:spacing w:before="60" w:after="60" w:line="360" w:lineRule="auto"/>
              <w:rPr>
                <w:rFonts w:ascii="Calibri" w:hAnsi="Calibri"/>
                <w:sz w:val="24"/>
                <w:szCs w:val="20"/>
              </w:rPr>
            </w:pPr>
          </w:p>
        </w:tc>
      </w:tr>
      <w:tr w14:paraId="7DB26453">
        <w:trPr>
          <w:trHeight w:val="551" w:hRule="atLeast"/>
        </w:trPr>
        <w:tc>
          <w:tcPr>
            <w:tcW w:w="1840" w:type="dxa"/>
            <w:tcBorders>
              <w:top w:val="nil"/>
              <w:left w:val="single" w:color="auto" w:sz="4" w:space="0"/>
              <w:bottom w:val="single" w:color="auto" w:sz="4" w:space="0"/>
              <w:right w:val="single" w:color="auto" w:sz="4" w:space="0"/>
            </w:tcBorders>
            <w:shd w:val="clear" w:color="000000" w:fill="FFFFFF"/>
            <w:vAlign w:val="center"/>
          </w:tcPr>
          <w:p w14:paraId="1D87AEC6">
            <w:pPr>
              <w:spacing w:before="60" w:after="60" w:line="360" w:lineRule="auto"/>
              <w:rPr>
                <w:rFonts w:ascii="Calibri" w:hAnsi="Calibri"/>
                <w:sz w:val="24"/>
                <w:szCs w:val="20"/>
              </w:rPr>
            </w:pPr>
            <w:r>
              <w:rPr>
                <w:rFonts w:hint="eastAsia" w:ascii="Calibri" w:hAnsi="Calibri"/>
                <w:sz w:val="24"/>
                <w:szCs w:val="20"/>
              </w:rPr>
              <w:t>正式上线</w:t>
            </w:r>
          </w:p>
        </w:tc>
        <w:tc>
          <w:tcPr>
            <w:tcW w:w="1110" w:type="dxa"/>
            <w:tcBorders>
              <w:top w:val="nil"/>
              <w:left w:val="nil"/>
              <w:bottom w:val="single" w:color="auto" w:sz="4" w:space="0"/>
              <w:right w:val="single" w:color="auto" w:sz="4" w:space="0"/>
            </w:tcBorders>
            <w:shd w:val="clear" w:color="000000" w:fill="FFFFFF"/>
            <w:vAlign w:val="center"/>
          </w:tcPr>
          <w:p w14:paraId="782C3405">
            <w:pPr>
              <w:spacing w:before="60" w:after="60" w:line="360" w:lineRule="auto"/>
              <w:rPr>
                <w:rFonts w:ascii="Calibri" w:hAnsi="Calibri"/>
                <w:sz w:val="24"/>
                <w:szCs w:val="20"/>
              </w:rPr>
            </w:pPr>
            <w:r>
              <w:rPr>
                <w:rFonts w:hint="eastAsia" w:ascii="Calibri" w:hAnsi="Calibri"/>
                <w:sz w:val="24"/>
                <w:szCs w:val="20"/>
              </w:rPr>
              <w:t>　</w:t>
            </w:r>
          </w:p>
        </w:tc>
        <w:tc>
          <w:tcPr>
            <w:tcW w:w="1162" w:type="dxa"/>
            <w:tcBorders>
              <w:top w:val="nil"/>
              <w:left w:val="nil"/>
              <w:bottom w:val="single" w:color="auto" w:sz="4" w:space="0"/>
              <w:right w:val="single" w:color="auto" w:sz="4" w:space="0"/>
            </w:tcBorders>
            <w:shd w:val="clear" w:color="000000" w:fill="FFFFFF"/>
            <w:vAlign w:val="center"/>
          </w:tcPr>
          <w:p w14:paraId="3E98C625">
            <w:pPr>
              <w:spacing w:before="60" w:after="60" w:line="360" w:lineRule="auto"/>
              <w:rPr>
                <w:rFonts w:ascii="Calibri" w:hAnsi="Calibri"/>
                <w:sz w:val="24"/>
                <w:szCs w:val="20"/>
              </w:rPr>
            </w:pPr>
            <w:r>
              <w:rPr>
                <w:rFonts w:hint="eastAsia" w:ascii="Calibri" w:hAnsi="Calibri"/>
                <w:sz w:val="24"/>
                <w:szCs w:val="20"/>
              </w:rPr>
              <w:t>　</w:t>
            </w:r>
          </w:p>
        </w:tc>
        <w:tc>
          <w:tcPr>
            <w:tcW w:w="1388" w:type="dxa"/>
            <w:tcBorders>
              <w:top w:val="nil"/>
              <w:left w:val="nil"/>
              <w:bottom w:val="single" w:color="auto" w:sz="4" w:space="0"/>
              <w:right w:val="single" w:color="auto" w:sz="4" w:space="0"/>
            </w:tcBorders>
            <w:shd w:val="clear" w:color="000000" w:fill="FFFFFF"/>
            <w:vAlign w:val="center"/>
          </w:tcPr>
          <w:p w14:paraId="3467B867">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000000" w:fill="FFFFFF"/>
            <w:vAlign w:val="center"/>
          </w:tcPr>
          <w:p w14:paraId="0FAAE973">
            <w:pPr>
              <w:spacing w:before="60" w:after="60" w:line="360" w:lineRule="auto"/>
              <w:rPr>
                <w:rFonts w:ascii="Calibri" w:hAnsi="Calibri"/>
                <w:sz w:val="24"/>
                <w:szCs w:val="20"/>
              </w:rPr>
            </w:pPr>
            <w:r>
              <w:rPr>
                <w:rFonts w:hint="eastAsia" w:ascii="Calibri" w:hAnsi="Calibri"/>
                <w:sz w:val="24"/>
                <w:szCs w:val="20"/>
              </w:rPr>
              <w:t>　</w:t>
            </w:r>
          </w:p>
        </w:tc>
        <w:tc>
          <w:tcPr>
            <w:tcW w:w="1701" w:type="dxa"/>
            <w:tcBorders>
              <w:top w:val="nil"/>
              <w:left w:val="nil"/>
              <w:bottom w:val="single" w:color="auto" w:sz="4" w:space="0"/>
              <w:right w:val="single" w:color="auto" w:sz="4" w:space="0"/>
            </w:tcBorders>
            <w:shd w:val="clear" w:color="auto" w:fill="C00000"/>
          </w:tcPr>
          <w:p w14:paraId="083B71F0">
            <w:pPr>
              <w:spacing w:before="60" w:after="60" w:line="360" w:lineRule="auto"/>
              <w:rPr>
                <w:rFonts w:ascii="Calibri" w:hAnsi="Calibri"/>
                <w:sz w:val="24"/>
                <w:szCs w:val="20"/>
              </w:rPr>
            </w:pPr>
          </w:p>
        </w:tc>
      </w:tr>
    </w:tbl>
    <w:p w14:paraId="3F54BCE4">
      <w:pPr>
        <w:spacing w:before="60" w:after="60" w:line="360" w:lineRule="auto"/>
        <w:rPr>
          <w:rFonts w:ascii="Calibri" w:hAnsi="Calibri"/>
          <w:sz w:val="24"/>
          <w:szCs w:val="20"/>
        </w:rPr>
      </w:pPr>
      <w:r>
        <w:rPr>
          <w:rFonts w:hint="eastAsia" w:ascii="Calibri" w:hAnsi="Calibri" w:cs="黑体"/>
          <w:sz w:val="24"/>
          <w:szCs w:val="20"/>
        </w:rPr>
        <w:tab/>
      </w:r>
      <w:r>
        <w:rPr>
          <w:rFonts w:hint="eastAsia" w:ascii="Calibri" w:hAnsi="Calibri" w:cs="黑体"/>
          <w:sz w:val="24"/>
          <w:szCs w:val="20"/>
        </w:rPr>
        <w:tab/>
      </w:r>
      <w:r>
        <w:rPr>
          <w:rFonts w:hint="eastAsia" w:ascii="Calibri" w:hAnsi="Calibri" w:cs="黑体"/>
          <w:sz w:val="24"/>
          <w:szCs w:val="20"/>
        </w:rPr>
        <w:tab/>
      </w:r>
      <w:r>
        <w:rPr>
          <w:rFonts w:hint="eastAsia" w:ascii="Calibri" w:hAnsi="Calibri" w:cs="黑体"/>
          <w:sz w:val="24"/>
          <w:szCs w:val="20"/>
        </w:rPr>
        <w:tab/>
      </w:r>
      <w:r>
        <w:rPr>
          <w:rFonts w:hint="eastAsia" w:ascii="Calibri" w:hAnsi="Calibri" w:cs="黑体"/>
          <w:sz w:val="24"/>
          <w:szCs w:val="20"/>
        </w:rPr>
        <w:tab/>
      </w:r>
      <w:r>
        <w:rPr>
          <w:rFonts w:hint="eastAsia" w:ascii="Calibri" w:hAnsi="Calibri" w:cs="黑体"/>
          <w:sz w:val="24"/>
          <w:szCs w:val="20"/>
        </w:rPr>
        <w:tab/>
      </w:r>
      <w:r>
        <w:rPr>
          <w:rFonts w:hint="eastAsia" w:ascii="Calibri" w:hAnsi="Calibri"/>
          <w:sz w:val="24"/>
          <w:szCs w:val="20"/>
        </w:rPr>
        <w:t>表：项目实施计划表</w:t>
      </w:r>
    </w:p>
    <w:tbl>
      <w:tblPr>
        <w:tblStyle w:val="42"/>
        <w:tblW w:w="8880" w:type="dxa"/>
        <w:tblInd w:w="-289" w:type="dxa"/>
        <w:tblLayout w:type="fixed"/>
        <w:tblCellMar>
          <w:top w:w="0" w:type="dxa"/>
          <w:left w:w="108" w:type="dxa"/>
          <w:bottom w:w="0" w:type="dxa"/>
          <w:right w:w="108" w:type="dxa"/>
        </w:tblCellMar>
      </w:tblPr>
      <w:tblGrid>
        <w:gridCol w:w="8880"/>
      </w:tblGrid>
      <w:tr w14:paraId="492B21D6">
        <w:tblPrEx>
          <w:tblCellMar>
            <w:top w:w="0" w:type="dxa"/>
            <w:left w:w="108" w:type="dxa"/>
            <w:bottom w:w="0" w:type="dxa"/>
            <w:right w:w="108" w:type="dxa"/>
          </w:tblCellMar>
        </w:tblPrEx>
        <w:trPr>
          <w:trHeight w:val="740" w:hRule="atLeast"/>
        </w:trPr>
        <w:tc>
          <w:tcPr>
            <w:tcW w:w="8880" w:type="dxa"/>
            <w:tcBorders>
              <w:top w:val="single" w:color="auto" w:sz="4" w:space="0"/>
              <w:left w:val="single" w:color="auto" w:sz="4" w:space="0"/>
              <w:bottom w:val="single" w:color="auto" w:sz="4" w:space="0"/>
              <w:right w:val="single" w:color="auto" w:sz="4" w:space="0"/>
            </w:tcBorders>
          </w:tcPr>
          <w:p w14:paraId="3672492B">
            <w:pPr>
              <w:spacing w:before="60" w:after="60" w:line="360" w:lineRule="auto"/>
              <w:rPr>
                <w:rFonts w:ascii="Calibri" w:hAnsi="Calibri"/>
                <w:sz w:val="24"/>
                <w:szCs w:val="20"/>
              </w:rPr>
            </w:pPr>
            <w:r>
              <w:rPr>
                <w:rFonts w:hint="eastAsia" w:ascii="Calibri" w:hAnsi="Calibri"/>
                <w:sz w:val="24"/>
                <w:szCs w:val="20"/>
              </w:rPr>
              <w:t>说明：T</w:t>
            </w:r>
            <w:r>
              <w:rPr>
                <w:rFonts w:ascii="Calibri" w:hAnsi="Calibri"/>
                <w:sz w:val="24"/>
                <w:szCs w:val="20"/>
              </w:rPr>
              <w:t>0</w:t>
            </w:r>
            <w:r>
              <w:rPr>
                <w:rFonts w:hint="eastAsia" w:ascii="Calibri" w:hAnsi="Calibri"/>
                <w:sz w:val="24"/>
                <w:szCs w:val="20"/>
              </w:rPr>
              <w:t>表示确认合同签订日期;</w:t>
            </w:r>
          </w:p>
        </w:tc>
      </w:tr>
    </w:tbl>
    <w:p w14:paraId="397F305C">
      <w:pPr>
        <w:tabs>
          <w:tab w:val="left" w:pos="588"/>
        </w:tabs>
        <w:snapToGrid w:val="0"/>
        <w:spacing w:before="120" w:after="120" w:line="440" w:lineRule="exact"/>
        <w:jc w:val="left"/>
        <w:rPr>
          <w:rFonts w:ascii="宋体" w:hAnsi="宋体"/>
          <w:b/>
          <w:bCs/>
          <w:sz w:val="24"/>
        </w:rPr>
      </w:pPr>
    </w:p>
    <w:p w14:paraId="05892C74">
      <w:pPr>
        <w:widowControl/>
        <w:jc w:val="left"/>
        <w:rPr>
          <w:rFonts w:ascii="宋体" w:hAnsi="宋体"/>
          <w:b/>
          <w:bCs/>
          <w:sz w:val="24"/>
        </w:rPr>
      </w:pPr>
      <w:r>
        <w:rPr>
          <w:rFonts w:ascii="宋体" w:hAnsi="宋体"/>
          <w:b/>
          <w:bCs/>
          <w:sz w:val="24"/>
        </w:rPr>
        <w:br w:type="page"/>
      </w:r>
    </w:p>
    <w:p w14:paraId="530EC53B">
      <w:pPr>
        <w:tabs>
          <w:tab w:val="left" w:pos="588"/>
        </w:tabs>
        <w:snapToGrid w:val="0"/>
        <w:spacing w:before="120" w:after="120" w:line="440" w:lineRule="exact"/>
        <w:jc w:val="left"/>
        <w:outlineLvl w:val="2"/>
        <w:rPr>
          <w:rFonts w:ascii="宋体" w:hAnsi="宋体"/>
          <w:b/>
          <w:bCs/>
          <w:sz w:val="24"/>
        </w:rPr>
      </w:pPr>
      <w:bookmarkStart w:id="640" w:name="_Toc6525"/>
      <w:bookmarkStart w:id="641" w:name="_Toc10580"/>
      <w:bookmarkStart w:id="642" w:name="_Toc27231"/>
      <w:r>
        <w:rPr>
          <w:rFonts w:hint="eastAsia" w:ascii="宋体" w:hAnsi="宋体"/>
          <w:b/>
          <w:bCs/>
          <w:sz w:val="24"/>
        </w:rPr>
        <w:t>附件四：技术文件清单</w:t>
      </w:r>
      <w:bookmarkEnd w:id="640"/>
      <w:bookmarkEnd w:id="641"/>
      <w:bookmarkEnd w:id="642"/>
    </w:p>
    <w:p w14:paraId="1D4C4A9D">
      <w:pPr>
        <w:rPr>
          <w:rFonts w:ascii="宋体" w:hAnsi="宋体"/>
          <w:sz w:val="24"/>
        </w:rPr>
      </w:pPr>
    </w:p>
    <w:tbl>
      <w:tblPr>
        <w:tblStyle w:val="42"/>
        <w:tblW w:w="8175" w:type="dxa"/>
        <w:tblInd w:w="420" w:type="dxa"/>
        <w:tblLayout w:type="fixed"/>
        <w:tblCellMar>
          <w:top w:w="0" w:type="dxa"/>
          <w:left w:w="108" w:type="dxa"/>
          <w:bottom w:w="0" w:type="dxa"/>
          <w:right w:w="108" w:type="dxa"/>
        </w:tblCellMar>
      </w:tblPr>
      <w:tblGrid>
        <w:gridCol w:w="841"/>
        <w:gridCol w:w="2800"/>
        <w:gridCol w:w="1600"/>
        <w:gridCol w:w="1254"/>
        <w:gridCol w:w="1680"/>
      </w:tblGrid>
      <w:tr w14:paraId="58F9E011">
        <w:tblPrEx>
          <w:tblCellMar>
            <w:top w:w="0" w:type="dxa"/>
            <w:left w:w="108" w:type="dxa"/>
            <w:bottom w:w="0" w:type="dxa"/>
            <w:right w:w="108" w:type="dxa"/>
          </w:tblCellMar>
        </w:tblPrEx>
        <w:trPr>
          <w:trHeight w:val="285" w:hRule="atLeast"/>
        </w:trPr>
        <w:tc>
          <w:tcPr>
            <w:tcW w:w="841" w:type="dxa"/>
            <w:tcBorders>
              <w:top w:val="single" w:color="auto" w:sz="8" w:space="0"/>
              <w:left w:val="single" w:color="auto" w:sz="8" w:space="0"/>
              <w:bottom w:val="single" w:color="auto" w:sz="4" w:space="0"/>
              <w:right w:val="single" w:color="auto" w:sz="8" w:space="0"/>
            </w:tcBorders>
            <w:shd w:val="clear" w:color="000000" w:fill="C0C0C0"/>
            <w:vAlign w:val="center"/>
          </w:tcPr>
          <w:p w14:paraId="00E59546">
            <w:pPr>
              <w:widowControl/>
              <w:spacing w:line="360" w:lineRule="auto"/>
              <w:jc w:val="center"/>
              <w:rPr>
                <w:rFonts w:ascii="宋体" w:hAnsi="宋体" w:cs="宋体"/>
                <w:bCs/>
                <w:kern w:val="0"/>
                <w:sz w:val="24"/>
              </w:rPr>
            </w:pPr>
            <w:r>
              <w:rPr>
                <w:rFonts w:hint="eastAsia" w:ascii="宋体" w:hAnsi="宋体" w:cs="宋体"/>
                <w:bCs/>
                <w:kern w:val="0"/>
                <w:sz w:val="24"/>
              </w:rPr>
              <w:t>序号</w:t>
            </w:r>
          </w:p>
        </w:tc>
        <w:tc>
          <w:tcPr>
            <w:tcW w:w="2800" w:type="dxa"/>
            <w:tcBorders>
              <w:top w:val="single" w:color="auto" w:sz="8" w:space="0"/>
              <w:left w:val="single" w:color="auto" w:sz="8" w:space="0"/>
              <w:bottom w:val="single" w:color="auto" w:sz="4" w:space="0"/>
              <w:right w:val="single" w:color="auto" w:sz="8" w:space="0"/>
            </w:tcBorders>
            <w:shd w:val="clear" w:color="000000" w:fill="C0C0C0"/>
            <w:vAlign w:val="center"/>
          </w:tcPr>
          <w:p w14:paraId="0DA097A6">
            <w:pPr>
              <w:widowControl/>
              <w:spacing w:line="360" w:lineRule="auto"/>
              <w:jc w:val="center"/>
              <w:rPr>
                <w:rFonts w:ascii="宋体" w:hAnsi="宋体" w:cs="宋体"/>
                <w:bCs/>
                <w:kern w:val="0"/>
                <w:sz w:val="24"/>
              </w:rPr>
            </w:pPr>
            <w:r>
              <w:rPr>
                <w:rFonts w:hint="eastAsia" w:ascii="宋体" w:hAnsi="宋体" w:cs="宋体"/>
                <w:bCs/>
                <w:kern w:val="0"/>
                <w:sz w:val="24"/>
              </w:rPr>
              <w:t>名称</w:t>
            </w:r>
          </w:p>
        </w:tc>
        <w:tc>
          <w:tcPr>
            <w:tcW w:w="1600" w:type="dxa"/>
            <w:tcBorders>
              <w:top w:val="single" w:color="auto" w:sz="8" w:space="0"/>
              <w:left w:val="single" w:color="auto" w:sz="8" w:space="0"/>
              <w:bottom w:val="single" w:color="auto" w:sz="4" w:space="0"/>
              <w:right w:val="single" w:color="auto" w:sz="8" w:space="0"/>
            </w:tcBorders>
            <w:shd w:val="clear" w:color="000000" w:fill="C0C0C0"/>
            <w:vAlign w:val="center"/>
          </w:tcPr>
          <w:p w14:paraId="485436D4">
            <w:pPr>
              <w:widowControl/>
              <w:spacing w:line="360" w:lineRule="auto"/>
              <w:jc w:val="center"/>
              <w:rPr>
                <w:rFonts w:ascii="宋体" w:hAnsi="宋体" w:cs="宋体"/>
                <w:bCs/>
                <w:kern w:val="0"/>
                <w:sz w:val="24"/>
              </w:rPr>
            </w:pPr>
            <w:r>
              <w:rPr>
                <w:rFonts w:hint="eastAsia" w:ascii="宋体" w:hAnsi="宋体" w:cs="宋体"/>
                <w:bCs/>
                <w:kern w:val="0"/>
                <w:sz w:val="24"/>
              </w:rPr>
              <w:t>介质</w:t>
            </w:r>
          </w:p>
        </w:tc>
        <w:tc>
          <w:tcPr>
            <w:tcW w:w="1254" w:type="dxa"/>
            <w:tcBorders>
              <w:top w:val="single" w:color="auto" w:sz="8" w:space="0"/>
              <w:left w:val="single" w:color="auto" w:sz="8" w:space="0"/>
              <w:bottom w:val="single" w:color="auto" w:sz="4" w:space="0"/>
              <w:right w:val="single" w:color="auto" w:sz="8" w:space="0"/>
            </w:tcBorders>
            <w:shd w:val="clear" w:color="000000" w:fill="C0C0C0"/>
            <w:vAlign w:val="center"/>
          </w:tcPr>
          <w:p w14:paraId="0D7E75FC">
            <w:pPr>
              <w:widowControl/>
              <w:spacing w:line="360" w:lineRule="auto"/>
              <w:jc w:val="center"/>
              <w:rPr>
                <w:rFonts w:ascii="宋体" w:hAnsi="宋体" w:cs="宋体"/>
                <w:bCs/>
                <w:kern w:val="0"/>
                <w:sz w:val="24"/>
              </w:rPr>
            </w:pPr>
            <w:r>
              <w:rPr>
                <w:rFonts w:hint="eastAsia" w:ascii="宋体" w:hAnsi="宋体" w:cs="宋体"/>
                <w:bCs/>
                <w:kern w:val="0"/>
                <w:sz w:val="24"/>
              </w:rPr>
              <w:t>份数</w:t>
            </w:r>
          </w:p>
        </w:tc>
        <w:tc>
          <w:tcPr>
            <w:tcW w:w="1680" w:type="dxa"/>
            <w:tcBorders>
              <w:top w:val="single" w:color="auto" w:sz="8" w:space="0"/>
              <w:left w:val="nil"/>
              <w:bottom w:val="single" w:color="auto" w:sz="4" w:space="0"/>
              <w:right w:val="single" w:color="auto" w:sz="8" w:space="0"/>
            </w:tcBorders>
            <w:shd w:val="clear" w:color="000000" w:fill="C0C0C0"/>
            <w:vAlign w:val="center"/>
          </w:tcPr>
          <w:p w14:paraId="15B398D3">
            <w:pPr>
              <w:widowControl/>
              <w:spacing w:line="360" w:lineRule="auto"/>
              <w:jc w:val="center"/>
              <w:rPr>
                <w:rFonts w:ascii="宋体" w:hAnsi="宋体" w:cs="宋体"/>
                <w:bCs/>
                <w:kern w:val="0"/>
                <w:sz w:val="24"/>
              </w:rPr>
            </w:pPr>
            <w:r>
              <w:rPr>
                <w:rFonts w:hint="eastAsia" w:ascii="宋体" w:hAnsi="宋体" w:cs="宋体"/>
                <w:bCs/>
                <w:kern w:val="0"/>
                <w:sz w:val="24"/>
              </w:rPr>
              <w:t>提交阶段</w:t>
            </w:r>
          </w:p>
        </w:tc>
      </w:tr>
      <w:tr w14:paraId="66A80A15">
        <w:tblPrEx>
          <w:tblCellMar>
            <w:top w:w="0" w:type="dxa"/>
            <w:left w:w="108" w:type="dxa"/>
            <w:bottom w:w="0" w:type="dxa"/>
            <w:right w:w="108" w:type="dxa"/>
          </w:tblCellMar>
        </w:tblPrEx>
        <w:trPr>
          <w:trHeight w:val="54" w:hRule="atLeast"/>
        </w:trPr>
        <w:tc>
          <w:tcPr>
            <w:tcW w:w="841" w:type="dxa"/>
            <w:vMerge w:val="restart"/>
            <w:tcBorders>
              <w:top w:val="single" w:color="auto" w:sz="4" w:space="0"/>
              <w:left w:val="single" w:color="auto" w:sz="4" w:space="0"/>
              <w:bottom w:val="single" w:color="auto" w:sz="4" w:space="0"/>
              <w:right w:val="single" w:color="auto" w:sz="4" w:space="0"/>
            </w:tcBorders>
            <w:vAlign w:val="center"/>
          </w:tcPr>
          <w:p w14:paraId="2E3233B4">
            <w:pPr>
              <w:widowControl/>
              <w:spacing w:line="360" w:lineRule="auto"/>
              <w:jc w:val="center"/>
              <w:rPr>
                <w:rFonts w:ascii="宋体" w:hAnsi="宋体" w:cs="宋体"/>
                <w:kern w:val="0"/>
                <w:sz w:val="24"/>
              </w:rPr>
            </w:pPr>
            <w:r>
              <w:rPr>
                <w:rFonts w:hint="eastAsia" w:ascii="宋体" w:hAnsi="宋体" w:cs="宋体"/>
                <w:kern w:val="0"/>
                <w:sz w:val="24"/>
              </w:rPr>
              <w:t>1</w:t>
            </w:r>
          </w:p>
        </w:tc>
        <w:tc>
          <w:tcPr>
            <w:tcW w:w="2800" w:type="dxa"/>
            <w:vMerge w:val="restart"/>
            <w:tcBorders>
              <w:top w:val="single" w:color="auto" w:sz="4" w:space="0"/>
              <w:left w:val="single" w:color="auto" w:sz="4" w:space="0"/>
              <w:bottom w:val="single" w:color="auto" w:sz="4" w:space="0"/>
              <w:right w:val="single" w:color="auto" w:sz="4" w:space="0"/>
            </w:tcBorders>
            <w:vAlign w:val="center"/>
          </w:tcPr>
          <w:p w14:paraId="7C20E1D9">
            <w:pPr>
              <w:widowControl/>
              <w:spacing w:line="360" w:lineRule="auto"/>
              <w:jc w:val="left"/>
              <w:rPr>
                <w:rFonts w:ascii="宋体" w:hAnsi="宋体" w:cs="宋体"/>
                <w:kern w:val="0"/>
                <w:sz w:val="24"/>
              </w:rPr>
            </w:pPr>
            <w:r>
              <w:rPr>
                <w:rFonts w:hint="eastAsia" w:ascii="宋体" w:hAnsi="宋体" w:cs="宋体"/>
                <w:kern w:val="0"/>
                <w:sz w:val="24"/>
              </w:rPr>
              <w:t>《</w:t>
            </w:r>
            <w:r>
              <w:rPr>
                <w:rFonts w:ascii="宋体" w:hAnsi="宋体" w:cs="宋体"/>
                <w:kern w:val="0"/>
                <w:sz w:val="24"/>
              </w:rPr>
              <w:t>技术方案建议书》</w:t>
            </w:r>
          </w:p>
        </w:tc>
        <w:tc>
          <w:tcPr>
            <w:tcW w:w="1600" w:type="dxa"/>
            <w:tcBorders>
              <w:top w:val="single" w:color="auto" w:sz="4" w:space="0"/>
              <w:left w:val="single" w:color="auto" w:sz="4" w:space="0"/>
              <w:bottom w:val="single" w:color="auto" w:sz="4" w:space="0"/>
              <w:right w:val="single" w:color="auto" w:sz="4" w:space="0"/>
            </w:tcBorders>
            <w:vAlign w:val="center"/>
          </w:tcPr>
          <w:p w14:paraId="095A58FC">
            <w:pPr>
              <w:widowControl/>
              <w:spacing w:line="360" w:lineRule="auto"/>
              <w:jc w:val="center"/>
              <w:rPr>
                <w:rFonts w:ascii="宋体" w:hAnsi="宋体" w:cs="宋体"/>
                <w:kern w:val="0"/>
                <w:sz w:val="24"/>
              </w:rPr>
            </w:pPr>
            <w:r>
              <w:rPr>
                <w:rFonts w:hint="eastAsia" w:ascii="宋体" w:hAnsi="宋体" w:cs="宋体"/>
                <w:kern w:val="0"/>
                <w:sz w:val="24"/>
              </w:rPr>
              <w:t>光盘</w:t>
            </w:r>
          </w:p>
        </w:tc>
        <w:tc>
          <w:tcPr>
            <w:tcW w:w="1254" w:type="dxa"/>
            <w:tcBorders>
              <w:top w:val="single" w:color="auto" w:sz="4" w:space="0"/>
              <w:left w:val="single" w:color="auto" w:sz="4" w:space="0"/>
              <w:bottom w:val="single" w:color="auto" w:sz="4" w:space="0"/>
              <w:right w:val="single" w:color="auto" w:sz="4" w:space="0"/>
            </w:tcBorders>
            <w:vAlign w:val="center"/>
          </w:tcPr>
          <w:p w14:paraId="0ED58BA0">
            <w:pPr>
              <w:widowControl/>
              <w:spacing w:line="360" w:lineRule="auto"/>
              <w:jc w:val="center"/>
              <w:rPr>
                <w:rFonts w:ascii="宋体" w:hAnsi="宋体" w:cs="宋体"/>
                <w:kern w:val="0"/>
                <w:sz w:val="24"/>
              </w:rPr>
            </w:pPr>
            <w:r>
              <w:rPr>
                <w:rFonts w:hint="eastAsia" w:ascii="宋体" w:hAnsi="宋体" w:cs="宋体"/>
                <w:kern w:val="0"/>
                <w:sz w:val="24"/>
              </w:rPr>
              <w:t>1</w:t>
            </w:r>
          </w:p>
        </w:tc>
        <w:tc>
          <w:tcPr>
            <w:tcW w:w="1680" w:type="dxa"/>
            <w:vMerge w:val="restart"/>
            <w:tcBorders>
              <w:top w:val="single" w:color="auto" w:sz="4" w:space="0"/>
              <w:left w:val="single" w:color="auto" w:sz="4" w:space="0"/>
              <w:bottom w:val="single" w:color="auto" w:sz="4" w:space="0"/>
              <w:right w:val="single" w:color="auto" w:sz="4" w:space="0"/>
            </w:tcBorders>
            <w:vAlign w:val="center"/>
          </w:tcPr>
          <w:p w14:paraId="2AC74CB2">
            <w:pPr>
              <w:widowControl/>
              <w:spacing w:line="360" w:lineRule="auto"/>
              <w:jc w:val="center"/>
              <w:rPr>
                <w:rFonts w:ascii="宋体" w:hAnsi="宋体" w:cs="宋体"/>
                <w:kern w:val="0"/>
                <w:sz w:val="24"/>
              </w:rPr>
            </w:pPr>
            <w:r>
              <w:rPr>
                <w:rFonts w:hint="eastAsia" w:ascii="宋体" w:hAnsi="宋体" w:cs="宋体"/>
                <w:kern w:val="0"/>
                <w:sz w:val="24"/>
              </w:rPr>
              <w:t>初验前</w:t>
            </w:r>
          </w:p>
        </w:tc>
      </w:tr>
      <w:tr w14:paraId="2490203B">
        <w:trPr>
          <w:trHeight w:val="54"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3F67FA26">
            <w:pPr>
              <w:widowControl/>
              <w:spacing w:line="360" w:lineRule="auto"/>
              <w:jc w:val="left"/>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0B5EE372">
            <w:pPr>
              <w:widowControl/>
              <w:spacing w:line="360" w:lineRule="auto"/>
              <w:jc w:val="left"/>
              <w:rPr>
                <w:rFonts w:ascii="宋体" w:hAnsi="宋体" w:cs="宋体"/>
                <w:kern w:val="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1265BB68">
            <w:pPr>
              <w:widowControl/>
              <w:spacing w:line="360" w:lineRule="auto"/>
              <w:jc w:val="center"/>
              <w:rPr>
                <w:rFonts w:ascii="宋体" w:hAnsi="宋体" w:cs="宋体"/>
                <w:kern w:val="0"/>
                <w:sz w:val="24"/>
              </w:rPr>
            </w:pPr>
            <w:r>
              <w:rPr>
                <w:rFonts w:hint="eastAsia" w:ascii="宋体" w:hAnsi="宋体" w:cs="宋体"/>
                <w:kern w:val="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279A37ED">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25F9C99E">
            <w:pPr>
              <w:widowControl/>
              <w:spacing w:line="360" w:lineRule="auto"/>
              <w:jc w:val="center"/>
              <w:rPr>
                <w:rFonts w:ascii="宋体" w:hAnsi="宋体" w:cs="宋体"/>
                <w:kern w:val="0"/>
                <w:sz w:val="24"/>
              </w:rPr>
            </w:pPr>
          </w:p>
        </w:tc>
      </w:tr>
      <w:tr w14:paraId="526BF24D">
        <w:tblPrEx>
          <w:tblCellMar>
            <w:top w:w="0" w:type="dxa"/>
            <w:left w:w="108" w:type="dxa"/>
            <w:bottom w:w="0" w:type="dxa"/>
            <w:right w:w="108" w:type="dxa"/>
          </w:tblCellMar>
        </w:tblPrEx>
        <w:trPr>
          <w:trHeight w:val="300" w:hRule="atLeast"/>
        </w:trPr>
        <w:tc>
          <w:tcPr>
            <w:tcW w:w="841" w:type="dxa"/>
            <w:vMerge w:val="restart"/>
            <w:tcBorders>
              <w:top w:val="single" w:color="auto" w:sz="4" w:space="0"/>
              <w:left w:val="single" w:color="auto" w:sz="4" w:space="0"/>
              <w:bottom w:val="single" w:color="auto" w:sz="4" w:space="0"/>
              <w:right w:val="single" w:color="auto" w:sz="4" w:space="0"/>
            </w:tcBorders>
            <w:vAlign w:val="center"/>
          </w:tcPr>
          <w:p w14:paraId="0D78FCC6">
            <w:pPr>
              <w:widowControl/>
              <w:spacing w:line="360" w:lineRule="auto"/>
              <w:jc w:val="center"/>
              <w:rPr>
                <w:rFonts w:ascii="宋体" w:hAnsi="宋体" w:cs="宋体"/>
                <w:kern w:val="0"/>
                <w:sz w:val="24"/>
              </w:rPr>
            </w:pPr>
            <w:r>
              <w:rPr>
                <w:rFonts w:hint="eastAsia" w:ascii="宋体" w:hAnsi="宋体" w:cs="宋体"/>
                <w:kern w:val="0"/>
                <w:sz w:val="24"/>
              </w:rPr>
              <w:t>2</w:t>
            </w:r>
          </w:p>
        </w:tc>
        <w:tc>
          <w:tcPr>
            <w:tcW w:w="2800" w:type="dxa"/>
            <w:vMerge w:val="restart"/>
            <w:tcBorders>
              <w:top w:val="single" w:color="auto" w:sz="4" w:space="0"/>
              <w:left w:val="single" w:color="auto" w:sz="4" w:space="0"/>
              <w:bottom w:val="single" w:color="auto" w:sz="4" w:space="0"/>
              <w:right w:val="single" w:color="auto" w:sz="4" w:space="0"/>
            </w:tcBorders>
            <w:vAlign w:val="center"/>
          </w:tcPr>
          <w:p w14:paraId="634C50C4">
            <w:pPr>
              <w:spacing w:line="360" w:lineRule="auto"/>
              <w:rPr>
                <w:rFonts w:ascii="宋体" w:hAnsi="宋体" w:cs="宋体"/>
                <w:color w:val="000000"/>
                <w:sz w:val="24"/>
              </w:rPr>
            </w:pPr>
            <w:r>
              <w:rPr>
                <w:rFonts w:hint="eastAsia" w:ascii="宋体" w:hAnsi="宋体"/>
                <w:color w:val="000000"/>
                <w:sz w:val="24"/>
              </w:rPr>
              <w:t>《测试用例》</w:t>
            </w:r>
          </w:p>
        </w:tc>
        <w:tc>
          <w:tcPr>
            <w:tcW w:w="1600" w:type="dxa"/>
            <w:tcBorders>
              <w:top w:val="single" w:color="auto" w:sz="4" w:space="0"/>
              <w:left w:val="single" w:color="auto" w:sz="4" w:space="0"/>
              <w:bottom w:val="single" w:color="auto" w:sz="4" w:space="0"/>
              <w:right w:val="single" w:color="auto" w:sz="4" w:space="0"/>
            </w:tcBorders>
            <w:vAlign w:val="center"/>
          </w:tcPr>
          <w:p w14:paraId="2960E789">
            <w:pPr>
              <w:spacing w:line="360" w:lineRule="auto"/>
              <w:jc w:val="center"/>
              <w:rPr>
                <w:rFonts w:ascii="宋体" w:hAnsi="宋体" w:cs="宋体"/>
                <w:color w:val="000000"/>
                <w:sz w:val="24"/>
              </w:rPr>
            </w:pPr>
            <w:r>
              <w:rPr>
                <w:rFonts w:hint="eastAsia" w:ascii="宋体" w:hAnsi="宋体"/>
                <w:color w:val="000000"/>
                <w:sz w:val="24"/>
              </w:rPr>
              <w:t>光盘</w:t>
            </w:r>
          </w:p>
        </w:tc>
        <w:tc>
          <w:tcPr>
            <w:tcW w:w="1254" w:type="dxa"/>
            <w:tcBorders>
              <w:top w:val="single" w:color="auto" w:sz="4" w:space="0"/>
              <w:left w:val="single" w:color="auto" w:sz="4" w:space="0"/>
              <w:bottom w:val="single" w:color="auto" w:sz="4" w:space="0"/>
              <w:right w:val="single" w:color="auto" w:sz="4" w:space="0"/>
            </w:tcBorders>
            <w:vAlign w:val="center"/>
          </w:tcPr>
          <w:p w14:paraId="355E8D32">
            <w:pPr>
              <w:widowControl/>
              <w:spacing w:line="360" w:lineRule="auto"/>
              <w:jc w:val="center"/>
              <w:rPr>
                <w:rFonts w:ascii="宋体" w:hAnsi="宋体" w:cs="宋体"/>
                <w:kern w:val="0"/>
                <w:sz w:val="24"/>
              </w:rPr>
            </w:pPr>
            <w:r>
              <w:rPr>
                <w:rFonts w:hint="eastAsia" w:ascii="宋体" w:hAnsi="宋体" w:cs="宋体"/>
                <w:kern w:val="0"/>
                <w:sz w:val="24"/>
              </w:rPr>
              <w:t>1</w:t>
            </w:r>
          </w:p>
        </w:tc>
        <w:tc>
          <w:tcPr>
            <w:tcW w:w="1680" w:type="dxa"/>
            <w:vMerge w:val="restart"/>
            <w:tcBorders>
              <w:top w:val="single" w:color="auto" w:sz="4" w:space="0"/>
              <w:left w:val="single" w:color="auto" w:sz="4" w:space="0"/>
              <w:bottom w:val="single" w:color="auto" w:sz="4" w:space="0"/>
              <w:right w:val="single" w:color="auto" w:sz="4" w:space="0"/>
            </w:tcBorders>
            <w:vAlign w:val="center"/>
          </w:tcPr>
          <w:p w14:paraId="70C628BD">
            <w:pPr>
              <w:spacing w:line="360" w:lineRule="auto"/>
              <w:jc w:val="center"/>
              <w:rPr>
                <w:rFonts w:ascii="宋体" w:hAnsi="宋体" w:cs="宋体"/>
                <w:kern w:val="0"/>
                <w:sz w:val="24"/>
              </w:rPr>
            </w:pPr>
            <w:r>
              <w:rPr>
                <w:rFonts w:hint="eastAsia" w:ascii="宋体" w:hAnsi="宋体" w:cs="宋体"/>
                <w:kern w:val="0"/>
                <w:sz w:val="24"/>
              </w:rPr>
              <w:t>初验前</w:t>
            </w:r>
          </w:p>
        </w:tc>
      </w:tr>
      <w:tr w14:paraId="4BA1422B">
        <w:tblPrEx>
          <w:tblCellMar>
            <w:top w:w="0" w:type="dxa"/>
            <w:left w:w="108" w:type="dxa"/>
            <w:bottom w:w="0" w:type="dxa"/>
            <w:right w:w="108" w:type="dxa"/>
          </w:tblCellMar>
        </w:tblPrEx>
        <w:trPr>
          <w:trHeight w:val="300"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6982739F">
            <w:pPr>
              <w:widowControl/>
              <w:spacing w:line="360" w:lineRule="auto"/>
              <w:jc w:val="left"/>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6729180E">
            <w:pPr>
              <w:widowControl/>
              <w:spacing w:line="360" w:lineRule="auto"/>
              <w:jc w:val="left"/>
              <w:rPr>
                <w:rFonts w:ascii="宋体" w:hAnsi="宋体" w:cs="宋体"/>
                <w:kern w:val="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15851508">
            <w:pPr>
              <w:widowControl/>
              <w:spacing w:line="360" w:lineRule="auto"/>
              <w:jc w:val="center"/>
              <w:rPr>
                <w:rFonts w:ascii="宋体" w:hAnsi="宋体" w:cs="宋体"/>
                <w:kern w:val="0"/>
                <w:sz w:val="24"/>
              </w:rPr>
            </w:pPr>
            <w:r>
              <w:rPr>
                <w:rFonts w:hint="eastAsia" w:ascii="宋体" w:hAnsi="宋体"/>
                <w:color w:val="00000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04229B8E">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73E58C36">
            <w:pPr>
              <w:widowControl/>
              <w:spacing w:line="360" w:lineRule="auto"/>
              <w:jc w:val="center"/>
              <w:rPr>
                <w:rFonts w:ascii="宋体" w:hAnsi="宋体" w:cs="宋体"/>
                <w:kern w:val="0"/>
                <w:sz w:val="24"/>
              </w:rPr>
            </w:pPr>
          </w:p>
        </w:tc>
      </w:tr>
      <w:tr w14:paraId="0560C5CC">
        <w:tblPrEx>
          <w:tblCellMar>
            <w:top w:w="0" w:type="dxa"/>
            <w:left w:w="108" w:type="dxa"/>
            <w:bottom w:w="0" w:type="dxa"/>
            <w:right w:w="108" w:type="dxa"/>
          </w:tblCellMar>
        </w:tblPrEx>
        <w:trPr>
          <w:trHeight w:val="300" w:hRule="atLeast"/>
        </w:trPr>
        <w:tc>
          <w:tcPr>
            <w:tcW w:w="841" w:type="dxa"/>
            <w:vMerge w:val="restart"/>
            <w:tcBorders>
              <w:top w:val="single" w:color="auto" w:sz="4" w:space="0"/>
              <w:left w:val="single" w:color="auto" w:sz="4" w:space="0"/>
              <w:bottom w:val="single" w:color="auto" w:sz="4" w:space="0"/>
              <w:right w:val="single" w:color="auto" w:sz="4" w:space="0"/>
            </w:tcBorders>
            <w:vAlign w:val="center"/>
          </w:tcPr>
          <w:p w14:paraId="0E103849">
            <w:pPr>
              <w:widowControl/>
              <w:spacing w:line="360" w:lineRule="auto"/>
              <w:jc w:val="center"/>
              <w:rPr>
                <w:rFonts w:ascii="宋体" w:hAnsi="宋体" w:cs="宋体"/>
                <w:kern w:val="0"/>
                <w:sz w:val="24"/>
              </w:rPr>
            </w:pPr>
            <w:r>
              <w:rPr>
                <w:rFonts w:hint="eastAsia" w:ascii="宋体" w:hAnsi="宋体" w:cs="宋体"/>
                <w:kern w:val="0"/>
                <w:sz w:val="24"/>
              </w:rPr>
              <w:t>3</w:t>
            </w:r>
          </w:p>
        </w:tc>
        <w:tc>
          <w:tcPr>
            <w:tcW w:w="2800" w:type="dxa"/>
            <w:vMerge w:val="restart"/>
            <w:tcBorders>
              <w:top w:val="single" w:color="auto" w:sz="4" w:space="0"/>
              <w:left w:val="single" w:color="auto" w:sz="4" w:space="0"/>
              <w:bottom w:val="single" w:color="auto" w:sz="4" w:space="0"/>
              <w:right w:val="single" w:color="auto" w:sz="4" w:space="0"/>
            </w:tcBorders>
            <w:vAlign w:val="center"/>
          </w:tcPr>
          <w:p w14:paraId="73BEA3F6">
            <w:pPr>
              <w:spacing w:line="360" w:lineRule="auto"/>
              <w:rPr>
                <w:rFonts w:ascii="宋体" w:hAnsi="宋体" w:cs="宋体"/>
                <w:color w:val="000000"/>
                <w:sz w:val="24"/>
              </w:rPr>
            </w:pPr>
            <w:r>
              <w:rPr>
                <w:rFonts w:hint="eastAsia" w:ascii="宋体" w:hAnsi="宋体"/>
                <w:color w:val="000000"/>
                <w:sz w:val="24"/>
              </w:rPr>
              <w:t>《数据模型说明文档》</w:t>
            </w:r>
          </w:p>
        </w:tc>
        <w:tc>
          <w:tcPr>
            <w:tcW w:w="1600" w:type="dxa"/>
            <w:tcBorders>
              <w:top w:val="single" w:color="auto" w:sz="4" w:space="0"/>
              <w:left w:val="single" w:color="auto" w:sz="4" w:space="0"/>
              <w:bottom w:val="single" w:color="auto" w:sz="4" w:space="0"/>
              <w:right w:val="single" w:color="auto" w:sz="4" w:space="0"/>
            </w:tcBorders>
            <w:vAlign w:val="center"/>
          </w:tcPr>
          <w:p w14:paraId="182090D3">
            <w:pPr>
              <w:widowControl/>
              <w:spacing w:line="360" w:lineRule="auto"/>
              <w:jc w:val="center"/>
              <w:rPr>
                <w:rFonts w:ascii="宋体" w:hAnsi="宋体" w:cs="宋体"/>
                <w:kern w:val="0"/>
                <w:sz w:val="24"/>
              </w:rPr>
            </w:pPr>
            <w:r>
              <w:rPr>
                <w:rFonts w:hint="eastAsia" w:ascii="宋体" w:hAnsi="宋体" w:cs="宋体"/>
                <w:kern w:val="0"/>
                <w:sz w:val="24"/>
              </w:rPr>
              <w:t>光盘</w:t>
            </w:r>
          </w:p>
        </w:tc>
        <w:tc>
          <w:tcPr>
            <w:tcW w:w="1254" w:type="dxa"/>
            <w:tcBorders>
              <w:top w:val="single" w:color="auto" w:sz="4" w:space="0"/>
              <w:left w:val="single" w:color="auto" w:sz="4" w:space="0"/>
              <w:bottom w:val="single" w:color="auto" w:sz="4" w:space="0"/>
              <w:right w:val="single" w:color="auto" w:sz="4" w:space="0"/>
            </w:tcBorders>
            <w:vAlign w:val="center"/>
          </w:tcPr>
          <w:p w14:paraId="4C5A367C">
            <w:pPr>
              <w:widowControl/>
              <w:spacing w:line="360" w:lineRule="auto"/>
              <w:jc w:val="center"/>
              <w:rPr>
                <w:rFonts w:ascii="宋体" w:hAnsi="宋体" w:cs="宋体"/>
                <w:kern w:val="0"/>
                <w:sz w:val="24"/>
              </w:rPr>
            </w:pPr>
            <w:r>
              <w:rPr>
                <w:rFonts w:hint="eastAsia" w:ascii="宋体" w:hAnsi="宋体" w:cs="宋体"/>
                <w:kern w:val="0"/>
                <w:sz w:val="24"/>
              </w:rPr>
              <w:t>1</w:t>
            </w:r>
          </w:p>
        </w:tc>
        <w:tc>
          <w:tcPr>
            <w:tcW w:w="1680" w:type="dxa"/>
            <w:vMerge w:val="restart"/>
            <w:tcBorders>
              <w:top w:val="single" w:color="auto" w:sz="4" w:space="0"/>
              <w:left w:val="single" w:color="auto" w:sz="4" w:space="0"/>
              <w:bottom w:val="single" w:color="auto" w:sz="4" w:space="0"/>
              <w:right w:val="single" w:color="auto" w:sz="4" w:space="0"/>
            </w:tcBorders>
            <w:vAlign w:val="center"/>
          </w:tcPr>
          <w:p w14:paraId="65CD4D7E">
            <w:pPr>
              <w:widowControl/>
              <w:spacing w:line="360" w:lineRule="auto"/>
              <w:jc w:val="center"/>
              <w:rPr>
                <w:rFonts w:ascii="宋体" w:hAnsi="宋体" w:cs="宋体"/>
                <w:kern w:val="0"/>
                <w:sz w:val="24"/>
              </w:rPr>
            </w:pPr>
            <w:r>
              <w:rPr>
                <w:rFonts w:hint="eastAsia" w:ascii="宋体" w:hAnsi="宋体" w:cs="宋体"/>
                <w:kern w:val="0"/>
                <w:sz w:val="24"/>
              </w:rPr>
              <w:t>初验前</w:t>
            </w:r>
          </w:p>
        </w:tc>
      </w:tr>
      <w:tr w14:paraId="7F1BDD15">
        <w:tblPrEx>
          <w:tblCellMar>
            <w:top w:w="0" w:type="dxa"/>
            <w:left w:w="108" w:type="dxa"/>
            <w:bottom w:w="0" w:type="dxa"/>
            <w:right w:w="108" w:type="dxa"/>
          </w:tblCellMar>
        </w:tblPrEx>
        <w:trPr>
          <w:trHeight w:val="300"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7A0297E7">
            <w:pPr>
              <w:widowControl/>
              <w:spacing w:line="360" w:lineRule="auto"/>
              <w:jc w:val="center"/>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36627FE5">
            <w:pPr>
              <w:spacing w:line="360" w:lineRule="auto"/>
              <w:rPr>
                <w:rFonts w:ascii="宋体" w:hAnsi="宋体"/>
                <w:color w:val="00000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2C4AEDE1">
            <w:pPr>
              <w:widowControl/>
              <w:spacing w:line="360" w:lineRule="auto"/>
              <w:jc w:val="center"/>
              <w:rPr>
                <w:rFonts w:ascii="宋体" w:hAnsi="宋体" w:cs="宋体"/>
                <w:kern w:val="0"/>
                <w:sz w:val="24"/>
              </w:rPr>
            </w:pPr>
            <w:r>
              <w:rPr>
                <w:rFonts w:hint="eastAsia" w:ascii="宋体" w:hAnsi="宋体"/>
                <w:color w:val="00000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6F970AD4">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07D85EB3">
            <w:pPr>
              <w:widowControl/>
              <w:spacing w:line="360" w:lineRule="auto"/>
              <w:jc w:val="center"/>
              <w:rPr>
                <w:rFonts w:ascii="宋体" w:hAnsi="宋体" w:cs="宋体"/>
                <w:kern w:val="0"/>
                <w:sz w:val="24"/>
              </w:rPr>
            </w:pPr>
          </w:p>
        </w:tc>
      </w:tr>
      <w:tr w14:paraId="24E83FA6">
        <w:trPr>
          <w:trHeight w:val="300" w:hRule="atLeast"/>
        </w:trPr>
        <w:tc>
          <w:tcPr>
            <w:tcW w:w="841" w:type="dxa"/>
            <w:vMerge w:val="restart"/>
            <w:tcBorders>
              <w:top w:val="single" w:color="auto" w:sz="4" w:space="0"/>
              <w:left w:val="single" w:color="auto" w:sz="4" w:space="0"/>
              <w:bottom w:val="single" w:color="auto" w:sz="4" w:space="0"/>
              <w:right w:val="single" w:color="auto" w:sz="4" w:space="0"/>
            </w:tcBorders>
            <w:vAlign w:val="center"/>
          </w:tcPr>
          <w:p w14:paraId="45E39973">
            <w:pPr>
              <w:widowControl/>
              <w:spacing w:line="360" w:lineRule="auto"/>
              <w:jc w:val="center"/>
              <w:rPr>
                <w:rFonts w:ascii="宋体" w:hAnsi="宋体" w:cs="宋体"/>
                <w:kern w:val="0"/>
                <w:sz w:val="24"/>
              </w:rPr>
            </w:pPr>
            <w:r>
              <w:rPr>
                <w:rFonts w:ascii="宋体" w:hAnsi="宋体" w:cs="宋体"/>
                <w:kern w:val="0"/>
                <w:sz w:val="24"/>
              </w:rPr>
              <w:t>4</w:t>
            </w:r>
          </w:p>
        </w:tc>
        <w:tc>
          <w:tcPr>
            <w:tcW w:w="2800" w:type="dxa"/>
            <w:vMerge w:val="restart"/>
            <w:tcBorders>
              <w:top w:val="single" w:color="auto" w:sz="4" w:space="0"/>
              <w:left w:val="single" w:color="auto" w:sz="4" w:space="0"/>
              <w:bottom w:val="single" w:color="auto" w:sz="4" w:space="0"/>
              <w:right w:val="single" w:color="auto" w:sz="4" w:space="0"/>
            </w:tcBorders>
            <w:vAlign w:val="center"/>
          </w:tcPr>
          <w:p w14:paraId="7CD0A7A1">
            <w:pPr>
              <w:spacing w:line="360" w:lineRule="auto"/>
              <w:rPr>
                <w:rFonts w:ascii="宋体" w:hAnsi="宋体" w:cs="宋体"/>
                <w:color w:val="000000"/>
                <w:sz w:val="24"/>
              </w:rPr>
            </w:pPr>
            <w:r>
              <w:rPr>
                <w:rFonts w:hint="eastAsia" w:ascii="宋体" w:hAnsi="宋体"/>
                <w:color w:val="000000"/>
                <w:sz w:val="24"/>
              </w:rPr>
              <w:t>《项目用户操作手册》</w:t>
            </w:r>
          </w:p>
        </w:tc>
        <w:tc>
          <w:tcPr>
            <w:tcW w:w="1600" w:type="dxa"/>
            <w:tcBorders>
              <w:top w:val="single" w:color="auto" w:sz="4" w:space="0"/>
              <w:left w:val="single" w:color="auto" w:sz="4" w:space="0"/>
              <w:bottom w:val="single" w:color="auto" w:sz="4" w:space="0"/>
              <w:right w:val="single" w:color="auto" w:sz="4" w:space="0"/>
            </w:tcBorders>
            <w:vAlign w:val="center"/>
          </w:tcPr>
          <w:p w14:paraId="67CFC1CF">
            <w:pPr>
              <w:widowControl/>
              <w:spacing w:line="360" w:lineRule="auto"/>
              <w:jc w:val="center"/>
              <w:rPr>
                <w:rFonts w:ascii="宋体" w:hAnsi="宋体" w:cs="宋体"/>
                <w:kern w:val="0"/>
                <w:sz w:val="24"/>
              </w:rPr>
            </w:pPr>
            <w:r>
              <w:rPr>
                <w:rFonts w:hint="eastAsia" w:ascii="宋体" w:hAnsi="宋体" w:cs="宋体"/>
                <w:kern w:val="0"/>
                <w:sz w:val="24"/>
              </w:rPr>
              <w:t>光盘</w:t>
            </w:r>
          </w:p>
        </w:tc>
        <w:tc>
          <w:tcPr>
            <w:tcW w:w="1254" w:type="dxa"/>
            <w:tcBorders>
              <w:top w:val="single" w:color="auto" w:sz="4" w:space="0"/>
              <w:left w:val="single" w:color="auto" w:sz="4" w:space="0"/>
              <w:bottom w:val="single" w:color="auto" w:sz="4" w:space="0"/>
              <w:right w:val="single" w:color="auto" w:sz="4" w:space="0"/>
            </w:tcBorders>
            <w:vAlign w:val="center"/>
          </w:tcPr>
          <w:p w14:paraId="61371B56">
            <w:pPr>
              <w:widowControl/>
              <w:spacing w:line="360" w:lineRule="auto"/>
              <w:jc w:val="center"/>
              <w:rPr>
                <w:rFonts w:ascii="宋体" w:hAnsi="宋体" w:cs="宋体"/>
                <w:kern w:val="0"/>
                <w:sz w:val="24"/>
              </w:rPr>
            </w:pPr>
            <w:r>
              <w:rPr>
                <w:rFonts w:hint="eastAsia" w:ascii="宋体" w:hAnsi="宋体" w:cs="宋体"/>
                <w:kern w:val="0"/>
                <w:sz w:val="24"/>
              </w:rPr>
              <w:t>1</w:t>
            </w:r>
          </w:p>
        </w:tc>
        <w:tc>
          <w:tcPr>
            <w:tcW w:w="1680" w:type="dxa"/>
            <w:vMerge w:val="restart"/>
            <w:tcBorders>
              <w:top w:val="single" w:color="auto" w:sz="4" w:space="0"/>
              <w:left w:val="single" w:color="auto" w:sz="4" w:space="0"/>
              <w:bottom w:val="single" w:color="auto" w:sz="4" w:space="0"/>
              <w:right w:val="single" w:color="auto" w:sz="4" w:space="0"/>
            </w:tcBorders>
            <w:vAlign w:val="center"/>
          </w:tcPr>
          <w:p w14:paraId="163F476D">
            <w:pPr>
              <w:widowControl/>
              <w:spacing w:line="360" w:lineRule="auto"/>
              <w:jc w:val="center"/>
              <w:rPr>
                <w:rFonts w:ascii="宋体" w:hAnsi="宋体" w:cs="宋体"/>
                <w:kern w:val="0"/>
                <w:sz w:val="24"/>
              </w:rPr>
            </w:pPr>
            <w:r>
              <w:rPr>
                <w:rFonts w:hint="eastAsia" w:ascii="宋体" w:hAnsi="宋体" w:cs="宋体"/>
                <w:kern w:val="0"/>
                <w:sz w:val="24"/>
              </w:rPr>
              <w:t>初验前</w:t>
            </w:r>
          </w:p>
        </w:tc>
      </w:tr>
      <w:tr w14:paraId="658E0D69">
        <w:tblPrEx>
          <w:tblCellMar>
            <w:top w:w="0" w:type="dxa"/>
            <w:left w:w="108" w:type="dxa"/>
            <w:bottom w:w="0" w:type="dxa"/>
            <w:right w:w="108" w:type="dxa"/>
          </w:tblCellMar>
        </w:tblPrEx>
        <w:trPr>
          <w:trHeight w:val="300"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511272D0">
            <w:pPr>
              <w:widowControl/>
              <w:spacing w:line="360" w:lineRule="auto"/>
              <w:jc w:val="left"/>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00B9C8D3">
            <w:pPr>
              <w:widowControl/>
              <w:spacing w:line="360" w:lineRule="auto"/>
              <w:jc w:val="left"/>
              <w:rPr>
                <w:rFonts w:ascii="宋体" w:hAnsi="宋体" w:cs="宋体"/>
                <w:kern w:val="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75DF1FFE">
            <w:pPr>
              <w:widowControl/>
              <w:spacing w:line="360" w:lineRule="auto"/>
              <w:jc w:val="center"/>
              <w:rPr>
                <w:rFonts w:ascii="宋体" w:hAnsi="宋体" w:cs="宋体"/>
                <w:kern w:val="0"/>
                <w:sz w:val="24"/>
              </w:rPr>
            </w:pPr>
            <w:r>
              <w:rPr>
                <w:rFonts w:hint="eastAsia" w:ascii="宋体" w:hAnsi="宋体" w:cs="宋体"/>
                <w:kern w:val="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00C1C3EE">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4B99B321">
            <w:pPr>
              <w:widowControl/>
              <w:spacing w:line="360" w:lineRule="auto"/>
              <w:jc w:val="center"/>
              <w:rPr>
                <w:rFonts w:ascii="宋体" w:hAnsi="宋体" w:cs="宋体"/>
                <w:kern w:val="0"/>
                <w:sz w:val="24"/>
              </w:rPr>
            </w:pPr>
          </w:p>
        </w:tc>
      </w:tr>
      <w:tr w14:paraId="5730FF96">
        <w:tblPrEx>
          <w:tblCellMar>
            <w:top w:w="0" w:type="dxa"/>
            <w:left w:w="108" w:type="dxa"/>
            <w:bottom w:w="0" w:type="dxa"/>
            <w:right w:w="108" w:type="dxa"/>
          </w:tblCellMar>
        </w:tblPrEx>
        <w:trPr>
          <w:trHeight w:val="300"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51375519">
            <w:pPr>
              <w:widowControl/>
              <w:spacing w:line="360" w:lineRule="auto"/>
              <w:jc w:val="left"/>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2E753D17">
            <w:pPr>
              <w:widowControl/>
              <w:spacing w:line="360" w:lineRule="auto"/>
              <w:jc w:val="left"/>
              <w:rPr>
                <w:rFonts w:ascii="宋体" w:hAnsi="宋体" w:cs="宋体"/>
                <w:kern w:val="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276DC540">
            <w:pPr>
              <w:widowControl/>
              <w:spacing w:line="360" w:lineRule="auto"/>
              <w:jc w:val="center"/>
              <w:rPr>
                <w:rFonts w:ascii="宋体" w:hAnsi="宋体" w:cs="宋体"/>
                <w:kern w:val="0"/>
                <w:sz w:val="24"/>
              </w:rPr>
            </w:pPr>
            <w:r>
              <w:rPr>
                <w:rFonts w:hint="eastAsia" w:ascii="宋体" w:hAnsi="宋体" w:cs="宋体"/>
                <w:kern w:val="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023232D4">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790D28BB">
            <w:pPr>
              <w:widowControl/>
              <w:spacing w:line="360" w:lineRule="auto"/>
              <w:jc w:val="center"/>
              <w:rPr>
                <w:rFonts w:ascii="宋体" w:hAnsi="宋体" w:cs="宋体"/>
                <w:kern w:val="0"/>
                <w:sz w:val="24"/>
              </w:rPr>
            </w:pPr>
          </w:p>
        </w:tc>
      </w:tr>
      <w:tr w14:paraId="719DFEC7">
        <w:tblPrEx>
          <w:tblCellMar>
            <w:top w:w="0" w:type="dxa"/>
            <w:left w:w="108" w:type="dxa"/>
            <w:bottom w:w="0" w:type="dxa"/>
            <w:right w:w="108" w:type="dxa"/>
          </w:tblCellMar>
        </w:tblPrEx>
        <w:trPr>
          <w:trHeight w:val="300" w:hRule="atLeast"/>
        </w:trPr>
        <w:tc>
          <w:tcPr>
            <w:tcW w:w="841" w:type="dxa"/>
            <w:vMerge w:val="continue"/>
            <w:tcBorders>
              <w:top w:val="single" w:color="auto" w:sz="4" w:space="0"/>
              <w:left w:val="single" w:color="auto" w:sz="4" w:space="0"/>
              <w:bottom w:val="single" w:color="auto" w:sz="4" w:space="0"/>
              <w:right w:val="single" w:color="auto" w:sz="4" w:space="0"/>
            </w:tcBorders>
            <w:vAlign w:val="center"/>
          </w:tcPr>
          <w:p w14:paraId="5363379B">
            <w:pPr>
              <w:widowControl/>
              <w:spacing w:line="360" w:lineRule="auto"/>
              <w:jc w:val="left"/>
              <w:rPr>
                <w:rFonts w:ascii="宋体" w:hAnsi="宋体" w:cs="宋体"/>
                <w:kern w:val="0"/>
                <w:sz w:val="24"/>
              </w:rPr>
            </w:pPr>
          </w:p>
        </w:tc>
        <w:tc>
          <w:tcPr>
            <w:tcW w:w="2800" w:type="dxa"/>
            <w:vMerge w:val="continue"/>
            <w:tcBorders>
              <w:top w:val="single" w:color="auto" w:sz="4" w:space="0"/>
              <w:left w:val="single" w:color="auto" w:sz="4" w:space="0"/>
              <w:bottom w:val="single" w:color="auto" w:sz="4" w:space="0"/>
              <w:right w:val="single" w:color="auto" w:sz="4" w:space="0"/>
            </w:tcBorders>
            <w:vAlign w:val="center"/>
          </w:tcPr>
          <w:p w14:paraId="6F8A6B90">
            <w:pPr>
              <w:widowControl/>
              <w:spacing w:line="360" w:lineRule="auto"/>
              <w:jc w:val="left"/>
              <w:rPr>
                <w:rFonts w:ascii="宋体" w:hAnsi="宋体" w:cs="宋体"/>
                <w:kern w:val="0"/>
                <w:sz w:val="24"/>
              </w:rPr>
            </w:pPr>
          </w:p>
        </w:tc>
        <w:tc>
          <w:tcPr>
            <w:tcW w:w="1600" w:type="dxa"/>
            <w:tcBorders>
              <w:top w:val="single" w:color="auto" w:sz="4" w:space="0"/>
              <w:left w:val="single" w:color="auto" w:sz="4" w:space="0"/>
              <w:bottom w:val="single" w:color="auto" w:sz="4" w:space="0"/>
              <w:right w:val="single" w:color="auto" w:sz="4" w:space="0"/>
            </w:tcBorders>
            <w:vAlign w:val="center"/>
          </w:tcPr>
          <w:p w14:paraId="7F025DFC">
            <w:pPr>
              <w:widowControl/>
              <w:spacing w:line="360" w:lineRule="auto"/>
              <w:jc w:val="center"/>
              <w:rPr>
                <w:rFonts w:ascii="宋体" w:hAnsi="宋体" w:cs="宋体"/>
                <w:kern w:val="0"/>
                <w:sz w:val="24"/>
              </w:rPr>
            </w:pPr>
            <w:r>
              <w:rPr>
                <w:rFonts w:hint="eastAsia" w:ascii="宋体" w:hAnsi="宋体" w:cs="宋体"/>
                <w:kern w:val="0"/>
                <w:sz w:val="24"/>
              </w:rPr>
              <w:t>纸质</w:t>
            </w:r>
          </w:p>
        </w:tc>
        <w:tc>
          <w:tcPr>
            <w:tcW w:w="1254" w:type="dxa"/>
            <w:tcBorders>
              <w:top w:val="single" w:color="auto" w:sz="4" w:space="0"/>
              <w:left w:val="single" w:color="auto" w:sz="4" w:space="0"/>
              <w:bottom w:val="single" w:color="auto" w:sz="4" w:space="0"/>
              <w:right w:val="single" w:color="auto" w:sz="4" w:space="0"/>
            </w:tcBorders>
            <w:vAlign w:val="center"/>
          </w:tcPr>
          <w:p w14:paraId="4ABDD853">
            <w:pPr>
              <w:widowControl/>
              <w:spacing w:line="360" w:lineRule="auto"/>
              <w:jc w:val="center"/>
              <w:rPr>
                <w:rFonts w:ascii="宋体" w:hAnsi="宋体" w:cs="宋体"/>
                <w:kern w:val="0"/>
                <w:sz w:val="24"/>
              </w:rPr>
            </w:pPr>
            <w:r>
              <w:rPr>
                <w:rFonts w:hint="eastAsia" w:ascii="宋体" w:hAnsi="宋体" w:cs="宋体"/>
                <w:kern w:val="0"/>
                <w:sz w:val="24"/>
              </w:rPr>
              <w:t>2</w:t>
            </w:r>
          </w:p>
        </w:tc>
        <w:tc>
          <w:tcPr>
            <w:tcW w:w="1680" w:type="dxa"/>
            <w:vMerge w:val="continue"/>
            <w:tcBorders>
              <w:top w:val="single" w:color="auto" w:sz="4" w:space="0"/>
              <w:left w:val="single" w:color="auto" w:sz="4" w:space="0"/>
              <w:bottom w:val="single" w:color="auto" w:sz="4" w:space="0"/>
              <w:right w:val="single" w:color="auto" w:sz="4" w:space="0"/>
            </w:tcBorders>
            <w:vAlign w:val="center"/>
          </w:tcPr>
          <w:p w14:paraId="17377AF9">
            <w:pPr>
              <w:widowControl/>
              <w:spacing w:line="360" w:lineRule="auto"/>
              <w:jc w:val="center"/>
              <w:rPr>
                <w:rFonts w:ascii="宋体" w:hAnsi="宋体" w:cs="宋体"/>
                <w:kern w:val="0"/>
                <w:sz w:val="24"/>
              </w:rPr>
            </w:pPr>
          </w:p>
        </w:tc>
      </w:tr>
      <w:tr w14:paraId="50087FB8">
        <w:tblPrEx>
          <w:tblCellMar>
            <w:top w:w="0" w:type="dxa"/>
            <w:left w:w="108" w:type="dxa"/>
            <w:bottom w:w="0" w:type="dxa"/>
            <w:right w:w="108" w:type="dxa"/>
          </w:tblCellMar>
        </w:tblPrEx>
        <w:trPr>
          <w:trHeight w:val="300" w:hRule="atLeast"/>
        </w:trPr>
        <w:tc>
          <w:tcPr>
            <w:tcW w:w="841" w:type="dxa"/>
            <w:tcBorders>
              <w:top w:val="single" w:color="auto" w:sz="4" w:space="0"/>
              <w:left w:val="single" w:color="auto" w:sz="4" w:space="0"/>
              <w:bottom w:val="single" w:color="auto" w:sz="4" w:space="0"/>
              <w:right w:val="single" w:color="auto" w:sz="4" w:space="0"/>
            </w:tcBorders>
            <w:vAlign w:val="center"/>
          </w:tcPr>
          <w:p w14:paraId="008D6B67">
            <w:pPr>
              <w:widowControl/>
              <w:spacing w:line="360" w:lineRule="auto"/>
              <w:jc w:val="left"/>
              <w:rPr>
                <w:rFonts w:ascii="宋体" w:hAnsi="宋体" w:cs="宋体"/>
                <w:kern w:val="0"/>
                <w:sz w:val="24"/>
              </w:rPr>
            </w:pPr>
            <w:r>
              <w:rPr>
                <w:rFonts w:hint="eastAsia" w:ascii="宋体" w:hAnsi="宋体" w:cs="宋体"/>
                <w:kern w:val="0"/>
                <w:sz w:val="24"/>
              </w:rPr>
              <w:t>5</w:t>
            </w:r>
          </w:p>
        </w:tc>
        <w:tc>
          <w:tcPr>
            <w:tcW w:w="2800" w:type="dxa"/>
            <w:tcBorders>
              <w:top w:val="single" w:color="auto" w:sz="4" w:space="0"/>
              <w:left w:val="single" w:color="auto" w:sz="4" w:space="0"/>
              <w:bottom w:val="single" w:color="auto" w:sz="4" w:space="0"/>
              <w:right w:val="single" w:color="auto" w:sz="4" w:space="0"/>
            </w:tcBorders>
            <w:vAlign w:val="center"/>
          </w:tcPr>
          <w:p w14:paraId="000A3012">
            <w:pPr>
              <w:widowControl/>
              <w:spacing w:line="360" w:lineRule="auto"/>
              <w:jc w:val="left"/>
              <w:rPr>
                <w:rFonts w:ascii="宋体" w:hAnsi="宋体" w:cs="宋体"/>
                <w:kern w:val="0"/>
                <w:sz w:val="24"/>
              </w:rPr>
            </w:pPr>
            <w:r>
              <w:rPr>
                <w:rFonts w:ascii="宋体" w:hAnsi="宋体" w:cs="宋体"/>
                <w:kern w:val="0"/>
                <w:sz w:val="24"/>
              </w:rPr>
              <w:t>…</w:t>
            </w:r>
          </w:p>
        </w:tc>
        <w:tc>
          <w:tcPr>
            <w:tcW w:w="1600" w:type="dxa"/>
            <w:tcBorders>
              <w:top w:val="single" w:color="auto" w:sz="4" w:space="0"/>
              <w:left w:val="single" w:color="auto" w:sz="4" w:space="0"/>
              <w:bottom w:val="single" w:color="auto" w:sz="4" w:space="0"/>
              <w:right w:val="single" w:color="auto" w:sz="4" w:space="0"/>
            </w:tcBorders>
            <w:vAlign w:val="center"/>
          </w:tcPr>
          <w:p w14:paraId="52669480">
            <w:pPr>
              <w:widowControl/>
              <w:spacing w:line="360" w:lineRule="auto"/>
              <w:jc w:val="center"/>
              <w:rPr>
                <w:rFonts w:ascii="宋体" w:hAnsi="宋体" w:cs="宋体"/>
                <w:kern w:val="0"/>
                <w:sz w:val="24"/>
              </w:rPr>
            </w:pPr>
            <w:r>
              <w:rPr>
                <w:rFonts w:ascii="宋体" w:hAnsi="宋体" w:cs="宋体"/>
                <w:kern w:val="0"/>
                <w:sz w:val="24"/>
              </w:rPr>
              <w:t>…</w:t>
            </w:r>
          </w:p>
        </w:tc>
        <w:tc>
          <w:tcPr>
            <w:tcW w:w="1254" w:type="dxa"/>
            <w:tcBorders>
              <w:top w:val="single" w:color="auto" w:sz="4" w:space="0"/>
              <w:left w:val="single" w:color="auto" w:sz="4" w:space="0"/>
              <w:bottom w:val="single" w:color="auto" w:sz="4" w:space="0"/>
              <w:right w:val="single" w:color="auto" w:sz="4" w:space="0"/>
            </w:tcBorders>
            <w:vAlign w:val="center"/>
          </w:tcPr>
          <w:p w14:paraId="1F5AB2A0">
            <w:pPr>
              <w:widowControl/>
              <w:spacing w:line="360" w:lineRule="auto"/>
              <w:jc w:val="center"/>
              <w:rPr>
                <w:rFonts w:ascii="宋体" w:hAnsi="宋体" w:cs="宋体"/>
                <w:kern w:val="0"/>
                <w:sz w:val="24"/>
              </w:rPr>
            </w:pPr>
            <w:r>
              <w:rPr>
                <w:rFonts w:ascii="宋体" w:hAnsi="宋体" w:cs="宋体"/>
                <w:kern w:val="0"/>
                <w:sz w:val="24"/>
              </w:rPr>
              <w:t>…</w:t>
            </w:r>
          </w:p>
        </w:tc>
        <w:tc>
          <w:tcPr>
            <w:tcW w:w="1680" w:type="dxa"/>
            <w:tcBorders>
              <w:top w:val="single" w:color="auto" w:sz="4" w:space="0"/>
              <w:left w:val="single" w:color="auto" w:sz="4" w:space="0"/>
              <w:bottom w:val="single" w:color="auto" w:sz="4" w:space="0"/>
              <w:right w:val="single" w:color="auto" w:sz="4" w:space="0"/>
            </w:tcBorders>
            <w:vAlign w:val="center"/>
          </w:tcPr>
          <w:p w14:paraId="7A63A0FD">
            <w:pPr>
              <w:widowControl/>
              <w:spacing w:line="360" w:lineRule="auto"/>
              <w:jc w:val="center"/>
              <w:rPr>
                <w:rFonts w:ascii="宋体" w:hAnsi="宋体" w:cs="宋体"/>
                <w:kern w:val="0"/>
                <w:sz w:val="24"/>
              </w:rPr>
            </w:pPr>
            <w:r>
              <w:rPr>
                <w:rFonts w:ascii="宋体" w:hAnsi="宋体" w:cs="宋体"/>
                <w:kern w:val="0"/>
                <w:sz w:val="24"/>
              </w:rPr>
              <w:t>…</w:t>
            </w:r>
          </w:p>
        </w:tc>
      </w:tr>
    </w:tbl>
    <w:p w14:paraId="0EF17C65">
      <w:pPr>
        <w:tabs>
          <w:tab w:val="left" w:pos="588"/>
        </w:tabs>
        <w:snapToGrid w:val="0"/>
        <w:spacing w:before="120" w:after="120" w:line="440" w:lineRule="exact"/>
        <w:jc w:val="left"/>
        <w:rPr>
          <w:rFonts w:ascii="宋体" w:hAnsi="宋体"/>
          <w:sz w:val="24"/>
        </w:rPr>
      </w:pPr>
    </w:p>
    <w:p w14:paraId="75263EE2">
      <w:pPr>
        <w:widowControl/>
        <w:jc w:val="left"/>
        <w:rPr>
          <w:rFonts w:ascii="宋体" w:hAnsi="宋体"/>
          <w:sz w:val="24"/>
        </w:rPr>
      </w:pPr>
      <w:r>
        <w:rPr>
          <w:rFonts w:ascii="宋体" w:hAnsi="宋体"/>
          <w:sz w:val="24"/>
        </w:rPr>
        <w:br w:type="page"/>
      </w:r>
    </w:p>
    <w:p w14:paraId="52BCFCB9">
      <w:pPr>
        <w:tabs>
          <w:tab w:val="left" w:pos="588"/>
        </w:tabs>
        <w:snapToGrid w:val="0"/>
        <w:spacing w:before="120" w:after="120" w:line="440" w:lineRule="exact"/>
        <w:jc w:val="left"/>
        <w:outlineLvl w:val="2"/>
        <w:rPr>
          <w:rFonts w:ascii="宋体" w:hAnsi="宋体"/>
          <w:b/>
          <w:bCs/>
          <w:sz w:val="24"/>
        </w:rPr>
      </w:pPr>
      <w:bookmarkStart w:id="643" w:name="_Toc18605"/>
      <w:bookmarkStart w:id="644" w:name="_Toc21097"/>
      <w:bookmarkStart w:id="645" w:name="_Toc15202"/>
      <w:r>
        <w:rPr>
          <w:rFonts w:hint="eastAsia" w:ascii="宋体" w:hAnsi="宋体"/>
          <w:b/>
          <w:bCs/>
          <w:sz w:val="24"/>
        </w:rPr>
        <w:t>附件五：软件安装前测试方案、测试计划、初验、终验测试标准</w:t>
      </w:r>
      <w:bookmarkEnd w:id="643"/>
      <w:bookmarkEnd w:id="644"/>
      <w:bookmarkEnd w:id="645"/>
    </w:p>
    <w:p w14:paraId="720917C0">
      <w:pPr>
        <w:keepNext/>
        <w:keepLines/>
        <w:pageBreakBefore w:val="0"/>
        <w:widowControl w:val="0"/>
        <w:tabs>
          <w:tab w:val="left" w:pos="1440"/>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kern w:val="44"/>
          <w:sz w:val="22"/>
          <w:szCs w:val="22"/>
        </w:rPr>
      </w:pPr>
      <w:bookmarkStart w:id="646" w:name="_Toc28189841"/>
      <w:bookmarkStart w:id="647" w:name="_Toc958465722"/>
      <w:bookmarkStart w:id="648" w:name="_Toc53752075"/>
      <w:bookmarkStart w:id="649" w:name="_Toc8188"/>
      <w:bookmarkStart w:id="650" w:name="_Toc61025762"/>
      <w:bookmarkStart w:id="651" w:name="_Toc10484"/>
      <w:r>
        <w:rPr>
          <w:rFonts w:hint="eastAsia" w:ascii="宋体" w:hAnsi="宋体" w:eastAsia="宋体" w:cs="宋体"/>
          <w:b/>
          <w:bCs/>
          <w:kern w:val="44"/>
          <w:sz w:val="22"/>
          <w:szCs w:val="22"/>
        </w:rPr>
        <w:t>测试</w:t>
      </w:r>
      <w:bookmarkEnd w:id="646"/>
      <w:r>
        <w:rPr>
          <w:rFonts w:hint="eastAsia" w:ascii="宋体" w:hAnsi="宋体" w:eastAsia="宋体" w:cs="宋体"/>
          <w:b/>
          <w:bCs/>
          <w:kern w:val="44"/>
          <w:sz w:val="22"/>
          <w:szCs w:val="22"/>
        </w:rPr>
        <w:t>及验收</w:t>
      </w:r>
      <w:bookmarkEnd w:id="647"/>
      <w:bookmarkEnd w:id="648"/>
    </w:p>
    <w:p w14:paraId="0170C28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（1）系统完成开发及上线后，所有性能指标达到技术规范书的要求时，可进行初步验收，初验合格后进入试运行期。</w:t>
      </w:r>
    </w:p>
    <w:p w14:paraId="682571C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设备经过试运行期，所有性能指标达到技术规范书的要求时，可进行最终验收。在试运行期间，由于设备直联等造成某些指标达不到要求，允许乙方更换或进行修复，但试运行期顺延，在全部达到要求时，双方签署最终验收文件。</w:t>
      </w:r>
    </w:p>
    <w:p w14:paraId="76AB206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（3）保修期</w:t>
      </w:r>
    </w:p>
    <w:p w14:paraId="02FD3D7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自终验合格之日起一年为保修期。在保修期内，如果系统发生故障，乙方要调查故障原因并修复直至满足最终验收指标和性能的要求，以上都应是免费的。</w:t>
      </w:r>
    </w:p>
    <w:p w14:paraId="61E5B5C8">
      <w:pPr>
        <w:keepNext/>
        <w:keepLines/>
        <w:pageBreakBefore w:val="0"/>
        <w:widowControl w:val="0"/>
        <w:numPr>
          <w:ilvl w:val="0"/>
          <w:numId w:val="8"/>
        </w:numPr>
        <w:tabs>
          <w:tab w:val="left" w:pos="0"/>
          <w:tab w:val="left" w:pos="864"/>
        </w:tabs>
        <w:kinsoku/>
        <w:wordWrap/>
        <w:overflowPunct/>
        <w:topLinePunct w:val="0"/>
        <w:autoSpaceDE/>
        <w:autoSpaceDN/>
        <w:bidi w:val="0"/>
        <w:snapToGrid w:val="0"/>
        <w:spacing w:line="360" w:lineRule="auto"/>
        <w:ind w:left="0" w:firstLine="440" w:firstLineChars="200"/>
        <w:textAlignment w:val="auto"/>
        <w:rPr>
          <w:rFonts w:hint="eastAsia" w:ascii="宋体" w:hAnsi="宋体" w:eastAsia="宋体" w:cs="宋体"/>
          <w:vanish/>
          <w:kern w:val="0"/>
          <w:sz w:val="22"/>
          <w:szCs w:val="22"/>
        </w:rPr>
      </w:pPr>
      <w:bookmarkStart w:id="652" w:name="_Toc532390111"/>
      <w:bookmarkStart w:id="653" w:name="_Toc519302478"/>
      <w:bookmarkStart w:id="654" w:name="_Toc533081147"/>
      <w:bookmarkStart w:id="655" w:name="_Toc519302481"/>
    </w:p>
    <w:p w14:paraId="6206A3DF">
      <w:pPr>
        <w:keepNext/>
        <w:keepLines/>
        <w:pageBreakBefore w:val="0"/>
        <w:widowControl w:val="0"/>
        <w:numPr>
          <w:ilvl w:val="0"/>
          <w:numId w:val="8"/>
        </w:numPr>
        <w:tabs>
          <w:tab w:val="left" w:pos="0"/>
          <w:tab w:val="left" w:pos="864"/>
        </w:tabs>
        <w:kinsoku/>
        <w:wordWrap/>
        <w:overflowPunct/>
        <w:topLinePunct w:val="0"/>
        <w:autoSpaceDE/>
        <w:autoSpaceDN/>
        <w:bidi w:val="0"/>
        <w:snapToGrid w:val="0"/>
        <w:spacing w:line="360" w:lineRule="auto"/>
        <w:ind w:left="0" w:firstLine="440" w:firstLineChars="200"/>
        <w:textAlignment w:val="auto"/>
        <w:rPr>
          <w:rFonts w:hint="eastAsia" w:ascii="宋体" w:hAnsi="宋体" w:eastAsia="宋体" w:cs="宋体"/>
          <w:vanish/>
          <w:kern w:val="0"/>
          <w:sz w:val="22"/>
          <w:szCs w:val="22"/>
        </w:rPr>
      </w:pPr>
    </w:p>
    <w:p w14:paraId="1185A471">
      <w:pPr>
        <w:keepNext/>
        <w:keepLines/>
        <w:pageBreakBefore w:val="0"/>
        <w:widowControl w:val="0"/>
        <w:tabs>
          <w:tab w:val="left" w:pos="864"/>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kern w:val="44"/>
          <w:sz w:val="22"/>
          <w:szCs w:val="22"/>
        </w:rPr>
      </w:pPr>
      <w:bookmarkStart w:id="656" w:name="_Toc53752076"/>
      <w:bookmarkStart w:id="657" w:name="_Toc28189842"/>
      <w:r>
        <w:rPr>
          <w:rFonts w:hint="eastAsia" w:ascii="宋体" w:hAnsi="宋体" w:eastAsia="宋体" w:cs="宋体"/>
          <w:b/>
          <w:bCs/>
          <w:kern w:val="44"/>
          <w:sz w:val="22"/>
          <w:szCs w:val="22"/>
        </w:rPr>
        <w:t>测试概述</w:t>
      </w:r>
      <w:bookmarkEnd w:id="652"/>
      <w:bookmarkEnd w:id="653"/>
      <w:bookmarkEnd w:id="654"/>
      <w:bookmarkEnd w:id="656"/>
      <w:bookmarkEnd w:id="657"/>
    </w:p>
    <w:p w14:paraId="62657F94">
      <w:pPr>
        <w:keepNext/>
        <w:keepLines/>
        <w:pageBreakBefore w:val="0"/>
        <w:widowControl w:val="0"/>
        <w:numPr>
          <w:ilvl w:val="1"/>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58" w:name="_Toc53752077"/>
      <w:bookmarkStart w:id="659" w:name="_Toc476517862"/>
      <w:r>
        <w:rPr>
          <w:rFonts w:hint="eastAsia" w:ascii="宋体" w:hAnsi="宋体" w:eastAsia="宋体" w:cs="宋体"/>
          <w:b/>
          <w:bCs/>
          <w:sz w:val="22"/>
          <w:szCs w:val="22"/>
        </w:rPr>
        <w:t>软件测试准则</w:t>
      </w:r>
      <w:bookmarkEnd w:id="658"/>
      <w:bookmarkEnd w:id="659"/>
    </w:p>
    <w:p w14:paraId="45F152C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为确保软件的功能、性能等全部质量指标都能满足要求，我公司将对本系统的应用软件测试工作进行规范的管理，建立完善的测试管理体系。</w:t>
      </w:r>
    </w:p>
    <w:p w14:paraId="78E0510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本次应用软件测试工作的目标是：根据软件开发各阶段的技术文档和程序说明，精心设计和准备一批测试例和测试数据，利用这批测试用例和测试数据去运行程序，以期尽早尽量地发现程序错误。通过软件测试发现的问题，往往会牵涉到详细设计、概要设计，或需求分析等文档内容，为此软件测试过程中有必要对前期各阶段的技术文档进行进一步验证和核查。 </w:t>
      </w:r>
    </w:p>
    <w:p w14:paraId="381E92D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软件测试是检验和监控软件产品质量的重要手段，通过对软件产品的规范测试，验证应用软件能否实现需求分析的说明书所表述的内容，从而使交付给用户的软件产品质量得到保证。</w:t>
      </w:r>
    </w:p>
    <w:p w14:paraId="1629BB55">
      <w:pPr>
        <w:keepNext/>
        <w:keepLines/>
        <w:pageBreakBefore w:val="0"/>
        <w:widowControl w:val="0"/>
        <w:numPr>
          <w:ilvl w:val="1"/>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0" w:name="_Toc53752078"/>
      <w:r>
        <w:rPr>
          <w:rFonts w:hint="eastAsia" w:ascii="宋体" w:hAnsi="宋体" w:eastAsia="宋体" w:cs="宋体"/>
          <w:b/>
          <w:bCs/>
          <w:sz w:val="22"/>
          <w:szCs w:val="22"/>
        </w:rPr>
        <w:t>测试工作实施准则</w:t>
      </w:r>
      <w:bookmarkEnd w:id="660"/>
    </w:p>
    <w:p w14:paraId="27806278">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测试目的</w:t>
      </w:r>
    </w:p>
    <w:p w14:paraId="53473FD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结合本项目应用系统开发、运行、维护各阶段工作的实际需要，按照软件工程规范的要求，制定出各种测试计划，然后按湖北电信确认后的测试计划，分阶段、有组织地去开展各项软件测试活动。通过测试来验证和检查软件的各程序模块是否符合软件设计和编程规范的要求，以便尽量发现软件编程或设计中存在的问题和错误，并实施相应的纠正和重测。通过对软件全面、严格和规范的测试，确保测试活动的有效性和验证测试结果的可靠性，从而使交付给湖北电信的软件产品质量得到保证。</w:t>
      </w:r>
    </w:p>
    <w:p w14:paraId="478ECBE5">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测试原则</w:t>
      </w:r>
    </w:p>
    <w:p w14:paraId="1812B04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是寻找软件问题、发现错误的主要手段，也是开发方和用户方沟通的重要途径之一。软件中所有程序都必须经过严格的测试和确认后，才能提交给用户验收。根据本系统的特点，并考虑到用户方的要求，制定以下原则用于指导整个测试工作。</w:t>
      </w:r>
    </w:p>
    <w:p w14:paraId="5CB35B98">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制定规范和完整的测试计划，严格按计划组织测试，排除测试活动的随意性。</w:t>
      </w:r>
    </w:p>
    <w:p w14:paraId="55BDA737">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预先组强和准备好各种测试用例和测试数据，以保证测试活动的顺利开展。</w:t>
      </w:r>
    </w:p>
    <w:p w14:paraId="2EB1A206">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测试输入数据应与对应的预期输出结果配套。</w:t>
      </w:r>
    </w:p>
    <w:p w14:paraId="4D7474E2">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测试用例中不仅有合理的输入条件，还要有不合理的输入条件。</w:t>
      </w:r>
    </w:p>
    <w:p w14:paraId="18108105">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妥善保存各种测试文档及测试用例与数据，为以后软件重测和维护提供方便。</w:t>
      </w:r>
    </w:p>
    <w:p w14:paraId="1D08890D">
      <w:pPr>
        <w:pageBreakBefore w:val="0"/>
        <w:widowControl w:val="0"/>
        <w:numPr>
          <w:ilvl w:val="0"/>
          <w:numId w:val="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对每一个测试结果要做全面的分析和检查。</w:t>
      </w:r>
    </w:p>
    <w:p w14:paraId="3B84E9C9">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测试活动</w:t>
      </w:r>
    </w:p>
    <w:p w14:paraId="3971343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本项目的测试活动主要分为以下三类（其中集成测试和系统测试均由专门的测试人员进行，因此归为一类）：</w:t>
      </w:r>
    </w:p>
    <w:p w14:paraId="16E5985C">
      <w:pPr>
        <w:pageBreakBefore w:val="0"/>
        <w:widowControl w:val="0"/>
        <w:numPr>
          <w:ilvl w:val="0"/>
          <w:numId w:val="10"/>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单元测试</w:t>
      </w:r>
    </w:p>
    <w:p w14:paraId="7B3AA18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含义：软件实现阶段中，编码人员对自己负责编码的模块进行的自测，或者是编码的模块进行的自测，或者是编码人员之间所编模块的交叉测试(他测)。</w:t>
      </w:r>
    </w:p>
    <w:p w14:paraId="5A908B4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测试目的：验证模块的输入、输出、处理过程和运行状态的正确性，检查是否符合设计要求和编程规范。</w:t>
      </w:r>
    </w:p>
    <w:p w14:paraId="17649D4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相关文档：详细设计文档、编程规范、单元测试计划、单元测试报告等。</w:t>
      </w:r>
    </w:p>
    <w:p w14:paraId="09A23F1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测试人员：软件开发人员</w:t>
      </w:r>
    </w:p>
    <w:p w14:paraId="1EA381C1">
      <w:pPr>
        <w:pageBreakBefore w:val="0"/>
        <w:widowControl w:val="0"/>
        <w:numPr>
          <w:ilvl w:val="0"/>
          <w:numId w:val="10"/>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集成测试和系统测试</w:t>
      </w:r>
    </w:p>
    <w:p w14:paraId="0F8413A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含义：在单元测试的基础上，按照集成和系统测试的计划，依据软件设计的要求，对软件各模块进行组装测试。按软件需求规格说明书申定义的全部要求，在开发基地的模拟环境下，对软件系统内的所有成分、包括外部系统接口与数据联结，实施整体性的测试和确认。</w:t>
      </w:r>
    </w:p>
    <w:p w14:paraId="16BCF03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目的：验证模块之间的接口关系和数据衔接是否正确，组装后的子系统、全局数据结构、系统运行效果是否达到预先设计的要求。对软件的整体功能、性能、特性的有效性测试，并对软件配置与相关技术文档的内容进行复查，以验证被测软件是否满足需求分析说明书中的内容，以及软件配置及运行环境的效果确认。</w:t>
      </w:r>
    </w:p>
    <w:p w14:paraId="0878A30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相关文档：概要设计、详细设计文档、用户手册、集成和系统测试计划、集成和系统测试报告等。</w:t>
      </w:r>
    </w:p>
    <w:p w14:paraId="3185218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测试人员：测试小组测试人员。</w:t>
      </w:r>
    </w:p>
    <w:p w14:paraId="78CD346E">
      <w:pPr>
        <w:pageBreakBefore w:val="0"/>
        <w:widowControl w:val="0"/>
        <w:numPr>
          <w:ilvl w:val="0"/>
          <w:numId w:val="10"/>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验收测试</w:t>
      </w:r>
    </w:p>
    <w:p w14:paraId="4EA7DFB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含义：在系统测试基础上，以用户为主组织和准备现实业务中的实际用例和数据，在用户的实际运行环境中，对软件系统的功能需求和非功能需求进行全面的复查和测试。</w:t>
      </w:r>
    </w:p>
    <w:p w14:paraId="71F35A2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具体包括：功能是否符合需求分析说明，实际运行环境下的新系统能否达到预期的效果，系统的可靠性、安全性等性能是否有保障，用户对新系统的掌握和使用是否符合上岗要求等。</w:t>
      </w:r>
    </w:p>
    <w:p w14:paraId="3AF40C7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相关文档：软件分析与设计说明书、用户手册、验收测试计划、验收测试报告、用户使用报告等。</w:t>
      </w:r>
    </w:p>
    <w:p w14:paraId="3A135B3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测试人员：验收测试用户、测试人员、推广维护人员、质量监督人员。</w:t>
      </w:r>
    </w:p>
    <w:p w14:paraId="06182966">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测试方法</w:t>
      </w:r>
    </w:p>
    <w:p w14:paraId="7D148B98">
      <w:pPr>
        <w:pageBreakBefore w:val="0"/>
        <w:widowControl w:val="0"/>
        <w:numPr>
          <w:ilvl w:val="0"/>
          <w:numId w:val="1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黑盒测试(功能测试/数据驱动测试)</w:t>
      </w:r>
    </w:p>
    <w:p w14:paraId="6CA8F99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已知软件功能设计内容的前提下，由测试人员依据有关技术文档，着重测试和检验软件实现的功能是否符合要求，这种测试对软件或程序模块的内容结构与技术实现细节并不关心，而仅关心测试的软件或程序模块是否能正常运行，输入的数据、边界值等是否能被准确地接受，输出的结果是否正确，操作界面、操作效果、以及运行效果等是否达到了预定的目标。黑盒测试适用于各个阶段的测试活动。</w:t>
      </w:r>
    </w:p>
    <w:p w14:paraId="37A54E25">
      <w:pPr>
        <w:pageBreakBefore w:val="0"/>
        <w:widowControl w:val="0"/>
        <w:numPr>
          <w:ilvl w:val="0"/>
          <w:numId w:val="1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白盒测试(结构测试/逻辑驱动测试)</w:t>
      </w:r>
    </w:p>
    <w:p w14:paraId="32C83BB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已知软件或程序模块的内容结构与技术实现细节的情况下，由测试人员利用程序的内部逻辑结构与有关文档的信息，设计并准备测试用例与模拟数据，注重检测程序模块的逻辑路径、不同点的执行状态、模块接口、执行效果等。这种测试虽然难度较大、过程复杂，但测试效果显著。白盒测试适用于软件编码阶段的单元测试活动中。</w:t>
      </w:r>
    </w:p>
    <w:p w14:paraId="3789F03F">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测试类型</w:t>
      </w:r>
    </w:p>
    <w:p w14:paraId="6F9971B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本系统所采用到的测试类型如下：</w:t>
      </w:r>
    </w:p>
    <w:p w14:paraId="28931536">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功能测试：着重测试软件系统、子系统、模块的功能是否达到了软件需求规格说明书中的功能要求。</w:t>
      </w:r>
    </w:p>
    <w:p w14:paraId="6049507C">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接口测试：主要测试各子系统之间、模块之间、程序之间(或与系统外界的模块之间)的接口逻辑关系、检查数据衔接关系是否符合软件概要设计和详细设计说明书中的接口要求。</w:t>
      </w:r>
    </w:p>
    <w:p w14:paraId="3DADAEFE">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数据存取测试：通过测试活动，检查和分析有关的数据存取效果是否达到了数据库设计和功能设计的要求。例如输入数据能否被响应或保存，加工过程中的中间数据和输出的数据结果是否及时准确等。</w:t>
      </w:r>
    </w:p>
    <w:p w14:paraId="771A637D">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运行时间测试：在进行软件测试活动的过程中，实时地记录操作界面应答、数据加工、数据查询等方面的系统响应时间，同时记录测试的运行环境、处理范围和数量，为界定软件系统的运行效率提供依据。</w:t>
      </w:r>
    </w:p>
    <w:p w14:paraId="4E0D3C7A">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约束条件测试：在系统的数据收集(接受)、数据处理(事务处理)、数据访问等环节，涉及到许多约束或限制条件，在测试活动中，要预先有针对性地设计和准备这些约束和限制条件的内容，并对此进行测试，以保证软件系统体现出业务上需要的逻辑关联性、监控与制约关系。</w:t>
      </w:r>
    </w:p>
    <w:p w14:paraId="4A402633">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安全性测试：对软件系统抵御非法操作能力的测试，包括：非法用户的登录、未经授权功能模块的使用、非法窃取数据或越权访问数据等方面。</w:t>
      </w:r>
    </w:p>
    <w:p w14:paraId="4D60B10C">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强度测试：验证软件系统中某些敏感和关键部分，能否经得起超负荷运行。例如设计和准备占用最大存储量或其它资源的测试用例来测试系统的承受能力。</w:t>
      </w:r>
    </w:p>
    <w:p w14:paraId="4A337D0E">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文档检查：在软件测试活动安排和实施过程中，必须结合软件开发各阶段产生的技术文档(包括业务需求资料和项目开发计划)，来制定各种测试计划、测试用例和测试数据，以保证测试活动的针对性和有效性。通过测试发现的软件问题，往往不一定是程序问题，很可能涉及到前面阶段的软件设计或需求分析工作，为此，必须在测试活动中，对各种相关的技术文档进行再一次的核查，以体现测试的完整性。</w:t>
      </w:r>
    </w:p>
    <w:p w14:paraId="77230650">
      <w:pPr>
        <w:pageBreakBefore w:val="0"/>
        <w:widowControl w:val="0"/>
        <w:numPr>
          <w:ilvl w:val="0"/>
          <w:numId w:val="1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在本应用项目的开发过程中，可以根据用户的实际要求，结合开发和测试的具体情况，扩充或调整某些测试类型，例如增加界面测试、可靠性测试等。</w:t>
      </w:r>
    </w:p>
    <w:p w14:paraId="7C31A6BE">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测试依据</w:t>
      </w:r>
    </w:p>
    <w:p w14:paraId="666843B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软件开发各阶段所产生的技术文档，是组织测试用例进行测试活动的重要依据。为了提高本项目应用系统测试活动的完整性和有效性，现将各阶段测试活动中需对照和核查的主要文档列出：</w:t>
      </w:r>
    </w:p>
    <w:p w14:paraId="4CF3403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《需求分析说明书》</w:t>
      </w:r>
    </w:p>
    <w:p w14:paraId="259FBA2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《概要设计说明书》</w:t>
      </w:r>
    </w:p>
    <w:p w14:paraId="25E6F89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《系统集成技术规范书》</w:t>
      </w:r>
    </w:p>
    <w:p w14:paraId="0B5BB76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《应用软件开发技术规范书》</w:t>
      </w:r>
    </w:p>
    <w:p w14:paraId="728D169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《各阶段测试计划用例及测试文档》</w:t>
      </w:r>
    </w:p>
    <w:p w14:paraId="1463F495">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测试机构</w:t>
      </w:r>
    </w:p>
    <w:p w14:paraId="6E6E4DD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单元测试</w:t>
      </w:r>
    </w:p>
    <w:p w14:paraId="0A937B4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由开发人员负责自测，必要时可以相互进行它测。</w:t>
      </w:r>
    </w:p>
    <w:p w14:paraId="37BE6C7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系统测试</w:t>
      </w:r>
    </w:p>
    <w:p w14:paraId="691E9BC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测试机构：在项目组的“应用软件开发任务组”下组建“软件测试小组”。</w:t>
      </w:r>
    </w:p>
    <w:p w14:paraId="3845E99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测试人员：软件测试小组包括多人，实行组长负责制，组长由我公司选派在湖北电信领域长期开发和推广应用系统有经验的人担任，测试小组成员应有两年以上的应用软件开发和测试经历。</w:t>
      </w:r>
    </w:p>
    <w:p w14:paraId="19823A6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机构职责：</w:t>
      </w:r>
    </w:p>
    <w:p w14:paraId="012C0A7F">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组织与实施软件开发过程中的系统测试活动。</w:t>
      </w:r>
    </w:p>
    <w:p w14:paraId="2E611888">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在项目综合计划范围内，负责制定详细的系统测试计划。</w:t>
      </w:r>
    </w:p>
    <w:p w14:paraId="490155E5">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协助项目经理，负责对本组人员的日常管理和工作安排。</w:t>
      </w:r>
    </w:p>
    <w:p w14:paraId="507BDC62">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严格按照软件测试规范和测试计划来开展测试活动。</w:t>
      </w:r>
    </w:p>
    <w:p w14:paraId="29D2231B">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对所承担的测试结果负责，并有责任及时将测试结果传递给有关人员。</w:t>
      </w:r>
    </w:p>
    <w:p w14:paraId="51AF9F04">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了解软件需求和设计等方面的技术文档内容，掌握软件测试方法和工具的使用。</w:t>
      </w:r>
    </w:p>
    <w:p w14:paraId="19FE2008">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负责准备单独的测试环境，并对测试环境实施安装、验收和管理。</w:t>
      </w:r>
    </w:p>
    <w:p w14:paraId="6BD5363E">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负责使用、收集和保存各种测试用例和测试数据。</w:t>
      </w:r>
    </w:p>
    <w:p w14:paraId="30A3B8AB">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负责记录与跟踪测试中发现的问题和错误的纠正情况，统计和分析测试结果，并编写测试报告。</w:t>
      </w:r>
    </w:p>
    <w:p w14:paraId="6A6702DD">
      <w:pPr>
        <w:pageBreakBefore w:val="0"/>
        <w:widowControl w:val="0"/>
        <w:numPr>
          <w:ilvl w:val="0"/>
          <w:numId w:val="1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协助用户、开发人员、项目经理参与测试验收和其它有关测试方面的活动。</w:t>
      </w:r>
    </w:p>
    <w:p w14:paraId="51259AD8">
      <w:pPr>
        <w:pageBreakBefore w:val="0"/>
        <w:widowControl w:val="0"/>
        <w:numPr>
          <w:ilvl w:val="0"/>
          <w:numId w:val="1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验收测试</w:t>
      </w:r>
    </w:p>
    <w:p w14:paraId="00767E3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以湖北电信人员为主，我公司软件测试小组和维护人员参加，组成验收测试机构，负责应用系统的验收测试。</w:t>
      </w:r>
    </w:p>
    <w:p w14:paraId="257D9B95">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测试准备</w:t>
      </w:r>
    </w:p>
    <w:p w14:paraId="65FCEEF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测试准备工作包括：培训测试人员、编写测试计划用例、建立测试环境、收集有关文档和资料、设计和准备测试用例、制定测试规程等工作。</w:t>
      </w:r>
    </w:p>
    <w:p w14:paraId="1EDBFBD1">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测试结果分析</w:t>
      </w:r>
    </w:p>
    <w:p w14:paraId="0FF30CD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对于本项目的“单元测试”、“集成和系统测试”和“验收测试”这三种测试活动所产生的测试结果，必须采用统计分析和技术进行处理。</w:t>
      </w:r>
    </w:p>
    <w:p w14:paraId="240D1A9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每一次整体的测试过程完成后，必须对测试结果提出分析意见，确定测试结论，形成测试分析报告，并按修正的结果对应地修改相关的文档。</w:t>
      </w:r>
    </w:p>
    <w:p w14:paraId="082FEA8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b/>
          <w:sz w:val="22"/>
          <w:szCs w:val="22"/>
        </w:rPr>
        <w:t>测试记录和结果的保存：</w:t>
      </w:r>
      <w:r>
        <w:rPr>
          <w:rFonts w:hint="eastAsia" w:ascii="宋体" w:hAnsi="宋体" w:eastAsia="宋体" w:cs="宋体"/>
          <w:sz w:val="22"/>
          <w:szCs w:val="22"/>
        </w:rPr>
        <w:t>在测试实施过程中，利用软件测试工具实时地记录测试情况并保测试记录和测试结果，对出现的问题及其周边情况必须有详细的记录。以有助于软件维护和重新测试、以及测试结果的分析。</w:t>
      </w:r>
    </w:p>
    <w:p w14:paraId="0AAFBE9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记录的内容包括测试项目编号、名称、测试数据文档编号、初始化描述、预期结果、实际结果、结论。对于实际结果与预期结果不相符的，则视同发生“测试项事件”，此时，应对测试项事件的顺序号。测试完成后，凡有事件发生的测试项，测试人员均应将载有测试项事件编号连同测试项测试数据文档提交给项目组，由相关人员进行确认和修改。</w:t>
      </w:r>
    </w:p>
    <w:p w14:paraId="5A46F82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b/>
          <w:sz w:val="22"/>
          <w:szCs w:val="22"/>
        </w:rPr>
        <w:t>测试结果的分析：</w:t>
      </w:r>
      <w:r>
        <w:rPr>
          <w:rFonts w:hint="eastAsia" w:ascii="宋体" w:hAnsi="宋体" w:eastAsia="宋体" w:cs="宋体"/>
          <w:sz w:val="22"/>
          <w:szCs w:val="22"/>
        </w:rPr>
        <w:t>分析的主要内容有对测试范围、测试方法、测试实例与数据、测试进度和测试结果进行综合评价，具体指标有：</w:t>
      </w:r>
    </w:p>
    <w:p w14:paraId="49530A8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指出各项测试结果与预期结果之间的差异并分析差异的原因。</w:t>
      </w:r>
    </w:p>
    <w:p w14:paraId="62C5683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指出未被充分测试的特性或特性组合。并说明原因。</w:t>
      </w:r>
    </w:p>
    <w:p w14:paraId="63CEFDB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对致命问题和重大问题的排错与修改情况进行综合考察和评价。</w:t>
      </w:r>
    </w:p>
    <w:p w14:paraId="3AEEFEE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对有关文档资料的齐全性进行审定，并对重要文档(特别是用户操作说明书)内容的适用性进行评价。</w:t>
      </w:r>
    </w:p>
    <w:p w14:paraId="16FCD68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b/>
          <w:sz w:val="22"/>
          <w:szCs w:val="22"/>
        </w:rPr>
        <w:t>测试结果的认定：</w:t>
      </w:r>
      <w:r>
        <w:rPr>
          <w:rFonts w:hint="eastAsia" w:ascii="宋体" w:hAnsi="宋体" w:eastAsia="宋体" w:cs="宋体"/>
          <w:sz w:val="22"/>
          <w:szCs w:val="22"/>
        </w:rPr>
        <w:t>测试小组归纳已解决和尚未解决的问题，对照测试计划中所规定的“通过准则”确定此次测试是否通过。</w:t>
      </w:r>
    </w:p>
    <w:p w14:paraId="46782A9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形成测试分析报告。</w:t>
      </w:r>
    </w:p>
    <w:p w14:paraId="5EF8767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将测试分析报告直接上报项目领导小组。</w:t>
      </w:r>
    </w:p>
    <w:p w14:paraId="363A574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b/>
          <w:sz w:val="22"/>
          <w:szCs w:val="22"/>
        </w:rPr>
        <w:t>相应文档的修改：</w:t>
      </w:r>
      <w:r>
        <w:rPr>
          <w:rFonts w:hint="eastAsia" w:ascii="宋体" w:hAnsi="宋体" w:eastAsia="宋体" w:cs="宋体"/>
          <w:sz w:val="22"/>
          <w:szCs w:val="22"/>
        </w:rPr>
        <w:t>测试过程中所测出的且已经修正的问题，需要由相应人员修改文档中的有关部份，项目经理有责任督促和检查此项工作的实施。</w:t>
      </w:r>
    </w:p>
    <w:p w14:paraId="3B12456E">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测试工作实施细则</w:t>
      </w:r>
    </w:p>
    <w:p w14:paraId="3E56B9D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单元测试实施细则</w:t>
      </w:r>
    </w:p>
    <w:p w14:paraId="78CF1F49">
      <w:pPr>
        <w:pageBreakBefore w:val="0"/>
        <w:widowControl w:val="0"/>
        <w:numPr>
          <w:ilvl w:val="0"/>
          <w:numId w:val="1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测试范围：单元测试包括平台的全部功能模块；</w:t>
      </w:r>
    </w:p>
    <w:p w14:paraId="7B647696">
      <w:pPr>
        <w:pageBreakBefore w:val="0"/>
        <w:widowControl w:val="0"/>
        <w:numPr>
          <w:ilvl w:val="0"/>
          <w:numId w:val="1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测试内容：单元编码完成后，先由编码人员自测和调试，自测使用白盒测试。</w:t>
      </w:r>
    </w:p>
    <w:p w14:paraId="13DF9D1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若自测不再发现问题，则将程序交其他编码人员测试，他测在自测的基础上进行，使用白盒测试和黑盒测试。</w:t>
      </w:r>
    </w:p>
    <w:p w14:paraId="7CE663D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单元测试包括以下内容：</w:t>
      </w:r>
    </w:p>
    <w:p w14:paraId="72E04853">
      <w:pPr>
        <w:pageBreakBefore w:val="0"/>
        <w:widowControl w:val="0"/>
        <w:numPr>
          <w:ilvl w:val="1"/>
          <w:numId w:val="16"/>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模块接口测试</w:t>
      </w:r>
    </w:p>
    <w:p w14:paraId="14A9A6B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在单元测试的初始阶段，应对通过被测模块的数据流进行测试。</w:t>
      </w:r>
    </w:p>
    <w:p w14:paraId="527B5032">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局部数据结构测试</w:t>
      </w:r>
    </w:p>
    <w:p w14:paraId="1364344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模块的局部数据结构是最常见的错误来源，设计测试用例以检查以下各种错误：不正确或不一致的数据类型说明：使用尚未赋值或尚未初始化的变量；错误的初始值或错误的缺省值；变量名拼写错或书写错；不一致的数据类型。</w:t>
      </w:r>
    </w:p>
    <w:p w14:paraId="0E0AD7A1">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路径测试</w:t>
      </w:r>
    </w:p>
    <w:p w14:paraId="1193BB6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选择适当的测试用例，对模块中重要的执行路径进行测试。</w:t>
      </w:r>
    </w:p>
    <w:p w14:paraId="4EE70B1F">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错误处理测试</w:t>
      </w:r>
    </w:p>
    <w:p w14:paraId="61EB68C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比较完善的模块设计要求能预见出错的条件，并设置适当的出错处理，一旦程序出错时，能对出错程序重做安排，保证其逻辑上的正确性。</w:t>
      </w:r>
    </w:p>
    <w:p w14:paraId="51F63E33">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边界测试</w:t>
      </w:r>
    </w:p>
    <w:p w14:paraId="2414936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要特别注意数据流和控制流中等于、大于或小于确定的比较值时出错的可能性。如果对模块运行时间有要求的话，还要专门进行关键路径测试，以确定最坏情况下和平均意义下影响模块运行时间的因素。</w:t>
      </w:r>
    </w:p>
    <w:p w14:paraId="166CD300">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文档审读</w:t>
      </w:r>
    </w:p>
    <w:p w14:paraId="18B8EAC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检查所提交的文档是否完整，格式是否符合规范，同时进一步了解模块的输入、输出处理过程。</w:t>
      </w:r>
    </w:p>
    <w:p w14:paraId="2C71693D">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程序代码走查</w:t>
      </w:r>
    </w:p>
    <w:p w14:paraId="04318E0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检查程序结构是否和文档相一致，算法是否合理，同时检查源代码的书写是否符合规范，执行策略是否合理、高效。</w:t>
      </w:r>
    </w:p>
    <w:p w14:paraId="000E8022">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功能执行</w:t>
      </w:r>
    </w:p>
    <w:p w14:paraId="51BE25A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运行所测模块，并根据需要输入相应的数据，包括实际业务数据、错误数据和非正常操作，检查模块对输入的响应，具体要求列举如不：</w:t>
      </w:r>
    </w:p>
    <w:p w14:paraId="6CE7E98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界面：风格统一美观，提示清晰明确；</w:t>
      </w:r>
    </w:p>
    <w:p w14:paraId="1381791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执行：使用方法简单，操作方便快捷。</w:t>
      </w:r>
    </w:p>
    <w:p w14:paraId="647E60D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输出：执行结果正确，对错误操作和输入的容错性好。</w:t>
      </w:r>
    </w:p>
    <w:p w14:paraId="7B3128D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强壮性：具有较强的容错功能</w:t>
      </w:r>
    </w:p>
    <w:p w14:paraId="4F7D173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提示：提示信息用语准确</w:t>
      </w:r>
    </w:p>
    <w:p w14:paraId="2FA24300">
      <w:pPr>
        <w:pageBreakBefore w:val="0"/>
        <w:widowControl w:val="0"/>
        <w:numPr>
          <w:ilvl w:val="0"/>
          <w:numId w:val="17"/>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测试环境：单元测试环境使用软件开发环境。</w:t>
      </w:r>
    </w:p>
    <w:p w14:paraId="779A210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集成和系统测试实施细则</w:t>
      </w:r>
    </w:p>
    <w:p w14:paraId="15CA3E3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测试将在系统开发的测试阶段中进行，所测试的对象包括相应阶段开发出的所有子系统模块以及子系统及模块之间的集成。并对系统进行的整体性测试，旨在验证软件的有效性，有软件的功能、性能及其它特性是否与用户的要求一致。</w:t>
      </w:r>
    </w:p>
    <w:p w14:paraId="51809D86">
      <w:pPr>
        <w:pageBreakBefore w:val="0"/>
        <w:widowControl w:val="0"/>
        <w:numPr>
          <w:ilvl w:val="1"/>
          <w:numId w:val="16"/>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测试范围：所开发针对性营销与维系挽留应用系统</w:t>
      </w:r>
    </w:p>
    <w:p w14:paraId="068BBB79">
      <w:pPr>
        <w:pageBreakBefore w:val="0"/>
        <w:widowControl w:val="0"/>
        <w:numPr>
          <w:ilvl w:val="1"/>
          <w:numId w:val="16"/>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测试进度：系统测度在系统开发的测试阶段进行。配备多名测试人员进行集成和系统测度。</w:t>
      </w:r>
    </w:p>
    <w:p w14:paraId="24F79E0F">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测试内容：系统测试采用一次性组装方式，发即整体拼装。</w:t>
      </w:r>
    </w:p>
    <w:p w14:paraId="1427AC3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首先把所有模块组装在一起进行系统测试。系统测试的重点在于测试系统各单元模块之间的衔接、数据流的正确性和一致性。</w:t>
      </w:r>
    </w:p>
    <w:p w14:paraId="2B04460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集成和系统测试的基础上，进一步模拟实际的运行环境，按软件需求分析说明书定义的全部要求，对软件系统内的所有部分、其外部系统及数据连接进行整体性测试。其目的是验证软件的整体功能和性能是否符合需求，所有的文档是否正确且便于使用。同时，测试软件的性能需求，确认是否满足要求。</w:t>
      </w:r>
    </w:p>
    <w:p w14:paraId="6248AA1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测试内容细节如下：</w:t>
      </w:r>
    </w:p>
    <w:p w14:paraId="4C554C87">
      <w:pPr>
        <w:pageBreakBefore w:val="0"/>
        <w:widowControl w:val="0"/>
        <w:numPr>
          <w:ilvl w:val="1"/>
          <w:numId w:val="16"/>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数据流程的平滑一致，接口关系的正确无误和数据流的完整性</w:t>
      </w:r>
    </w:p>
    <w:p w14:paraId="7CBC2A4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基于单元测试结果，运行所有数据流程中的源模块，并根据需要输入相应的数据，包括实际业务数据、错误数据及非正常操作，生成流程中下一环节所需的数据，同时运行流程中的数据接收模块，检查两上模块间的数据交换过程是否满足设计要求。</w:t>
      </w:r>
    </w:p>
    <w:p w14:paraId="7C1BB59C">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检测各模块程序之间的耦合性</w:t>
      </w:r>
    </w:p>
    <w:p w14:paraId="6F811C4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一个模块的功能是否会对另一个模块的功能产生不利的影响；各个子功能组合起来，能否达到预期要求的父功能；测试界面是否明确提示了数据流向的执行和传递状态信息；程序功能的执行时间是否满足设计要求；全局数据结构是否有问题；单个模块的误差累积起来，是否会放大，从而不能达到接受的程度。</w:t>
      </w:r>
    </w:p>
    <w:p w14:paraId="622CC79B">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功能执行</w:t>
      </w:r>
    </w:p>
    <w:p w14:paraId="79792F0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基本系统测试结果，按照测试实例和测试数据运行系统，验证结果是否满足需求。测试的功能包括：应用软件全部功能。</w:t>
      </w:r>
    </w:p>
    <w:p w14:paraId="76F0DF96">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强度测试</w:t>
      </w:r>
    </w:p>
    <w:p w14:paraId="47F7B71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测试应用系统在超负荷情况下的运行情况，包括：</w:t>
      </w:r>
    </w:p>
    <w:p w14:paraId="77FAA8A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模拟假定的业务高峰期进行测试；</w:t>
      </w:r>
    </w:p>
    <w:p w14:paraId="51D3A37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设计需要占用最大存储量或其它资源的测试用例进行测试；</w:t>
      </w:r>
    </w:p>
    <w:p w14:paraId="1E46D14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设计在虚拟存储管理机制中引起“颠簸”的测试用例进行测试；</w:t>
      </w:r>
    </w:p>
    <w:p w14:paraId="7FE463E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设计会对磁盘常驻内存的数据过度访问的测试用例进行测试。</w:t>
      </w:r>
    </w:p>
    <w:p w14:paraId="725038A0">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安全性测试</w:t>
      </w:r>
    </w:p>
    <w:p w14:paraId="70AF2B4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检验在系统中已经存在的系统安全保密措施是否发挥作用，有无漏洞。</w:t>
      </w:r>
    </w:p>
    <w:p w14:paraId="78F1122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包括设计测试用例进行非法使用系统功能和非法访问、破坏数据两个方面的测试。</w:t>
      </w:r>
    </w:p>
    <w:p w14:paraId="3DAD0D2E">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恢复测试</w:t>
      </w:r>
    </w:p>
    <w:p w14:paraId="7726DB4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测排除软件故障（包括操作系统故障、DBMS故障、应用系统故障等）和硬件故障（包括掉电、硬件或网络出错等）后，系统能否继续正常夺取进行工作，且不对系统造成任何损害（包括数据丢失、破坏数据一致性等）。可采用各种人工干预的手段，模抉软、硬件故障，故意造成软件出错。就需要修复的平均时间进行评估，以判定它是否在允许的范围之内。</w:t>
      </w:r>
    </w:p>
    <w:p w14:paraId="4EFC3AE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在恢复测试中，掉电是具有特殊意义的一类测试。其目的是测试软件系统在发生电源中断时能否不毁坏数据，不破坏事务的完整性。</w:t>
      </w:r>
    </w:p>
    <w:p w14:paraId="2459734E">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性能测试</w:t>
      </w:r>
    </w:p>
    <w:p w14:paraId="6325EB7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模拟实际的运行环境，测试局域网环境和广域网环境下的效率。</w:t>
      </w:r>
    </w:p>
    <w:p w14:paraId="07BA6D2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性能测试需要与强度测试结合起来进行，对资源利用（如处理机周期）等进行精密的度量，对执行间隔、并行操作、日志事件（如中断）等进行监测；对软件包件性能的检测包括响应时间、吞吐量、辅助存储区等。</w:t>
      </w:r>
    </w:p>
    <w:p w14:paraId="21AFCF4D">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数据通讯测试</w:t>
      </w:r>
    </w:p>
    <w:p w14:paraId="3CEB079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模拟广域网环境，测试数据通讯功能，验证数据分布环境下的数据一致性与数据通讯效率。</w:t>
      </w:r>
    </w:p>
    <w:p w14:paraId="12EF41D0">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软件配置复查</w:t>
      </w:r>
    </w:p>
    <w:p w14:paraId="0F21A8D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保证系统配置的齐全，各方面的质量都符合要求，具有维护阶段所必需的细节，而且已经编排好分类的目录。除了由人工审查软件配置之外，在系统测试的过程中，严格遵守用户手册或操作手册中规定的使用步骤，以检查这些文档资料的完整性和正确性。仔细记录发现的遗漏和错误，并且适当地补充和改正。</w:t>
      </w:r>
    </w:p>
    <w:p w14:paraId="5CFB2D5A">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文档审读</w:t>
      </w:r>
    </w:p>
    <w:p w14:paraId="47F4510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检查所提交的接口规格说明、业务流程及数据流程文档是否完整，格式是否符合规范，同时进一步了解模块间的数据输入、输出及处理过程。</w:t>
      </w:r>
    </w:p>
    <w:p w14:paraId="21C8BFC7">
      <w:pPr>
        <w:pageBreakBefore w:val="0"/>
        <w:widowControl w:val="0"/>
        <w:numPr>
          <w:ilvl w:val="1"/>
          <w:numId w:val="1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测试结果处理</w:t>
      </w:r>
    </w:p>
    <w:p w14:paraId="2E3C6F3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完成预定的系统测试工作之后，测试小组对测试结果进行整理、分析，形成测试报告。测试报告中记录实际的测试结果、在测试中发现的问题、解决这些问题的方法以及解决之后再次测试的结果。此外还将提出目前不能解决、需要管理人员和开发人员注意的一些问题，提供测试评审者和最终决策者参考，以提出处理意见。</w:t>
      </w:r>
    </w:p>
    <w:p w14:paraId="34E434DC">
      <w:pPr>
        <w:keepNext/>
        <w:keepLines/>
        <w:pageBreakBefore w:val="0"/>
        <w:widowControl w:val="0"/>
        <w:numPr>
          <w:ilvl w:val="1"/>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1" w:name="_Toc53752079"/>
      <w:r>
        <w:rPr>
          <w:rFonts w:hint="eastAsia" w:ascii="宋体" w:hAnsi="宋体" w:eastAsia="宋体" w:cs="宋体"/>
          <w:b/>
          <w:bCs/>
          <w:sz w:val="22"/>
          <w:szCs w:val="22"/>
        </w:rPr>
        <w:t>系统测试</w:t>
      </w:r>
      <w:bookmarkEnd w:id="661"/>
    </w:p>
    <w:p w14:paraId="41D1C53E">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资源准备</w:t>
      </w:r>
    </w:p>
    <w:p w14:paraId="29C797B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在测试开始之前，应由系统建设的甲乙双方共同定义并准备本次测试所需要的资源，以保证测式的顺利进行。测试所需的资源主要包括组织、人员、测试环境、测试数据、系统设计和测试需求文档。</w:t>
      </w:r>
    </w:p>
    <w:p w14:paraId="3E7C6CB2">
      <w:pPr>
        <w:pageBreakBefore w:val="0"/>
        <w:widowControl w:val="0"/>
        <w:numPr>
          <w:ilvl w:val="0"/>
          <w:numId w:val="18"/>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lang w:val="zh-CN"/>
        </w:rPr>
      </w:pPr>
      <w:r>
        <w:rPr>
          <w:rFonts w:hint="eastAsia" w:ascii="宋体" w:hAnsi="宋体" w:eastAsia="宋体" w:cs="宋体"/>
          <w:sz w:val="22"/>
          <w:szCs w:val="22"/>
          <w:lang w:val="zh-CN"/>
        </w:rPr>
        <w:t>组织及人员</w:t>
      </w:r>
    </w:p>
    <w:p w14:paraId="174EC39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湖北电信公司有关人员以及开发厂商共同组成测试工作组。为了保证资源的调配应由湖北电信公司业务主管和系统开发商项目组领导共同担任测试组的领导，共同承提测试的管理、协调工作。测试成员由开发组成员与湖北电信公司有关人员共同组成。</w:t>
      </w:r>
    </w:p>
    <w:p w14:paraId="7B8CC7F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同时为了保证在测试过程中对出现的缺陷及时修正以保证系统实施的工程进度，还应相应的成立开发组，由系统架构设计人同以及开发人员共同组成。</w:t>
      </w:r>
    </w:p>
    <w:p w14:paraId="11B1B18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平台涉及到与多个外部系统的联调，因此为了测试工作的顺利开展必须成立接口测试协作小组，该小组由湖北电信公司指定专人负责，各外部系统厂商指定一名专人作为小组成员。</w:t>
      </w:r>
    </w:p>
    <w:p w14:paraId="43F7C184">
      <w:pPr>
        <w:pageBreakBefore w:val="0"/>
        <w:widowControl w:val="0"/>
        <w:numPr>
          <w:ilvl w:val="0"/>
          <w:numId w:val="18"/>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lang w:val="zh-CN"/>
        </w:rPr>
      </w:pPr>
      <w:r>
        <w:rPr>
          <w:rFonts w:hint="eastAsia" w:ascii="宋体" w:hAnsi="宋体" w:eastAsia="宋体" w:cs="宋体"/>
          <w:sz w:val="22"/>
          <w:szCs w:val="22"/>
          <w:lang w:val="zh-CN"/>
        </w:rPr>
        <w:t>测试环境</w:t>
      </w:r>
    </w:p>
    <w:p w14:paraId="6EFD782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测试环境包括测试组工作场所，测试平台等。</w:t>
      </w:r>
    </w:p>
    <w:p w14:paraId="3F206EF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由测试组提出工作场所及所需办公设备、网络环境、通讯设备的需求。</w:t>
      </w:r>
    </w:p>
    <w:p w14:paraId="5A97773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由系统开发厂商负责测试平台的搭建。</w:t>
      </w:r>
    </w:p>
    <w:p w14:paraId="6DC47FCB">
      <w:pPr>
        <w:pageBreakBefore w:val="0"/>
        <w:widowControl w:val="0"/>
        <w:numPr>
          <w:ilvl w:val="0"/>
          <w:numId w:val="18"/>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lang w:val="zh-CN"/>
        </w:rPr>
      </w:pPr>
      <w:r>
        <w:rPr>
          <w:rFonts w:hint="eastAsia" w:ascii="宋体" w:hAnsi="宋体" w:eastAsia="宋体" w:cs="宋体"/>
          <w:sz w:val="22"/>
          <w:szCs w:val="22"/>
          <w:lang w:val="zh-CN"/>
        </w:rPr>
        <w:t>测试数据</w:t>
      </w:r>
    </w:p>
    <w:p w14:paraId="0527A6A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在测试之前由开发厂商准备测试数据。测试数据采用工程所在分公司的实际的生产数据（在测试用数据库中复制一份测试数据）。</w:t>
      </w:r>
    </w:p>
    <w:p w14:paraId="593BFE4D">
      <w:pPr>
        <w:pageBreakBefore w:val="0"/>
        <w:widowControl w:val="0"/>
        <w:numPr>
          <w:ilvl w:val="0"/>
          <w:numId w:val="18"/>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lang w:val="zh-CN"/>
        </w:rPr>
      </w:pPr>
      <w:r>
        <w:rPr>
          <w:rFonts w:hint="eastAsia" w:ascii="宋体" w:hAnsi="宋体" w:eastAsia="宋体" w:cs="宋体"/>
          <w:sz w:val="22"/>
          <w:szCs w:val="22"/>
          <w:lang w:val="zh-CN"/>
        </w:rPr>
        <w:t>系统文档</w:t>
      </w:r>
    </w:p>
    <w:p w14:paraId="78C1201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在进入测试实施阶段后，系统开发厂商应提供相应的系统技术架构文档、设计说明书、系统使用说明书。并由系统建设的甲乙双方确认测试用例，作为测试验证的标准，也是测试报告的输入。</w:t>
      </w:r>
    </w:p>
    <w:p w14:paraId="19AE1274">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测试设计</w:t>
      </w:r>
    </w:p>
    <w:p w14:paraId="2B3B3AF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测试设计的目的是要确保对系统进行结构化的有条理的测试，保证系统功能、业务流程、系统接口和业务结构的完善。</w:t>
      </w:r>
    </w:p>
    <w:p w14:paraId="6EEF478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该阶段的主要任务就是测试组组织相关业务专家及测试组成员、开发组成员依据需求规格说明书、系统技术方案规范对开发厂商提交的功能测试用例、性能测试用例进行确认、修改的过程，以形成最终的测试用例文档。该文档也将作为系统验收标准文档。并对所有的测试用例根据功能的优先级别设定为三级：高、中、低三个优先级别。</w:t>
      </w:r>
    </w:p>
    <w:p w14:paraId="240D435C">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测试方法</w:t>
      </w:r>
    </w:p>
    <w:p w14:paraId="25AF8B85">
      <w:pPr>
        <w:pageBreakBefore w:val="0"/>
        <w:widowControl w:val="0"/>
        <w:numPr>
          <w:ilvl w:val="0"/>
          <w:numId w:val="1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系统业务功能测试方法</w:t>
      </w:r>
    </w:p>
    <w:p w14:paraId="0193C82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系统业务功能测试是以结构化的方式来验证业务和功能需求是否被适当地实施于系统之中。业务功能测试的指标以系统业务规范为依据。</w:t>
      </w:r>
    </w:p>
    <w:p w14:paraId="3CE1D740">
      <w:pPr>
        <w:pageBreakBefore w:val="0"/>
        <w:widowControl w:val="0"/>
        <w:numPr>
          <w:ilvl w:val="0"/>
          <w:numId w:val="20"/>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测试方法</w:t>
      </w:r>
    </w:p>
    <w:p w14:paraId="1FCB20D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系统业务功能测试采用黑盒测试方法，对系统的适合性、准确性、易用性、容错性、互用性、安全性进行评测。</w:t>
      </w:r>
    </w:p>
    <w:p w14:paraId="534E402B">
      <w:pPr>
        <w:pageBreakBefore w:val="0"/>
        <w:widowControl w:val="0"/>
        <w:numPr>
          <w:ilvl w:val="0"/>
          <w:numId w:val="20"/>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评价准则</w:t>
      </w:r>
    </w:p>
    <w:p w14:paraId="3594BD3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系统业务功能测试各功能点测试结果分“</w:t>
      </w:r>
      <w:r>
        <w:rPr>
          <w:rFonts w:hint="eastAsia" w:ascii="宋体" w:hAnsi="宋体" w:eastAsia="宋体" w:cs="宋体"/>
          <w:b/>
          <w:sz w:val="22"/>
          <w:szCs w:val="22"/>
        </w:rPr>
        <w:t>成功</w:t>
      </w:r>
      <w:r>
        <w:rPr>
          <w:rFonts w:hint="eastAsia" w:ascii="宋体" w:hAnsi="宋体" w:eastAsia="宋体" w:cs="宋体"/>
          <w:sz w:val="22"/>
          <w:szCs w:val="22"/>
        </w:rPr>
        <w:t>”和“</w:t>
      </w:r>
      <w:r>
        <w:rPr>
          <w:rFonts w:hint="eastAsia" w:ascii="宋体" w:hAnsi="宋体" w:eastAsia="宋体" w:cs="宋体"/>
          <w:b/>
          <w:sz w:val="22"/>
          <w:szCs w:val="22"/>
        </w:rPr>
        <w:t>失败</w:t>
      </w:r>
      <w:r>
        <w:rPr>
          <w:rFonts w:hint="eastAsia" w:ascii="宋体" w:hAnsi="宋体" w:eastAsia="宋体" w:cs="宋体"/>
          <w:sz w:val="22"/>
          <w:szCs w:val="22"/>
        </w:rPr>
        <w:t>”两种：</w:t>
      </w:r>
    </w:p>
    <w:p w14:paraId="1BBD70F2">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成功：系统能按规范完成相应功能，并按要求提供出错处理的，结果标为“成功”；</w:t>
      </w:r>
    </w:p>
    <w:p w14:paraId="4D263411">
      <w:pPr>
        <w:pageBreakBefore w:val="0"/>
        <w:widowControl w:val="0"/>
        <w:numPr>
          <w:ilvl w:val="0"/>
          <w:numId w:val="21"/>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失败：如果没有相应测试功能项，或者只满足功能项部分要求，就标为“失败”，并填写系统修改需求。</w:t>
      </w:r>
    </w:p>
    <w:p w14:paraId="7270D903">
      <w:pPr>
        <w:pageBreakBefore w:val="0"/>
        <w:widowControl w:val="0"/>
        <w:numPr>
          <w:ilvl w:val="0"/>
          <w:numId w:val="1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系统性能测试方法</w:t>
      </w:r>
    </w:p>
    <w:p w14:paraId="0FF9445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系统性能测试是通过收集系统性能特性信息，对系统的性能表现进行测试和评估。目的是检验系统是否满足技术规范所规定的性能要求。</w:t>
      </w:r>
    </w:p>
    <w:p w14:paraId="30D2B34E">
      <w:pPr>
        <w:pageBreakBefore w:val="0"/>
        <w:widowControl w:val="0"/>
        <w:numPr>
          <w:ilvl w:val="0"/>
          <w:numId w:val="2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测试方法</w:t>
      </w:r>
    </w:p>
    <w:p w14:paraId="22168CA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性能测试一般选取较常用、对系统资源要求较大的业务功能，在不同并发数、不同数据量中检验系统的性能，测试中不可能也没必要对所有情况进行检测。</w:t>
      </w:r>
    </w:p>
    <w:p w14:paraId="2B2C302D">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压力测试：通过调整系统数据事务数量、事务迭代数量对系统性能特性进行检验，验证系统是否满足相关性能指标。</w:t>
      </w:r>
    </w:p>
    <w:p w14:paraId="2186F8D9">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疲劳测试：检验系统在一定压力下长时间运行的性能表现。</w:t>
      </w:r>
    </w:p>
    <w:p w14:paraId="71E71B61">
      <w:pPr>
        <w:pageBreakBefore w:val="0"/>
        <w:widowControl w:val="0"/>
        <w:numPr>
          <w:ilvl w:val="0"/>
          <w:numId w:val="22"/>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评价准则</w:t>
      </w:r>
    </w:p>
    <w:p w14:paraId="66297B2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根据测试结果信息获取最小响应时间，最大响应时间，平均响应时间，并与技术规范书中的要求对比，是否符合要求，如不符合，则填写系统修改需求提交开发组进行性能优化的处理。</w:t>
      </w:r>
    </w:p>
    <w:p w14:paraId="22282471">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测试执行阶段</w:t>
      </w:r>
    </w:p>
    <w:p w14:paraId="3D25E8E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测试执行的先决条件是确定的测试计划和测试模型、配置完成并已确定的稳定测试环境、准备完毕的测试数据。测试执行阶段主要工作含以下几项：</w:t>
      </w:r>
    </w:p>
    <w:p w14:paraId="0532CFB9">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试行测试</w:t>
      </w:r>
    </w:p>
    <w:p w14:paraId="0E47C2D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利用一些端到端的测试场景，验证整个测试环境的配置是否可行。</w:t>
      </w:r>
    </w:p>
    <w:p w14:paraId="2FF67510">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数据验证</w:t>
      </w:r>
    </w:p>
    <w:p w14:paraId="5515E28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对基础运营平台系统、统一客户资料管理系统、综合受理系统转换到营销维系系统系统间的数据进行验证。</w:t>
      </w:r>
    </w:p>
    <w:p w14:paraId="5A91D786">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系统功能测试</w:t>
      </w:r>
    </w:p>
    <w:p w14:paraId="33AF3E0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针对系统功能测试用例的高、中、低三个级别对系统功能的测试划分成三个阶段。</w:t>
      </w:r>
    </w:p>
    <w:p w14:paraId="5C901861">
      <w:pPr>
        <w:pageBreakBefore w:val="0"/>
        <w:widowControl w:val="0"/>
        <w:numPr>
          <w:ilvl w:val="0"/>
          <w:numId w:val="2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第一阶段：高优先级测试，该阶段测试过程完成后，测试组提交一份缺陷报告书，交由开发组对缺陷进行修正（限定缺陷修正时间）。</w:t>
      </w:r>
    </w:p>
    <w:p w14:paraId="6F42DEFC">
      <w:pPr>
        <w:pageBreakBefore w:val="0"/>
        <w:widowControl w:val="0"/>
        <w:numPr>
          <w:ilvl w:val="0"/>
          <w:numId w:val="23"/>
        </w:numPr>
        <w:tabs>
          <w:tab w:val="left" w:pos="426"/>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第二阶段：中优先级测试，同样也有一份缺陷报告提交给开发组。在第二阶段的测试过程中可能需要对第一阶段的缺陷进行回归测试。</w:t>
      </w:r>
    </w:p>
    <w:p w14:paraId="3DF8A04D">
      <w:pPr>
        <w:pageBreakBefore w:val="0"/>
        <w:widowControl w:val="0"/>
        <w:numPr>
          <w:ilvl w:val="0"/>
          <w:numId w:val="23"/>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第三阶段：低优先级测试，同样有一份缺陷报告提交给开发组。该阶段可能需要对第一、二阶段的缺陷进行回归测试。</w:t>
      </w:r>
    </w:p>
    <w:p w14:paraId="05DF657C">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系统性能测试</w:t>
      </w:r>
    </w:p>
    <w:p w14:paraId="7915EE0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系统性能测试主要侧重于以下三个方面：</w:t>
      </w:r>
    </w:p>
    <w:p w14:paraId="6C18EA57">
      <w:pPr>
        <w:pageBreakBefore w:val="0"/>
        <w:widowControl w:val="0"/>
        <w:numPr>
          <w:ilvl w:val="0"/>
          <w:numId w:val="2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大并发量操作测试：编制测试脚本，同时触发多个相同/不同的事务的操作测试。</w:t>
      </w:r>
    </w:p>
    <w:p w14:paraId="6D7625F3">
      <w:pPr>
        <w:pageBreakBefore w:val="0"/>
        <w:widowControl w:val="0"/>
        <w:numPr>
          <w:ilvl w:val="0"/>
          <w:numId w:val="2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大事务量测试：对于大批量数据查询（数据量级为10万），查看系统性能指标；</w:t>
      </w:r>
    </w:p>
    <w:p w14:paraId="64775F14">
      <w:pPr>
        <w:pageBreakBefore w:val="0"/>
        <w:widowControl w:val="0"/>
        <w:numPr>
          <w:ilvl w:val="0"/>
          <w:numId w:val="2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疲劳测试：对多个关键业务流程，编制循环测试脚本对这些功能进行长时间的重复测试，查看系统性能指标的变动情况或是否发生异常现象。</w:t>
      </w:r>
    </w:p>
    <w:p w14:paraId="282F25AA">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接口测试</w:t>
      </w:r>
    </w:p>
    <w:p w14:paraId="4AF0ACC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与外系统的接口调测。接口测试也分为三个阶段：</w:t>
      </w:r>
    </w:p>
    <w:p w14:paraId="53F7B792">
      <w:pPr>
        <w:pageBreakBefore w:val="0"/>
        <w:widowControl w:val="0"/>
        <w:numPr>
          <w:ilvl w:val="0"/>
          <w:numId w:val="24"/>
        </w:numPr>
        <w:tabs>
          <w:tab w:val="left" w:pos="425"/>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和集团系统接口测试</w:t>
      </w:r>
    </w:p>
    <w:p w14:paraId="76F72CEF">
      <w:pPr>
        <w:pageBreakBefore w:val="0"/>
        <w:widowControl w:val="0"/>
        <w:numPr>
          <w:ilvl w:val="0"/>
          <w:numId w:val="2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和省接口测试</w:t>
      </w:r>
    </w:p>
    <w:p w14:paraId="16B473FF">
      <w:pPr>
        <w:pageBreakBefore w:val="0"/>
        <w:widowControl w:val="0"/>
        <w:numPr>
          <w:ilvl w:val="0"/>
          <w:numId w:val="24"/>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其它接口测试</w:t>
      </w:r>
    </w:p>
    <w:p w14:paraId="0E556D87">
      <w:pPr>
        <w:pageBreakBefore w:val="0"/>
        <w:widowControl w:val="0"/>
        <w:numPr>
          <w:ilvl w:val="0"/>
          <w:numId w:val="21"/>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系统缺陷管理</w:t>
      </w:r>
    </w:p>
    <w:p w14:paraId="2943C31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在测试执行阶段还有一项重要的工作，就是系统的缺陷管理。当测试的执行者在发现实测结果与期望结果之间存在差异时，必须针对该测试场景提出系统修改需求，以便对系统的缺陷做有效的管理。</w:t>
      </w:r>
    </w:p>
    <w:p w14:paraId="6116C1C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一般来说系统修改需求包含以下内容：名称、类型、级别（严重，高级，中级，低级）及其对应的处理时间要求、状态(如新建，已分派，已更改，移植，重新测试，重启，关闭，暂缓，驳回等)、对系统缺陷的描述和重现信息说明、发现系统缺陷的测试场景、对应的系统屏幕截图、测试者、系统版本说明等。</w:t>
      </w:r>
    </w:p>
    <w:p w14:paraId="35C7696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测试组将分派开发组解决系统修改需求，并由开发组承担解决系统修改需求的责任。在缺陷被修复，且经过回归测试证明缺陷没有重现时，系统修改需求才可以关闭。</w:t>
      </w:r>
    </w:p>
    <w:p w14:paraId="16845911">
      <w:pPr>
        <w:keepNext/>
        <w:keepLines/>
        <w:pageBreakBefore w:val="0"/>
        <w:widowControl w:val="0"/>
        <w:numPr>
          <w:ilvl w:val="2"/>
          <w:numId w:val="0"/>
        </w:numPr>
        <w:tabs>
          <w:tab w:val="left" w:pos="1152"/>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系统建设质量测试</w:t>
      </w:r>
    </w:p>
    <w:p w14:paraId="52F2AD4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系统建设质量测试是通过审查系统的设计与架构、系统厂商提供的系统文档，对系统的建设质量进行综合评价。主要目的是评估系统是否按照业务规范、技术规范要求建设，是否满足规范所规定的质量要求。</w:t>
      </w:r>
    </w:p>
    <w:p w14:paraId="04FB7B9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系统建设质量测试主要采用主观评审方法，对系统架构、技术文件、源码及其他相关文档进行审查与评价。主要步骤有：</w:t>
      </w:r>
    </w:p>
    <w:p w14:paraId="433015C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确定评审目标，准备评审材料，选择评审主持人、参与人。</w:t>
      </w:r>
    </w:p>
    <w:p w14:paraId="1FFAF08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确定评审时间，评审地点，制定评审计划。</w:t>
      </w:r>
    </w:p>
    <w:p w14:paraId="3AFDE76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提前发放评审材料给相关人员。</w:t>
      </w:r>
    </w:p>
    <w:p w14:paraId="33BE5A1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评审期间，应尽力将每个人引入讨论中，记录评审意见，并注意时间的控制。评审意见针对工作产品，而不针对人。</w:t>
      </w:r>
    </w:p>
    <w:p w14:paraId="295C18B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评审完毕后，修订评审报告，发放给各与会者确认。</w:t>
      </w:r>
    </w:p>
    <w:p w14:paraId="31427EF9">
      <w:pPr>
        <w:keepNext/>
        <w:keepLines/>
        <w:pageBreakBefore w:val="0"/>
        <w:widowControl w:val="0"/>
        <w:numPr>
          <w:ilvl w:val="1"/>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2" w:name="_Toc53752080"/>
      <w:r>
        <w:rPr>
          <w:rFonts w:hint="eastAsia" w:ascii="宋体" w:hAnsi="宋体" w:eastAsia="宋体" w:cs="宋体"/>
          <w:b/>
          <w:bCs/>
          <w:sz w:val="22"/>
          <w:szCs w:val="22"/>
        </w:rPr>
        <w:t>设备测试</w:t>
      </w:r>
      <w:bookmarkEnd w:id="662"/>
    </w:p>
    <w:p w14:paraId="352BA9D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本系统所包含的硬件设备如下：</w:t>
      </w:r>
    </w:p>
    <w:p w14:paraId="2B3A49F9">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主机部分：</w:t>
      </w:r>
    </w:p>
    <w:p w14:paraId="3222768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数据库服务器、应用服务器、接口服务器等</w:t>
      </w:r>
    </w:p>
    <w:p w14:paraId="79F6AA5F">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网络部分：</w:t>
      </w:r>
    </w:p>
    <w:p w14:paraId="3C09447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防火墙、交换机、路由器</w:t>
      </w:r>
    </w:p>
    <w:p w14:paraId="47E64FC8">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存储部分：</w:t>
      </w:r>
    </w:p>
    <w:p w14:paraId="40528BD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SAN光纤交换机、SAN磁盘存储阵列</w:t>
      </w:r>
    </w:p>
    <w:p w14:paraId="6DEADB25">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脱机存储部分：</w:t>
      </w:r>
    </w:p>
    <w:p w14:paraId="4603E09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`磁带库;</w:t>
      </w:r>
    </w:p>
    <w:p w14:paraId="20301E2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这些设备在进行系统割接和正式投入运行时都需要进行测试，编写测试方案。模拟可能出故障的情况，看设备是否有较强的可靠性，是否有较强的自身恢复能力及是否有较强的可用性。（RAS测试）下面给出一部分测试方案:</w:t>
      </w:r>
    </w:p>
    <w:p w14:paraId="00F809D1">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主机部分：</w:t>
      </w:r>
    </w:p>
    <w:p w14:paraId="35570C2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双机软件切换程序测试；</w:t>
      </w:r>
    </w:p>
    <w:p w14:paraId="5C48817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双网卡故障测试</w:t>
      </w:r>
    </w:p>
    <w:p w14:paraId="6E91644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根磁盘镜像测试；</w:t>
      </w:r>
    </w:p>
    <w:p w14:paraId="1F12A1B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电源故障测试；</w:t>
      </w:r>
    </w:p>
    <w:p w14:paraId="19966AC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可插拔硬盘故障测试；</w:t>
      </w:r>
    </w:p>
    <w:p w14:paraId="1006DEE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系统突然断电测试；</w:t>
      </w:r>
    </w:p>
    <w:p w14:paraId="30DFAA81">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网络部分：</w:t>
      </w:r>
    </w:p>
    <w:p w14:paraId="0FDC9CE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设备断电测试；</w:t>
      </w:r>
    </w:p>
    <w:p w14:paraId="0290945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FAILOVER切换测试；</w:t>
      </w:r>
    </w:p>
    <w:p w14:paraId="3E7F2BE9">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存储部分：</w:t>
      </w:r>
    </w:p>
    <w:p w14:paraId="6EDFD7E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电源故障测试；</w:t>
      </w:r>
    </w:p>
    <w:p w14:paraId="30ED5F89">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控制器故障切换测试；</w:t>
      </w:r>
    </w:p>
    <w:p w14:paraId="05C1482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断电后自恢复测试；</w:t>
      </w:r>
    </w:p>
    <w:p w14:paraId="46B7E34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Cache掉点测试；</w:t>
      </w:r>
    </w:p>
    <w:p w14:paraId="42EF2DC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光纤交换机故障切换测试；</w:t>
      </w:r>
    </w:p>
    <w:p w14:paraId="77C4E316">
      <w:pPr>
        <w:pageBreakBefore w:val="0"/>
        <w:widowControl w:val="0"/>
        <w:numPr>
          <w:ilvl w:val="0"/>
          <w:numId w:val="25"/>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脱机存储部分：</w:t>
      </w:r>
    </w:p>
    <w:p w14:paraId="64CCCFF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磁带driver故障测试。</w:t>
      </w:r>
    </w:p>
    <w:p w14:paraId="0C0B1D29">
      <w:pPr>
        <w:keepNext/>
        <w:keepLines/>
        <w:pageBreakBefore w:val="0"/>
        <w:widowControl w:val="0"/>
        <w:numPr>
          <w:ilvl w:val="1"/>
          <w:numId w:val="0"/>
        </w:numPr>
        <w:tabs>
          <w:tab w:val="left" w:pos="864"/>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3" w:name="_Toc53752081"/>
      <w:bookmarkStart w:id="664" w:name="_Toc532390112"/>
      <w:bookmarkStart w:id="665" w:name="_Toc519302479"/>
      <w:bookmarkStart w:id="666" w:name="_Toc28189843"/>
      <w:bookmarkStart w:id="667" w:name="_Toc533081148"/>
      <w:r>
        <w:rPr>
          <w:rFonts w:hint="eastAsia" w:ascii="宋体" w:hAnsi="宋体" w:eastAsia="宋体" w:cs="宋体"/>
          <w:b/>
          <w:bCs/>
          <w:sz w:val="22"/>
          <w:szCs w:val="22"/>
        </w:rPr>
        <w:t>安装前测试</w:t>
      </w:r>
      <w:bookmarkEnd w:id="663"/>
      <w:bookmarkEnd w:id="664"/>
      <w:bookmarkEnd w:id="665"/>
      <w:bookmarkEnd w:id="666"/>
      <w:bookmarkEnd w:id="667"/>
    </w:p>
    <w:p w14:paraId="48929B50">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8" w:name="_Toc53752082"/>
      <w:r>
        <w:rPr>
          <w:rFonts w:hint="eastAsia" w:ascii="宋体" w:hAnsi="宋体" w:eastAsia="宋体" w:cs="宋体"/>
          <w:b/>
          <w:bCs/>
          <w:sz w:val="22"/>
          <w:szCs w:val="22"/>
        </w:rPr>
        <w:t>安装、测试</w:t>
      </w:r>
      <w:bookmarkEnd w:id="668"/>
    </w:p>
    <w:p w14:paraId="2F5C9D92">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制定测试计划和选定测试方法</w:t>
      </w:r>
    </w:p>
    <w:p w14:paraId="38375A9F">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准备测试数据</w:t>
      </w:r>
    </w:p>
    <w:p w14:paraId="10B9AB09">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确认测试环境，应该是硬件系统通过初步验收后所构成的标准模式运行环境</w:t>
      </w:r>
    </w:p>
    <w:p w14:paraId="16EFE227">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进行测试记录和测试修改</w:t>
      </w:r>
    </w:p>
    <w:p w14:paraId="7B4028DD">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分析测试结果，形成测试报告</w:t>
      </w:r>
    </w:p>
    <w:p w14:paraId="308CDC4C">
      <w:pPr>
        <w:pageBreakBefore w:val="0"/>
        <w:widowControl w:val="0"/>
        <w:numPr>
          <w:ilvl w:val="0"/>
          <w:numId w:val="26"/>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为测试后的确认和初步验收做好准备</w:t>
      </w:r>
    </w:p>
    <w:p w14:paraId="7E5EA0DA">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69" w:name="_Toc53752083"/>
      <w:r>
        <w:rPr>
          <w:rFonts w:hint="eastAsia" w:ascii="宋体" w:hAnsi="宋体" w:eastAsia="宋体" w:cs="宋体"/>
          <w:b/>
          <w:bCs/>
          <w:sz w:val="22"/>
          <w:szCs w:val="22"/>
        </w:rPr>
        <w:t>网络安装与调试</w:t>
      </w:r>
      <w:bookmarkEnd w:id="669"/>
    </w:p>
    <w:p w14:paraId="3DBA085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网络实施方案：由集成商负责完成网络实施方案，并提交建设方，得到建设方认可后，方可进行网络安装;</w:t>
      </w:r>
    </w:p>
    <w:p w14:paraId="04660F1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工程实施组的网络工程师配合项目执行小组指派的专人完成到货、分货和验货等工作，对于集团性的工程项目，推荐采用集中验货，集中调试和检测，再向全国分发的方式;</w:t>
      </w:r>
    </w:p>
    <w:p w14:paraId="785C5B3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进行本地异域网交换机的安装、配置和调试;</w:t>
      </w:r>
    </w:p>
    <w:p w14:paraId="398F456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进行主机、服务器、工作站与网络的连通调试;</w:t>
      </w:r>
    </w:p>
    <w:p w14:paraId="2395B40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进行网络线路端接设备（如：调制解调器等）的安装、配置和调试;</w:t>
      </w:r>
    </w:p>
    <w:p w14:paraId="6CF998C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进行路由器等远程网络设备的集中联调;</w:t>
      </w:r>
    </w:p>
    <w:p w14:paraId="6ADE309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进行网络管理软件的安装、配置和调试;</w:t>
      </w:r>
    </w:p>
    <w:p w14:paraId="763B84E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进行网络节点间的通讯测试、冗余性测试、异种厂商网络产品兼容性测试等;</w:t>
      </w:r>
    </w:p>
    <w:p w14:paraId="608725C3">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向文档管理组提交完整的网络调试、配置、测试及遗留问题报告;</w:t>
      </w:r>
    </w:p>
    <w:p w14:paraId="04EAFEA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对用户进行安装与调试的现场培训;</w:t>
      </w:r>
    </w:p>
    <w:p w14:paraId="6CA93ED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p>
    <w:p w14:paraId="520C1F0E">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0" w:name="_Toc53752084"/>
      <w:r>
        <w:rPr>
          <w:rFonts w:hint="eastAsia" w:ascii="宋体" w:hAnsi="宋体" w:eastAsia="宋体" w:cs="宋体"/>
          <w:b/>
          <w:bCs/>
          <w:sz w:val="22"/>
          <w:szCs w:val="22"/>
        </w:rPr>
        <w:t>主机及系统的安装与调试</w:t>
      </w:r>
      <w:bookmarkEnd w:id="670"/>
    </w:p>
    <w:p w14:paraId="31330035">
      <w:pPr>
        <w:pageBreakBefore w:val="0"/>
        <w:widowControl w:val="0"/>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对于本工程的安装与调试方面，我方明确以下问题： </w:t>
      </w:r>
    </w:p>
    <w:p w14:paraId="7D2920CF">
      <w:pPr>
        <w:pageBreakBefore w:val="0"/>
        <w:widowControl w:val="0"/>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本期工程平台所有软硬件设备，除我方提供的非集采软硬件设备外，还包括甲方统一完成采集的设备，以上设备均归属于</w:t>
      </w:r>
      <w:r>
        <w:rPr>
          <w:rFonts w:hint="eastAsia" w:ascii="宋体" w:hAnsi="宋体" w:cs="宋体"/>
          <w:sz w:val="22"/>
          <w:szCs w:val="22"/>
          <w:lang w:eastAsia="zh-CN"/>
        </w:rPr>
        <w:t>乙方</w:t>
      </w:r>
      <w:r>
        <w:rPr>
          <w:rFonts w:hint="eastAsia" w:ascii="宋体" w:hAnsi="宋体" w:eastAsia="宋体" w:cs="宋体"/>
          <w:sz w:val="22"/>
          <w:szCs w:val="22"/>
        </w:rPr>
        <w:t>平台集成的范围。</w:t>
      </w:r>
    </w:p>
    <w:p w14:paraId="15926792">
      <w:pPr>
        <w:pageBreakBefore w:val="0"/>
        <w:widowControl w:val="0"/>
        <w:numPr>
          <w:ilvl w:val="0"/>
          <w:numId w:val="27"/>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装调测时使用的工具、设备由</w:t>
      </w:r>
      <w:r>
        <w:rPr>
          <w:rFonts w:hint="eastAsia" w:ascii="宋体" w:hAnsi="宋体" w:cs="宋体"/>
          <w:sz w:val="22"/>
          <w:szCs w:val="22"/>
          <w:lang w:eastAsia="zh-CN"/>
        </w:rPr>
        <w:t>乙方</w:t>
      </w:r>
      <w:r>
        <w:rPr>
          <w:rFonts w:hint="eastAsia" w:ascii="宋体" w:hAnsi="宋体" w:eastAsia="宋体" w:cs="宋体"/>
          <w:sz w:val="22"/>
          <w:szCs w:val="22"/>
        </w:rPr>
        <w:t>提供，通用工具由甲方协助解决。双方应协商制定工程进度表，</w:t>
      </w:r>
      <w:r>
        <w:rPr>
          <w:rFonts w:hint="eastAsia" w:ascii="宋体" w:hAnsi="宋体" w:cs="宋体"/>
          <w:sz w:val="22"/>
          <w:szCs w:val="22"/>
          <w:lang w:eastAsia="zh-CN"/>
        </w:rPr>
        <w:t>乙方</w:t>
      </w:r>
      <w:r>
        <w:rPr>
          <w:rFonts w:hint="eastAsia" w:ascii="宋体" w:hAnsi="宋体" w:eastAsia="宋体" w:cs="宋体"/>
          <w:sz w:val="22"/>
          <w:szCs w:val="22"/>
        </w:rPr>
        <w:t>负责按工程进度表进行施工；</w:t>
      </w:r>
    </w:p>
    <w:p w14:paraId="79380685">
      <w:pPr>
        <w:pageBreakBefore w:val="0"/>
        <w:widowControl w:val="0"/>
        <w:numPr>
          <w:ilvl w:val="0"/>
          <w:numId w:val="27"/>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系统安装调试由</w:t>
      </w:r>
      <w:r>
        <w:rPr>
          <w:rFonts w:hint="eastAsia" w:ascii="宋体" w:hAnsi="宋体" w:cs="宋体"/>
          <w:sz w:val="22"/>
          <w:szCs w:val="22"/>
          <w:lang w:eastAsia="zh-CN"/>
        </w:rPr>
        <w:t>乙方</w:t>
      </w:r>
      <w:r>
        <w:rPr>
          <w:rFonts w:hint="eastAsia" w:ascii="宋体" w:hAnsi="宋体" w:eastAsia="宋体" w:cs="宋体"/>
          <w:sz w:val="22"/>
          <w:szCs w:val="22"/>
        </w:rPr>
        <w:t>负责，</w:t>
      </w:r>
      <w:r>
        <w:rPr>
          <w:rFonts w:hint="eastAsia" w:ascii="宋体" w:hAnsi="宋体" w:cs="宋体"/>
          <w:sz w:val="22"/>
          <w:szCs w:val="22"/>
          <w:lang w:eastAsia="zh-CN"/>
        </w:rPr>
        <w:t>乙方</w:t>
      </w:r>
      <w:r>
        <w:rPr>
          <w:rFonts w:hint="eastAsia" w:ascii="宋体" w:hAnsi="宋体" w:eastAsia="宋体" w:cs="宋体"/>
          <w:sz w:val="22"/>
          <w:szCs w:val="22"/>
        </w:rPr>
        <w:t>调试前应提出完整的调试计划并经甲方确认，包括设备调试的内容、项目、指标、方法和进度，并提供相应的仪器和工具。</w:t>
      </w:r>
      <w:r>
        <w:rPr>
          <w:rFonts w:hint="eastAsia" w:ascii="宋体" w:hAnsi="宋体" w:cs="宋体"/>
          <w:sz w:val="22"/>
          <w:szCs w:val="22"/>
          <w:lang w:eastAsia="zh-CN"/>
        </w:rPr>
        <w:t>乙方</w:t>
      </w:r>
      <w:r>
        <w:rPr>
          <w:rFonts w:hint="eastAsia" w:ascii="宋体" w:hAnsi="宋体" w:eastAsia="宋体" w:cs="宋体"/>
          <w:sz w:val="22"/>
          <w:szCs w:val="22"/>
        </w:rPr>
        <w:t>有责任对甲方的技术人员提出的问题作出解答。调试应进行详细记录，系统调试结束后，由</w:t>
      </w:r>
      <w:r>
        <w:rPr>
          <w:rFonts w:hint="eastAsia" w:ascii="宋体" w:hAnsi="宋体" w:cs="宋体"/>
          <w:sz w:val="22"/>
          <w:szCs w:val="22"/>
          <w:lang w:eastAsia="zh-CN"/>
        </w:rPr>
        <w:t>乙方</w:t>
      </w:r>
      <w:r>
        <w:rPr>
          <w:rFonts w:hint="eastAsia" w:ascii="宋体" w:hAnsi="宋体" w:eastAsia="宋体" w:cs="宋体"/>
          <w:sz w:val="22"/>
          <w:szCs w:val="22"/>
        </w:rPr>
        <w:t>技术人员签字后交给甲方验收；</w:t>
      </w:r>
    </w:p>
    <w:p w14:paraId="2837A4F0">
      <w:pPr>
        <w:pageBreakBefore w:val="0"/>
        <w:widowControl w:val="0"/>
        <w:numPr>
          <w:ilvl w:val="0"/>
          <w:numId w:val="27"/>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系统测试的条款应与技术规范一致。基于以上要求，</w:t>
      </w:r>
      <w:r>
        <w:rPr>
          <w:rFonts w:hint="eastAsia" w:ascii="宋体" w:hAnsi="宋体" w:cs="宋体"/>
          <w:sz w:val="22"/>
          <w:szCs w:val="22"/>
          <w:lang w:eastAsia="zh-CN"/>
        </w:rPr>
        <w:t>乙方</w:t>
      </w:r>
      <w:r>
        <w:rPr>
          <w:rFonts w:hint="eastAsia" w:ascii="宋体" w:hAnsi="宋体" w:eastAsia="宋体" w:cs="宋体"/>
          <w:sz w:val="22"/>
          <w:szCs w:val="22"/>
        </w:rPr>
        <w:t>将提供测试条件，方法和过程的草案，谈判以后，最终测试文件由双方共同拟定。各种测试指标在测试报告中反映。测试内容应至少包括：</w:t>
      </w:r>
    </w:p>
    <w:p w14:paraId="68F927CE">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功能测试；</w:t>
      </w:r>
    </w:p>
    <w:p w14:paraId="322719AE">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性能测试；</w:t>
      </w:r>
    </w:p>
    <w:p w14:paraId="617D2EF8">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稳定性测试；</w:t>
      </w:r>
    </w:p>
    <w:p w14:paraId="6960E18C">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压力测试；</w:t>
      </w:r>
    </w:p>
    <w:p w14:paraId="44E36EDC">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容错测试；</w:t>
      </w:r>
    </w:p>
    <w:p w14:paraId="7C33A67A">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故障测试；</w:t>
      </w:r>
    </w:p>
    <w:p w14:paraId="69CEDB86">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安全性测试；</w:t>
      </w:r>
    </w:p>
    <w:p w14:paraId="6DD6648C">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互通测试；</w:t>
      </w:r>
    </w:p>
    <w:p w14:paraId="3DF0AE2F">
      <w:pPr>
        <w:pageBreakBefore w:val="0"/>
        <w:widowControl w:val="0"/>
        <w:numPr>
          <w:ilvl w:val="1"/>
          <w:numId w:val="28"/>
        </w:numPr>
        <w:kinsoku/>
        <w:wordWrap/>
        <w:overflowPunct/>
        <w:topLinePunct w:val="0"/>
        <w:autoSpaceDE/>
        <w:autoSpaceDN/>
        <w:bidi w:val="0"/>
        <w:adjustRightInd w:val="0"/>
        <w:snapToGrid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其它测试等。</w:t>
      </w:r>
    </w:p>
    <w:p w14:paraId="39ECC57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另外主机及系统安装实施方案：由集成商负责完成主机系统的安装实施方案，并提交建设方，得到建设方认可后，方可进行安装;</w:t>
      </w:r>
    </w:p>
    <w:p w14:paraId="4D31DBF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工程实施组的主机系统工程师配合项目执行小组指派的专人完成到货、分货等工作，对于全区性的工程项目，推荐采用集中验货，集中调试和检测的方式;</w:t>
      </w:r>
    </w:p>
    <w:p w14:paraId="3A9E508A">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主机系统的现场安装与调试，包括中心各服务器及通讯服务器;</w:t>
      </w:r>
    </w:p>
    <w:p w14:paraId="1F3EF48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磁盘阵列系统、脱机磁带存储设备的安装与调试;</w:t>
      </w:r>
    </w:p>
    <w:p w14:paraId="4AA67A3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数据库的安装和一般性调试;</w:t>
      </w:r>
    </w:p>
    <w:p w14:paraId="0B1E4A1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协助网络工程师做好网络管理工作主机的调试;</w:t>
      </w:r>
    </w:p>
    <w:p w14:paraId="78031B32">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做主机现场测试，为应用软件的加载与调试作准备;</w:t>
      </w:r>
    </w:p>
    <w:p w14:paraId="23FE79A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向文档管理组提交完整的系统调试、配置、测试及遗留问题报告;</w:t>
      </w:r>
    </w:p>
    <w:p w14:paraId="6EB242B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对用户进行安装与调试的现场培训;</w:t>
      </w:r>
    </w:p>
    <w:p w14:paraId="2B204DBC">
      <w:pPr>
        <w:keepNext/>
        <w:keepLines/>
        <w:pageBreakBefore w:val="0"/>
        <w:widowControl w:val="0"/>
        <w:numPr>
          <w:ilvl w:val="1"/>
          <w:numId w:val="0"/>
        </w:numPr>
        <w:tabs>
          <w:tab w:val="left" w:pos="864"/>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1" w:name="_Toc519302480"/>
      <w:bookmarkStart w:id="672" w:name="_Toc532390113"/>
      <w:bookmarkStart w:id="673" w:name="_Toc53752085"/>
      <w:bookmarkStart w:id="674" w:name="_Toc28189844"/>
      <w:bookmarkStart w:id="675" w:name="_Toc533081149"/>
      <w:r>
        <w:rPr>
          <w:rFonts w:hint="eastAsia" w:ascii="宋体" w:hAnsi="宋体" w:eastAsia="宋体" w:cs="宋体"/>
          <w:b/>
          <w:bCs/>
          <w:sz w:val="22"/>
          <w:szCs w:val="22"/>
        </w:rPr>
        <w:t>测试内容</w:t>
      </w:r>
      <w:bookmarkEnd w:id="671"/>
      <w:bookmarkEnd w:id="672"/>
      <w:bookmarkEnd w:id="673"/>
      <w:bookmarkEnd w:id="674"/>
      <w:bookmarkEnd w:id="675"/>
    </w:p>
    <w:p w14:paraId="77DB02B1">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6" w:name="_Toc53752086"/>
      <w:r>
        <w:rPr>
          <w:rFonts w:hint="eastAsia" w:ascii="宋体" w:hAnsi="宋体" w:eastAsia="宋体" w:cs="宋体"/>
          <w:b/>
          <w:bCs/>
          <w:sz w:val="22"/>
          <w:szCs w:val="22"/>
        </w:rPr>
        <w:t>功能测试</w:t>
      </w:r>
      <w:bookmarkEnd w:id="676"/>
    </w:p>
    <w:p w14:paraId="61A82F7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功能测试也叫黑盒测试或数据驱动测试，只需考虑需要测试的各个功能，不需要考虑整个软件的内部结构及代码.一般从软件产品的界面、架构出发，按照需求编写出来的测试用例，输入数据在预期结果和实际结果之间进行评测，进而提出更加使产品达到用户使用的要求。</w:t>
      </w:r>
    </w:p>
    <w:p w14:paraId="43CE9B36">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7" w:name="_Toc53752087"/>
      <w:r>
        <w:rPr>
          <w:rFonts w:hint="eastAsia" w:ascii="宋体" w:hAnsi="宋体" w:eastAsia="宋体" w:cs="宋体"/>
          <w:b/>
          <w:bCs/>
          <w:sz w:val="22"/>
          <w:szCs w:val="22"/>
        </w:rPr>
        <w:t>性能测试</w:t>
      </w:r>
      <w:bookmarkEnd w:id="677"/>
    </w:p>
    <w:p w14:paraId="08D9CE05">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性能测试是通过自动化的测试工具模拟多种正常、峰值以及异常负载条件来对系统的各项性能指标进行测试。负载测试和压力测试都属于性能测试，两者可以结合进行。</w:t>
      </w:r>
    </w:p>
    <w:p w14:paraId="0729BC7C">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8" w:name="_Toc53752088"/>
      <w:r>
        <w:rPr>
          <w:rFonts w:hint="eastAsia" w:ascii="宋体" w:hAnsi="宋体" w:eastAsia="宋体" w:cs="宋体"/>
          <w:b/>
          <w:bCs/>
          <w:sz w:val="22"/>
          <w:szCs w:val="22"/>
        </w:rPr>
        <w:t>稳定性测试</w:t>
      </w:r>
      <w:bookmarkEnd w:id="678"/>
    </w:p>
    <w:p w14:paraId="1E44555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稳定性测试是在保证功能完整正确的前提下，必不可少的一项测试内容，通过对软件稳定性的测试可以观察在一个运行周期内、一定的压力条件下，软件的出错机率、性能劣化趋势等。进而大大减少软件上线后的崩溃卡死等现象，为软件的逐步优化提供方向及验证。</w:t>
      </w:r>
    </w:p>
    <w:p w14:paraId="575E91FB">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79" w:name="_Toc53752089"/>
      <w:r>
        <w:rPr>
          <w:rFonts w:hint="eastAsia" w:ascii="宋体" w:hAnsi="宋体" w:eastAsia="宋体" w:cs="宋体"/>
          <w:b/>
          <w:bCs/>
          <w:sz w:val="22"/>
          <w:szCs w:val="22"/>
        </w:rPr>
        <w:t>压力测试</w:t>
      </w:r>
      <w:bookmarkEnd w:id="679"/>
    </w:p>
    <w:p w14:paraId="78A02E21">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软件压力测试是一种基本的质量保证行为，它是每个重要软件测试工作的一部分。软件压力测试的基本思路：不是在常规条件下运行手动或自动测试，而是在计算机数量较少或系统资源匮乏的条件下运行测试。通常要进行软件压力测试的资源包括内部内存、CPU 可用性、磁盘空间和网络带宽。</w:t>
      </w:r>
    </w:p>
    <w:p w14:paraId="340A3909">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0" w:name="_Toc53752090"/>
      <w:r>
        <w:rPr>
          <w:rFonts w:hint="eastAsia" w:ascii="宋体" w:hAnsi="宋体" w:eastAsia="宋体" w:cs="宋体"/>
          <w:b/>
          <w:bCs/>
          <w:sz w:val="22"/>
          <w:szCs w:val="22"/>
        </w:rPr>
        <w:t>容错测试</w:t>
      </w:r>
      <w:bookmarkEnd w:id="680"/>
    </w:p>
    <w:p w14:paraId="28C87AE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容错性测试是检查软件在异常条件下的行为。容错性好的软件能确保系统不发生无法意料的事故</w:t>
      </w:r>
    </w:p>
    <w:p w14:paraId="67D4B055">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1" w:name="_Toc53752091"/>
      <w:r>
        <w:rPr>
          <w:rFonts w:hint="eastAsia" w:ascii="宋体" w:hAnsi="宋体" w:eastAsia="宋体" w:cs="宋体"/>
          <w:b/>
          <w:bCs/>
          <w:sz w:val="22"/>
          <w:szCs w:val="22"/>
        </w:rPr>
        <w:t>故障测试</w:t>
      </w:r>
      <w:bookmarkEnd w:id="681"/>
    </w:p>
    <w:p w14:paraId="352E6B54">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故障测试,目的是为了能更快的查出发生故障的原因。</w:t>
      </w:r>
    </w:p>
    <w:p w14:paraId="15F319AD">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2" w:name="_Toc53752092"/>
      <w:r>
        <w:rPr>
          <w:rFonts w:hint="eastAsia" w:ascii="宋体" w:hAnsi="宋体" w:eastAsia="宋体" w:cs="宋体"/>
          <w:b/>
          <w:bCs/>
          <w:sz w:val="22"/>
          <w:szCs w:val="22"/>
        </w:rPr>
        <w:t>安全性测试</w:t>
      </w:r>
      <w:bookmarkEnd w:id="682"/>
    </w:p>
    <w:p w14:paraId="2FF6A79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安全性测试是在IT软件产品的生命周期中，特别是产品开发基本完成到发布阶段，对产品进行检验以验证产品符合安全需求定义和产品质量标准的过程 。</w:t>
      </w:r>
    </w:p>
    <w:p w14:paraId="6EA6228B">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3" w:name="_Toc53752093"/>
      <w:r>
        <w:rPr>
          <w:rFonts w:hint="eastAsia" w:ascii="宋体" w:hAnsi="宋体" w:eastAsia="宋体" w:cs="宋体"/>
          <w:b/>
          <w:bCs/>
          <w:sz w:val="22"/>
          <w:szCs w:val="22"/>
        </w:rPr>
        <w:t>互通测试</w:t>
      </w:r>
      <w:bookmarkEnd w:id="683"/>
    </w:p>
    <w:p w14:paraId="3C75A90F">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多厂商运营环境形成的技术基础。只有完成接口的互操作测试，才能保证不同厂家的接入的互联互通，也只有完接口的互操作测试，才能保证接入系统之间的互联互通。</w:t>
      </w:r>
    </w:p>
    <w:p w14:paraId="149566B8">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4" w:name="_Toc53752094"/>
      <w:r>
        <w:rPr>
          <w:rFonts w:hint="eastAsia" w:ascii="宋体" w:hAnsi="宋体" w:eastAsia="宋体" w:cs="宋体"/>
          <w:b/>
          <w:bCs/>
          <w:sz w:val="22"/>
          <w:szCs w:val="22"/>
        </w:rPr>
        <w:t>其它测试等</w:t>
      </w:r>
      <w:bookmarkEnd w:id="684"/>
    </w:p>
    <w:p w14:paraId="76B0CD78">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回归测试是指对软件的新的版本测试时，重复执行上一个版本测试时的用例。</w:t>
      </w:r>
    </w:p>
    <w:p w14:paraId="436B3F5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冒烟测试，是指在对一个新版本进行大规模的测试之前，先验证一下软件的基本功能是否实现，是否具备可测性。</w:t>
      </w:r>
    </w:p>
    <w:p w14:paraId="45980C1C">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随机测试，是指测试中所有的输入数据都是随机生成的，其目的是模拟用户的真实操作，并发现一些边缘性的错误。</w:t>
      </w:r>
      <w:bookmarkEnd w:id="655"/>
    </w:p>
    <w:p w14:paraId="3D600345">
      <w:pPr>
        <w:keepNext/>
        <w:keepLines/>
        <w:pageBreakBefore w:val="0"/>
        <w:widowControl w:val="0"/>
        <w:numPr>
          <w:ilvl w:val="1"/>
          <w:numId w:val="0"/>
        </w:numPr>
        <w:tabs>
          <w:tab w:val="left" w:pos="864"/>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5" w:name="_Toc53752095"/>
      <w:r>
        <w:rPr>
          <w:rFonts w:hint="eastAsia" w:ascii="宋体" w:hAnsi="宋体" w:eastAsia="宋体" w:cs="宋体"/>
          <w:b/>
          <w:bCs/>
          <w:sz w:val="22"/>
          <w:szCs w:val="22"/>
        </w:rPr>
        <w:t>验收方案</w:t>
      </w:r>
      <w:bookmarkEnd w:id="685"/>
    </w:p>
    <w:p w14:paraId="325EDFE9">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6" w:name="_Toc53752097"/>
      <w:r>
        <w:rPr>
          <w:rFonts w:hint="eastAsia" w:ascii="宋体" w:hAnsi="宋体" w:eastAsia="宋体" w:cs="宋体"/>
          <w:b/>
          <w:bCs/>
          <w:sz w:val="22"/>
          <w:szCs w:val="22"/>
        </w:rPr>
        <w:t>应用软件初步验收</w:t>
      </w:r>
      <w:bookmarkEnd w:id="686"/>
    </w:p>
    <w:p w14:paraId="42D364C6">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是在硬件系统初步验收合格之后进行，是以硬件系统初步验收后所构成的标准模式运行环境为依托</w:t>
      </w:r>
    </w:p>
    <w:p w14:paraId="7C7BE4EE">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验收的对象是经过整体测试之后的版本及全部软件文档资料</w:t>
      </w:r>
    </w:p>
    <w:p w14:paraId="52E07EA9">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验收标准是双方项目执行组制定的</w:t>
      </w:r>
    </w:p>
    <w:p w14:paraId="7CC6BD58">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验收小组执行验收后由领导小组确认批准</w:t>
      </w:r>
    </w:p>
    <w:p w14:paraId="5EAA4E02">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验收后合格的版本，将安装在实际运行环境中进行试运行</w:t>
      </w:r>
    </w:p>
    <w:p w14:paraId="3978263A">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7" w:name="_Toc53752098"/>
      <w:r>
        <w:rPr>
          <w:rFonts w:hint="eastAsia" w:ascii="宋体" w:hAnsi="宋体" w:eastAsia="宋体" w:cs="宋体"/>
          <w:b/>
          <w:bCs/>
          <w:sz w:val="22"/>
          <w:szCs w:val="22"/>
        </w:rPr>
        <w:t>系统试运行</w:t>
      </w:r>
      <w:bookmarkEnd w:id="687"/>
    </w:p>
    <w:p w14:paraId="13A9E1B9">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在系统试运行期间，应用软件开发人员共同负责系统的维护，并形成专职团队做现场支持；</w:t>
      </w:r>
    </w:p>
    <w:p w14:paraId="39703585">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提供试运行条件、方法和过程的方案，由双方共同确认，试运行将在初验后进行；</w:t>
      </w:r>
    </w:p>
    <w:p w14:paraId="3F9F26AE">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应用软件系统均已初验合格之后即可开始试运行；</w:t>
      </w:r>
    </w:p>
    <w:p w14:paraId="367FEF6D">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由应用软件组将应用软件系统加载在实际网络运行环境之上</w:t>
      </w:r>
    </w:p>
    <w:p w14:paraId="683E69A2">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在试运行阶段，整个系统工程将接受时间和环境的考验，不但要考察功能特性，更要考察系统运行的性能是否符合预期目标；</w:t>
      </w:r>
    </w:p>
    <w:p w14:paraId="1BAEC185">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试运行期内，凡由于应用软件原因，造成某些功能达不到要求，甚至出现严重故障，导致系统中断的，试运行中止，会要及时查明原因并修复。</w:t>
      </w:r>
    </w:p>
    <w:p w14:paraId="5E03172E">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在系统终验通过以前，对于甲方提出的完善修改意见，会严格执行。</w:t>
      </w:r>
    </w:p>
    <w:p w14:paraId="76AA4D88">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在试运行期间须对用户进行有关应用软件、硬件维护和使用的授课培训，并严格考核，合格上岗；</w:t>
      </w:r>
    </w:p>
    <w:p w14:paraId="4AAE1250">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经过正常试运转，试运行结束时将协助用户生成试运行报告。由甲方组织对</w:t>
      </w:r>
      <w:r>
        <w:rPr>
          <w:rFonts w:hint="eastAsia" w:ascii="宋体" w:hAnsi="宋体" w:cs="宋体"/>
          <w:sz w:val="22"/>
          <w:szCs w:val="22"/>
          <w:lang w:eastAsia="zh-CN"/>
        </w:rPr>
        <w:t>乙方</w:t>
      </w:r>
      <w:r>
        <w:rPr>
          <w:rFonts w:hint="eastAsia" w:ascii="宋体" w:hAnsi="宋体" w:eastAsia="宋体" w:cs="宋体"/>
          <w:sz w:val="22"/>
          <w:szCs w:val="22"/>
        </w:rPr>
        <w:t>公司系统的业务功能和业务后续开发能力进行终验，双方共同签署验收证书。</w:t>
      </w:r>
    </w:p>
    <w:p w14:paraId="564D9C6B">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在全部指标和功能要求达到规定的要求后，方可签署系统最终验收证书。</w:t>
      </w:r>
    </w:p>
    <w:p w14:paraId="0D838CEC">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8" w:name="_Toc53752099"/>
      <w:r>
        <w:rPr>
          <w:rFonts w:hint="eastAsia" w:ascii="宋体" w:hAnsi="宋体" w:eastAsia="宋体" w:cs="宋体"/>
          <w:b/>
          <w:bCs/>
          <w:sz w:val="22"/>
          <w:szCs w:val="22"/>
        </w:rPr>
        <w:t>软件终验</w:t>
      </w:r>
      <w:bookmarkEnd w:id="688"/>
    </w:p>
    <w:p w14:paraId="5DB0A46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初验合格后进行连续试运行期完成后，所有性能指标达到招标书的要求时，可进行最终验收。期间，由于系统设计或软件自身缺陷等造成某些指标达不到要求，允许投标人更换或进行修复，终验日期顺延，在全部达到要求时，双方签署最终验收文件</w:t>
      </w:r>
    </w:p>
    <w:p w14:paraId="013F0190">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89" w:name="_Toc53752100"/>
      <w:r>
        <w:rPr>
          <w:rFonts w:hint="eastAsia" w:ascii="宋体" w:hAnsi="宋体" w:eastAsia="宋体" w:cs="宋体"/>
          <w:b/>
          <w:bCs/>
          <w:sz w:val="22"/>
          <w:szCs w:val="22"/>
        </w:rPr>
        <w:t>整体系统工程终验</w:t>
      </w:r>
      <w:bookmarkEnd w:id="689"/>
    </w:p>
    <w:p w14:paraId="2A56665B">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这里的最终验收是指针对整个系统工程的最终验收，它既包括了对硬件系统的最终验收，也包括了对应用软件的最终验收；</w:t>
      </w:r>
    </w:p>
    <w:p w14:paraId="43FAA200">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整个系统工程试运行结束时验收小组要依据双方项目执行小组提出的验收准则，对试运行情况进行分析，给出结论性意见；</w:t>
      </w:r>
    </w:p>
    <w:p w14:paraId="302319E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初验后无重大故障，并且达到预期性能指标时，最终验收通过。</w:t>
      </w:r>
    </w:p>
    <w:p w14:paraId="4EE3103C">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90" w:name="_Toc53752101"/>
      <w:r>
        <w:rPr>
          <w:rFonts w:hint="eastAsia" w:ascii="宋体" w:hAnsi="宋体" w:eastAsia="宋体" w:cs="宋体"/>
          <w:b/>
          <w:bCs/>
          <w:sz w:val="22"/>
          <w:szCs w:val="22"/>
        </w:rPr>
        <w:t>验收对象</w:t>
      </w:r>
      <w:bookmarkEnd w:id="690"/>
    </w:p>
    <w:p w14:paraId="6B470C7F">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硬件系统（包括主机及其系统软件、网络、数据库系统）</w:t>
      </w:r>
    </w:p>
    <w:p w14:paraId="294ACAFF">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应用软件（程序编码与相关数据）</w:t>
      </w:r>
    </w:p>
    <w:p w14:paraId="6E850B24">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文档（各种工程、技术、软件的文档）</w:t>
      </w:r>
    </w:p>
    <w:p w14:paraId="6965B001">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培训（技术培训和应用培训）</w:t>
      </w:r>
    </w:p>
    <w:p w14:paraId="7706D9D1">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91" w:name="_Toc53752102"/>
      <w:r>
        <w:rPr>
          <w:rFonts w:hint="eastAsia" w:ascii="宋体" w:hAnsi="宋体" w:eastAsia="宋体" w:cs="宋体"/>
          <w:b/>
          <w:bCs/>
          <w:sz w:val="22"/>
          <w:szCs w:val="22"/>
        </w:rPr>
        <w:t>验收方法</w:t>
      </w:r>
      <w:bookmarkEnd w:id="691"/>
    </w:p>
    <w:p w14:paraId="433D58F9">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验收小组根据总体组制定的验收标准，实施验收；</w:t>
      </w:r>
    </w:p>
    <w:p w14:paraId="3A058F4B">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对硬件系统、应用软件系统和整个系统工程的验收都应拟定验收测试计划，生成验收报告；</w:t>
      </w:r>
    </w:p>
    <w:p w14:paraId="44F7F877">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对文档的验收，依据“技术文档”中所列，考察其数据和内容与实际的符合性、可读性等。</w:t>
      </w:r>
    </w:p>
    <w:p w14:paraId="0C9442E1">
      <w:pPr>
        <w:keepNext/>
        <w:keepLines/>
        <w:pageBreakBefore w:val="0"/>
        <w:widowControl w:val="0"/>
        <w:numPr>
          <w:ilvl w:val="2"/>
          <w:numId w:val="0"/>
        </w:numPr>
        <w:tabs>
          <w:tab w:val="left" w:pos="1008"/>
        </w:tabs>
        <w:kinsoku/>
        <w:wordWrap/>
        <w:overflowPunct/>
        <w:topLinePunct w:val="0"/>
        <w:autoSpaceDE/>
        <w:autoSpaceDN/>
        <w:bidi w:val="0"/>
        <w:spacing w:line="360" w:lineRule="auto"/>
        <w:ind w:left="0" w:firstLine="440" w:firstLineChars="200"/>
        <w:textAlignment w:val="auto"/>
        <w:rPr>
          <w:rFonts w:hint="eastAsia" w:ascii="宋体" w:hAnsi="宋体" w:eastAsia="宋体" w:cs="宋体"/>
          <w:b/>
          <w:bCs/>
          <w:sz w:val="22"/>
          <w:szCs w:val="22"/>
        </w:rPr>
      </w:pPr>
      <w:bookmarkStart w:id="692" w:name="_Toc53752103"/>
      <w:r>
        <w:rPr>
          <w:rFonts w:hint="eastAsia" w:ascii="宋体" w:hAnsi="宋体" w:eastAsia="宋体" w:cs="宋体"/>
          <w:b/>
          <w:bCs/>
          <w:sz w:val="22"/>
          <w:szCs w:val="22"/>
        </w:rPr>
        <w:t>验收标准</w:t>
      </w:r>
      <w:bookmarkEnd w:id="692"/>
    </w:p>
    <w:p w14:paraId="724DE2CE">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必须遵循开放性、安全可靠性、先进性、高效性、易用性、可维护性和可扩展性等原则。系统的建设必须基于业界开放式标准，包括各种网络协议、硬件接口、数据库接口等，以保证系统的生命力，保护投资，体现良好的扩展性和互操作能力。</w:t>
      </w:r>
    </w:p>
    <w:p w14:paraId="0562440D">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系统应遵循贴切电信、统一风格的客户界面，提供维护管理和实时监控功能，简化系统的使用和维护。</w:t>
      </w:r>
    </w:p>
    <w:p w14:paraId="56CFE676">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系统设计应充分考虑扩展性，能够以多种方式支持系统的扩展，包括业务功能的增加，系统升级以及系统扩容等。</w:t>
      </w:r>
    </w:p>
    <w:p w14:paraId="6F15A2C7">
      <w:pPr>
        <w:pageBreakBefore w:val="0"/>
        <w:widowControl w:val="0"/>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应用软件应满足的基本要求：</w:t>
      </w:r>
    </w:p>
    <w:p w14:paraId="33BF6F18">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实时性：系统在完成各类实时功能时应保证系统反应的实时性，包括实时的故障监视、实时的性能分析和操作维护等。</w:t>
      </w:r>
    </w:p>
    <w:p w14:paraId="56AA344B">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安全性：系统应有多级安全管理机制。</w:t>
      </w:r>
    </w:p>
    <w:p w14:paraId="28E0E12D">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可靠性：避免由于单点故障影响整个系统的正常稳定运行，避免关键管理信息的丢失，应具备相应系统容错能力。整个应用软件系统应能够连续7×24 小时不间断工作，应用软件中的任一模块更新、加载时，在不更新与上下模块的接口的前提下，不影响业务运转和服务。排除人为误操作因素，由应用系统自身原因导致的系统崩溃故障,平均无故障时间（MTBF）应大于365天，平均修复时间（MTTR）应小于4小时。排除人为误操作因素，由应用系统自身原因导致的系统错误故障,平均无故障时间（MTBF）应大于100天，平均修复时间（MTTR）应小于30分钟。应用系统必须支持负载均衡能力，支持应用部署在多台服务器上，避免应用系统的单点故障。</w:t>
      </w:r>
    </w:p>
    <w:p w14:paraId="7B7609A8">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可维护性：系统应具有完善的自身监视和管理功能，要求具有故障诊断和故障定位功能。</w:t>
      </w:r>
    </w:p>
    <w:p w14:paraId="20F76AB9">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可操作性：提供友好的中文的图形化操作界面和在线帮助。应具有完整的操作权限管理功能和完善的系统安全机制，能够对每个操作员的每次操作有详细的记录，对每次非法操作产生告警；应用软件应具有较高的自动化程度，如：自动任务调度、自动故障告警、自动任务恢复等。</w:t>
      </w:r>
    </w:p>
    <w:p w14:paraId="32B4AB79">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开放性：充分考虑与其他的系统的接口。</w:t>
      </w:r>
    </w:p>
    <w:p w14:paraId="24A8776E">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可扩充性：系统的软件设计采用模块化的体系结构，新功能的引入不影响原有的功能模块，具有良好的可扩展性。</w:t>
      </w:r>
    </w:p>
    <w:p w14:paraId="1FDEFBF5">
      <w:pPr>
        <w:pageBreakBefore w:val="0"/>
        <w:widowControl w:val="0"/>
        <w:numPr>
          <w:ilvl w:val="0"/>
          <w:numId w:val="29"/>
        </w:numPr>
        <w:kinsoku/>
        <w:wordWrap/>
        <w:overflowPunct/>
        <w:topLinePunct w:val="0"/>
        <w:autoSpaceDE/>
        <w:autoSpaceDN/>
        <w:bidi w:val="0"/>
        <w:spacing w:line="360" w:lineRule="auto"/>
        <w:ind w:left="0"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规范性：遵循中国电信的相关规范。</w:t>
      </w:r>
    </w:p>
    <w:bookmarkEnd w:id="649"/>
    <w:bookmarkEnd w:id="650"/>
    <w:bookmarkEnd w:id="651"/>
    <w:p w14:paraId="2BF96880">
      <w:pPr>
        <w:widowControl/>
        <w:jc w:val="left"/>
        <w:rPr>
          <w:rFonts w:ascii="宋体" w:hAnsi="宋体"/>
          <w:b/>
          <w:bCs/>
          <w:sz w:val="24"/>
        </w:rPr>
      </w:pPr>
      <w:r>
        <w:rPr>
          <w:rFonts w:ascii="宋体" w:hAnsi="宋体"/>
          <w:b/>
          <w:bCs/>
          <w:sz w:val="24"/>
        </w:rPr>
        <w:br w:type="page"/>
      </w:r>
    </w:p>
    <w:p w14:paraId="4EB933CA">
      <w:pPr>
        <w:tabs>
          <w:tab w:val="left" w:pos="588"/>
        </w:tabs>
        <w:snapToGrid w:val="0"/>
        <w:spacing w:before="120" w:after="120" w:line="440" w:lineRule="exact"/>
        <w:jc w:val="left"/>
        <w:outlineLvl w:val="2"/>
        <w:rPr>
          <w:rFonts w:ascii="宋体" w:hAnsi="宋体"/>
          <w:b/>
          <w:bCs/>
          <w:sz w:val="24"/>
        </w:rPr>
      </w:pPr>
      <w:bookmarkStart w:id="693" w:name="_Toc11110"/>
      <w:bookmarkStart w:id="694" w:name="_Toc13118"/>
      <w:bookmarkStart w:id="695" w:name="_Toc32681"/>
      <w:r>
        <w:rPr>
          <w:rFonts w:hint="eastAsia" w:ascii="宋体" w:hAnsi="宋体"/>
          <w:b/>
          <w:bCs/>
          <w:sz w:val="24"/>
        </w:rPr>
        <w:t>附件六：</w:t>
      </w:r>
      <w:r>
        <w:rPr>
          <w:rFonts w:ascii="宋体" w:hAnsi="宋体"/>
          <w:b/>
          <w:bCs/>
          <w:sz w:val="24"/>
        </w:rPr>
        <w:t>乙方承诺</w:t>
      </w:r>
      <w:bookmarkEnd w:id="693"/>
      <w:bookmarkEnd w:id="694"/>
      <w:bookmarkEnd w:id="695"/>
    </w:p>
    <w:p w14:paraId="30DC752E">
      <w:pPr>
        <w:spacing w:before="60" w:after="60" w:line="360" w:lineRule="auto"/>
        <w:rPr>
          <w:rFonts w:ascii="宋体" w:hAnsi="宋体"/>
          <w:sz w:val="28"/>
          <w:szCs w:val="21"/>
        </w:rPr>
      </w:pPr>
    </w:p>
    <w:p w14:paraId="233AAC23">
      <w:pPr>
        <w:spacing w:before="60" w:after="60" w:line="360" w:lineRule="auto"/>
        <w:rPr>
          <w:rFonts w:ascii="宋体" w:hAnsi="宋体"/>
          <w:sz w:val="28"/>
          <w:szCs w:val="21"/>
        </w:rPr>
      </w:pPr>
      <w:r>
        <w:rPr>
          <w:rFonts w:hint="eastAsia" w:ascii="宋体" w:hAnsi="宋体"/>
          <w:sz w:val="28"/>
          <w:szCs w:val="21"/>
        </w:rPr>
        <w:t>XXXX公司作为电信软件服务商，对本期工程技术承诺如下：</w:t>
      </w:r>
    </w:p>
    <w:p w14:paraId="4A23B1E0">
      <w:pPr>
        <w:spacing w:before="60" w:after="60" w:line="360" w:lineRule="auto"/>
        <w:rPr>
          <w:rFonts w:ascii="宋体" w:hAnsi="宋体"/>
          <w:sz w:val="28"/>
          <w:szCs w:val="21"/>
        </w:rPr>
      </w:pPr>
    </w:p>
    <w:p w14:paraId="3513F29B">
      <w:pPr>
        <w:spacing w:before="60" w:after="60" w:line="360" w:lineRule="auto"/>
        <w:rPr>
          <w:rFonts w:ascii="宋体" w:hAnsi="宋体"/>
          <w:sz w:val="28"/>
          <w:szCs w:val="21"/>
        </w:rPr>
      </w:pPr>
      <w:r>
        <w:rPr>
          <w:rFonts w:hint="eastAsia" w:ascii="宋体" w:hAnsi="宋体"/>
          <w:sz w:val="28"/>
          <w:szCs w:val="21"/>
        </w:rPr>
        <w:t>对本期工程中所推荐及采用的软件将保证是目前技术成熟的、质量优良的、安全可靠的及易于维护的软件产品，完全满足技术规范书中提出的要求。</w:t>
      </w:r>
    </w:p>
    <w:p w14:paraId="7379D587">
      <w:pPr>
        <w:spacing w:before="60" w:after="60" w:line="360" w:lineRule="auto"/>
        <w:rPr>
          <w:rFonts w:ascii="宋体" w:hAnsi="宋体"/>
          <w:sz w:val="28"/>
          <w:szCs w:val="21"/>
        </w:rPr>
      </w:pPr>
    </w:p>
    <w:p w14:paraId="2BD27B53">
      <w:pPr>
        <w:spacing w:before="60" w:after="60" w:line="360" w:lineRule="auto"/>
        <w:rPr>
          <w:rFonts w:ascii="宋体" w:hAnsi="宋体"/>
          <w:sz w:val="28"/>
          <w:szCs w:val="21"/>
        </w:rPr>
      </w:pPr>
      <w:r>
        <w:rPr>
          <w:rFonts w:hint="eastAsia" w:ascii="宋体" w:hAnsi="宋体"/>
          <w:sz w:val="28"/>
          <w:szCs w:val="21"/>
        </w:rPr>
        <w:t>XXXX公司对上述问题郑重承诺！</w:t>
      </w:r>
    </w:p>
    <w:p w14:paraId="58CDB635">
      <w:pPr>
        <w:tabs>
          <w:tab w:val="left" w:pos="588"/>
        </w:tabs>
        <w:snapToGrid w:val="0"/>
        <w:spacing w:before="120" w:after="120" w:line="440" w:lineRule="exact"/>
        <w:jc w:val="left"/>
        <w:rPr>
          <w:rFonts w:ascii="宋体" w:hAnsi="宋体"/>
          <w:b/>
          <w:bCs/>
          <w:sz w:val="24"/>
        </w:rPr>
      </w:pPr>
    </w:p>
    <w:p w14:paraId="6E971D42">
      <w:pPr>
        <w:widowControl/>
        <w:jc w:val="left"/>
        <w:rPr>
          <w:rFonts w:ascii="宋体" w:hAnsi="宋体"/>
          <w:b/>
          <w:bCs/>
          <w:sz w:val="24"/>
        </w:rPr>
      </w:pPr>
    </w:p>
    <w:p w14:paraId="1FDFAFF5">
      <w:pPr>
        <w:tabs>
          <w:tab w:val="left" w:pos="588"/>
        </w:tabs>
        <w:snapToGrid w:val="0"/>
        <w:spacing w:before="120" w:after="120" w:line="440" w:lineRule="exact"/>
        <w:jc w:val="left"/>
        <w:outlineLvl w:val="2"/>
        <w:rPr>
          <w:rFonts w:ascii="宋体" w:hAnsi="宋体"/>
          <w:b/>
          <w:bCs/>
          <w:sz w:val="24"/>
        </w:rPr>
      </w:pPr>
      <w:bookmarkStart w:id="696" w:name="_Toc30690"/>
      <w:bookmarkStart w:id="697" w:name="_Toc32130"/>
      <w:bookmarkStart w:id="698" w:name="_Toc18990"/>
      <w:r>
        <w:rPr>
          <w:rFonts w:hint="eastAsia" w:ascii="宋体" w:hAnsi="宋体"/>
          <w:b/>
          <w:bCs/>
          <w:sz w:val="24"/>
        </w:rPr>
        <w:t>附件七： 技术支持及服务</w:t>
      </w:r>
      <w:bookmarkEnd w:id="696"/>
      <w:bookmarkEnd w:id="697"/>
      <w:bookmarkEnd w:id="698"/>
    </w:p>
    <w:p w14:paraId="76FAB932">
      <w:pPr>
        <w:tabs>
          <w:tab w:val="left" w:pos="588"/>
        </w:tabs>
        <w:snapToGrid w:val="0"/>
        <w:spacing w:before="120" w:after="120" w:line="440" w:lineRule="exact"/>
        <w:jc w:val="left"/>
        <w:outlineLvl w:val="2"/>
        <w:rPr>
          <w:rFonts w:hint="eastAsia" w:ascii="宋体" w:hAnsi="宋体" w:eastAsia="宋体" w:cs="Times New Roman"/>
          <w:b/>
          <w:bCs/>
          <w:sz w:val="24"/>
        </w:rPr>
      </w:pPr>
      <w:bookmarkStart w:id="699" w:name="_Toc32456"/>
      <w:r>
        <w:rPr>
          <w:rFonts w:hint="eastAsia" w:ascii="宋体" w:hAnsi="宋体" w:eastAsia="宋体" w:cs="Times New Roman"/>
          <w:b/>
          <w:bCs/>
          <w:sz w:val="24"/>
        </w:rPr>
        <w:t>附件八： 培训方式</w:t>
      </w:r>
      <w:bookmarkEnd w:id="699"/>
    </w:p>
    <w:p w14:paraId="1C13094E">
      <w:pPr>
        <w:tabs>
          <w:tab w:val="left" w:pos="588"/>
        </w:tabs>
        <w:snapToGrid w:val="0"/>
        <w:spacing w:before="120" w:after="120" w:line="440" w:lineRule="exact"/>
        <w:jc w:val="left"/>
        <w:outlineLvl w:val="2"/>
        <w:rPr>
          <w:rFonts w:hint="eastAsia" w:ascii="宋体" w:hAnsi="宋体"/>
          <w:b/>
          <w:bCs/>
          <w:sz w:val="24"/>
        </w:rPr>
        <w:sectPr>
          <w:pgSz w:w="11906" w:h="16838"/>
          <w:pgMar w:top="1418" w:right="1797" w:bottom="1440" w:left="1797" w:header="851" w:footer="992" w:gutter="0"/>
          <w:cols w:space="720" w:num="1"/>
          <w:docGrid w:type="linesAndChars" w:linePitch="312" w:charSpace="0"/>
        </w:sectPr>
      </w:pPr>
      <w:bookmarkStart w:id="700" w:name="_Toc5822"/>
      <w:bookmarkStart w:id="701" w:name="_Toc20609"/>
    </w:p>
    <w:p w14:paraId="5E743A07">
      <w:pPr>
        <w:tabs>
          <w:tab w:val="left" w:pos="588"/>
        </w:tabs>
        <w:snapToGrid w:val="0"/>
        <w:spacing w:before="120" w:after="120" w:line="440" w:lineRule="exact"/>
        <w:jc w:val="left"/>
        <w:outlineLvl w:val="2"/>
        <w:rPr>
          <w:rFonts w:ascii="宋体" w:hAnsi="宋体"/>
          <w:snapToGrid w:val="0"/>
          <w:kern w:val="0"/>
          <w:sz w:val="36"/>
          <w:szCs w:val="36"/>
        </w:rPr>
      </w:pPr>
      <w:bookmarkStart w:id="702" w:name="_Toc8404"/>
      <w:r>
        <w:rPr>
          <w:rFonts w:hint="eastAsia" w:ascii="宋体" w:hAnsi="宋体"/>
          <w:b/>
          <w:bCs/>
          <w:sz w:val="24"/>
        </w:rPr>
        <w:t>附件九：中国电信湖北分公司 IT 工程项目软件供应商考核评估办法</w:t>
      </w:r>
      <w:bookmarkEnd w:id="700"/>
      <w:bookmarkEnd w:id="701"/>
      <w:bookmarkEnd w:id="702"/>
    </w:p>
    <w:p w14:paraId="7419962B">
      <w:pPr>
        <w:keepNext w:val="0"/>
        <w:keepLines w:val="0"/>
        <w:pageBreakBefore w:val="0"/>
        <w:widowControl w:val="0"/>
        <w:tabs>
          <w:tab w:val="left" w:pos="906"/>
        </w:tabs>
        <w:kinsoku/>
        <w:wordWrap w:val="0"/>
        <w:overflowPunct/>
        <w:topLinePunct w:val="0"/>
        <w:autoSpaceDE/>
        <w:autoSpaceDN/>
        <w:bidi w:val="0"/>
        <w:adjustRightInd/>
        <w:snapToGrid/>
        <w:spacing w:line="580" w:lineRule="exact"/>
        <w:jc w:val="center"/>
        <w:textAlignment w:val="auto"/>
        <w:rPr>
          <w:rFonts w:hint="eastAsia" w:ascii="仿宋" w:hAnsi="仿宋" w:eastAsia="仿宋" w:cs="仿宋"/>
          <w:snapToGrid w:val="0"/>
          <w:kern w:val="0"/>
          <w:sz w:val="28"/>
          <w:szCs w:val="28"/>
        </w:rPr>
      </w:pPr>
      <w:r>
        <w:rPr>
          <w:rFonts w:hint="eastAsia" w:ascii="仿宋" w:hAnsi="仿宋" w:eastAsia="仿宋" w:cs="仿宋"/>
          <w:snapToGrid w:val="0"/>
          <w:kern w:val="0"/>
          <w:sz w:val="28"/>
          <w:szCs w:val="28"/>
        </w:rPr>
        <w:t>中国电信湖北分公司IT工程项目</w:t>
      </w:r>
    </w:p>
    <w:p w14:paraId="1FFF2571">
      <w:pPr>
        <w:keepNext w:val="0"/>
        <w:keepLines w:val="0"/>
        <w:pageBreakBefore w:val="0"/>
        <w:widowControl w:val="0"/>
        <w:tabs>
          <w:tab w:val="left" w:pos="906"/>
        </w:tabs>
        <w:kinsoku/>
        <w:wordWrap w:val="0"/>
        <w:overflowPunct/>
        <w:topLinePunct w:val="0"/>
        <w:autoSpaceDE/>
        <w:autoSpaceDN/>
        <w:bidi w:val="0"/>
        <w:adjustRightInd/>
        <w:snapToGrid/>
        <w:spacing w:line="580" w:lineRule="exact"/>
        <w:jc w:val="center"/>
        <w:textAlignment w:val="auto"/>
        <w:rPr>
          <w:rFonts w:hint="eastAsia" w:ascii="仿宋" w:hAnsi="仿宋" w:eastAsia="仿宋" w:cs="仿宋"/>
          <w:snapToGrid w:val="0"/>
          <w:kern w:val="0"/>
          <w:sz w:val="28"/>
          <w:szCs w:val="28"/>
        </w:rPr>
      </w:pPr>
      <w:r>
        <w:rPr>
          <w:rFonts w:hint="eastAsia" w:ascii="仿宋" w:hAnsi="仿宋" w:eastAsia="仿宋" w:cs="仿宋"/>
          <w:snapToGrid w:val="0"/>
          <w:kern w:val="0"/>
          <w:sz w:val="28"/>
          <w:szCs w:val="28"/>
        </w:rPr>
        <w:t>软件供应商考核评估办法</w:t>
      </w:r>
    </w:p>
    <w:p w14:paraId="233D5523">
      <w:pPr>
        <w:keepNext w:val="0"/>
        <w:keepLines w:val="0"/>
        <w:pageBreakBefore w:val="0"/>
        <w:widowControl w:val="0"/>
        <w:tabs>
          <w:tab w:val="left" w:pos="906"/>
        </w:tabs>
        <w:kinsoku/>
        <w:wordWrap w:val="0"/>
        <w:overflowPunct/>
        <w:topLinePunct w:val="0"/>
        <w:autoSpaceDE/>
        <w:autoSpaceDN/>
        <w:bidi w:val="0"/>
        <w:adjustRightInd/>
        <w:snapToGrid/>
        <w:spacing w:line="580" w:lineRule="exact"/>
        <w:jc w:val="center"/>
        <w:textAlignment w:val="auto"/>
        <w:rPr>
          <w:rFonts w:hint="eastAsia" w:ascii="仿宋" w:hAnsi="仿宋" w:eastAsia="仿宋" w:cs="仿宋"/>
          <w:snapToGrid w:val="0"/>
          <w:kern w:val="0"/>
          <w:sz w:val="28"/>
          <w:szCs w:val="28"/>
        </w:rPr>
      </w:pPr>
      <w:r>
        <w:rPr>
          <w:rFonts w:hint="eastAsia" w:ascii="仿宋" w:hAnsi="仿宋" w:eastAsia="仿宋" w:cs="仿宋"/>
          <w:snapToGrid w:val="0"/>
          <w:kern w:val="0"/>
          <w:sz w:val="28"/>
          <w:szCs w:val="28"/>
        </w:rPr>
        <w:t>(2022年版)</w:t>
      </w:r>
    </w:p>
    <w:p w14:paraId="064801E2">
      <w:pPr>
        <w:tabs>
          <w:tab w:val="left" w:pos="906"/>
        </w:tabs>
        <w:spacing w:line="580" w:lineRule="exact"/>
        <w:rPr>
          <w:rFonts w:ascii="宋体" w:hAnsi="宋体"/>
          <w:snapToGrid w:val="0"/>
          <w:color w:val="000000"/>
          <w:kern w:val="0"/>
          <w:szCs w:val="32"/>
        </w:rPr>
      </w:pPr>
    </w:p>
    <w:p w14:paraId="1AD36802">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第一章 总则</w:t>
      </w:r>
    </w:p>
    <w:p w14:paraId="41ADA66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第一条 为强化软件供应商管理，规范软件供应商在工程项目建设、日常运营维护中的工作内容和行为，提升软件工程项目及运营维护质量，根据根据集团公司云网运营部《工程项目软件供应商考核评估办法》规定，制定本考核评估办法。</w:t>
      </w:r>
    </w:p>
    <w:p w14:paraId="0A649909">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第二条 本办法适用于湖北分公司云网运营部作为牵头建设单位的软件工程项目。</w:t>
      </w:r>
    </w:p>
    <w:p w14:paraId="0E98656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第三条 考核评估原则：</w:t>
      </w:r>
    </w:p>
    <w:p w14:paraId="02E96D3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分类分级管控原则：按系统所承载的业务类型分为生产类、数据类、管理类，按重要程度分为核心、非核心，也即生产核心类、生产非核心类、数据核心类、数据非核心类、管理核心类、管理非核心类，不同类别的系统采取不同的最低扣罚门槛。</w:t>
      </w:r>
    </w:p>
    <w:p w14:paraId="5613C64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2.不重复扣分原则：同一原因引起的多项评分指标扣分不累计，取最大扣分值进行扣分。</w:t>
      </w:r>
    </w:p>
    <w:p w14:paraId="5710B82B">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第二章 职责与分工</w:t>
      </w:r>
    </w:p>
    <w:p w14:paraId="18DAB62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第四条 软件供应商考核评估归口管理单位为省公司云网运营部：负责软件供应商考核评估统筹管理，负责发起项目考核评估处罚通报，负责协调采购部完成合同补充协议签订，负责监督检查供应商考核评估执行情况。</w:t>
      </w:r>
    </w:p>
    <w:p w14:paraId="44956EE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第五条 云网运营部、省智能云网业务运营中心、省智能云网调度运营中心等需求承接单位、运营维护单位按照事权匹配的原则，负责对所运营维护系统的软件供应商考核评估的落地实施：负责对供应商日常需求承接、问题及故障排除、开发、测试、交付等环节进行考核，负责与供应商签署考核备忘录。考核执行负责人为每个项目的项目经理。</w:t>
      </w:r>
    </w:p>
    <w:p w14:paraId="07E3B00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第六条 各项目软件供应商应签署遵照本办法规定的书面同意书，签署考核备忘录，并协助完成发票红冲等操作。</w:t>
      </w:r>
    </w:p>
    <w:p w14:paraId="1A906AB2">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第三章 工程项目架构与需求考核</w:t>
      </w:r>
    </w:p>
    <w:p w14:paraId="6D6EA70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第七条 项目需求考核：</w:t>
      </w:r>
    </w:p>
    <w:p w14:paraId="45ED2BC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1．涉及重大需求、里程碑任务，因供应商原因导致业务需 求响应不及时或未能按时完成情况，做扣分处罚考核：每延期1天扣0.5分；跨项目的关联需求未能按时完成，相关项目供应商均要扣分考核：每延期1天，关联工程项目扣0.1分。</w:t>
      </w:r>
    </w:p>
    <w:p w14:paraId="30DD430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对于涉及关键业务的需求，供应商应按要求在规定的时间内提供详细的实现方案及概要设计文档，需求承办单位组织实现方案评审并对方案质量满意度（优、良、差）进行评估，参照评估结果进行相应考核：优加0.1-0.5分，差扣 0.1-0.5分。</w:t>
      </w:r>
    </w:p>
    <w:p w14:paraId="3E14198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3．需求上线一个月内，由需求发起单位或需求承办单位，对需求完成质量满意度（优、良、差）进行评估，参照评估结果进行相应考核：优加0.1-0.5分，差扣0.1-0.5分。</w:t>
      </w:r>
    </w:p>
    <w:p w14:paraId="471A0DD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4．对于跨项目的需求，项目供应商牵头进行跨域跨系统需求分析并整合完成总体实现方案、积极协助其他供应商解决了相关重大问题，对整体进度得到了推进，根据实际情况对供应商灼情加0.1-0.5分。</w:t>
      </w:r>
    </w:p>
    <w:p w14:paraId="44D27C5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5．如因国家宏观政策、行业监管等发起计划外支撑需求，或其他重要且紧急支撑需求，项目组保质保量及时完成，将予以1-3分的加分奖励考核。上述各项加分项，年度累计最多加到10分。</w:t>
      </w:r>
    </w:p>
    <w:p w14:paraId="2FB3498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第八条 版本提交质量考核:</w:t>
      </w:r>
    </w:p>
    <w:p w14:paraId="6D276E8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1．由需求承办单位对供应商提交的测试版本进行接收测试，根据测试通过率进行考核：测试通过率达到100%加 0.5分，通过率达到95%不扣分，95%以下每降低10个百分点扣0.5分。</w:t>
      </w:r>
    </w:p>
    <w:p w14:paraId="5CA9D9A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2．版本正式上线或灰度切换时发现重要问题不得不回退，每出现一次回退操作扣0.5-1分。</w:t>
      </w:r>
    </w:p>
    <w:p w14:paraId="05934FD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3．版本上线后，在生产实际运营中发现存在严重问题（BUG），每发现一起扣1分；严重问题（BUG）应在发现后三日内解决，每延迟1天，扣罚0.5分。</w:t>
      </w:r>
    </w:p>
    <w:p w14:paraId="75F5B50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4. 重大版本测试中供应商提交版本稳定，质量过硬，上线后实际运行维护中无重大bug，可对该供应商给予0.5-1 分的奖励。</w:t>
      </w:r>
    </w:p>
    <w:p w14:paraId="3C68153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5．连续三次例行更新平稳，上线后实际运行维护中无重大bug，给予0.5分的加分奖励。上述各项加分项，年度累计最多加到5分。</w:t>
      </w:r>
    </w:p>
    <w:p w14:paraId="16CB0F6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第九条 版本提交及时性考核：</w:t>
      </w:r>
    </w:p>
    <w:p w14:paraId="5EE486B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1．供应商应按规定的版本更新频次、时间及产能要求提交版本，每延迟1天扣1分。</w:t>
      </w:r>
    </w:p>
    <w:p w14:paraId="74B046B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2．如版本按时提交但版本中存在部分功能点延迟的情况，根据功能点的重要程度进行考核：重要功能点每延迟1天扣0.5分，非重要功能点每延迟1天扣0.1分。</w:t>
      </w:r>
    </w:p>
    <w:p w14:paraId="521F808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3．因电信方原因，要求供应商实施紧急版本更新，成功更新后给予0.5-1分的加分奖励。</w:t>
      </w:r>
    </w:p>
    <w:p w14:paraId="1C646ECE">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第十条 项目架构考核：供应商开发的应用程序需符合中国电信统一PAAS架构要求，使用中国电信清单范围内的组件。若存在使用清单外组件情况，按照实际使用组件情况考核，并限期整改：如在承诺范围内使用统一PAAS平台清单外组件，每发现1起扣1分。</w:t>
      </w:r>
    </w:p>
    <w:p w14:paraId="3DBF6C5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第十一条 项目流程管理：软件项目供应商程序需求分析、研发、测试、部署、上线等流程，需按照湖北电信公司 IT上云整体要求纳入中国电信云道管理系统管理，视纳入管理的程度进行考核，可予以1-3分加分奖励。初验后三个月内完成软件著作权获取的，可予以0.5-1分加分奖励。</w:t>
      </w:r>
    </w:p>
    <w:p w14:paraId="72E6C88E">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第四章 工程项目故障考核</w:t>
      </w:r>
    </w:p>
    <w:p w14:paraId="1976891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第十二条 项目故障考核：在工程项目终验和工程项目维保期结束前，因应用程序原因导致生产运营故障，按照故障服务事件等级扣分处罚：一级故障扣5分，二级故障扣3分，三级故障扣2分，四级扣1分，四级以下故障视情况扣 0.1-1分。</w:t>
      </w:r>
    </w:p>
    <w:p w14:paraId="7F2D3BA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第十三条 事件及舆情考核：应用程序原因或供应商服务支撑原因导致重大事件、严重舆情及严重投诉，经查确属供应商原因，按照影响程度进行考核：重大事件、严重舆情及严重投诉，每发生1次扣3分。</w:t>
      </w:r>
    </w:p>
    <w:p w14:paraId="1180CD1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第十四条 投诉考核：</w:t>
      </w:r>
    </w:p>
    <w:p w14:paraId="014D794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1．因应用程序原因或供应商服务支撑原因导致严重或群体性投诉（100户及以上），经查确属供应商原因，按照影响程度进行考核：每发生1次扣0.5-3分。</w:t>
      </w:r>
    </w:p>
    <w:p w14:paraId="26A832D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 对于用户投诉至工信部、通信管理局的越级工单，经分析属于供应商责任的，每发生1起，扣0.5分。</w:t>
      </w:r>
    </w:p>
    <w:p w14:paraId="4455B4A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第十五条 重大损失赔偿：应用程序生产运行过程中，若因程序故障原因或供应商误操作导致中国电信收入损失或造成严重影响，软件供应商需要按照实际损失金额或双方协商一致金额赔偿给中国电信，或者从项目工程款中扣除。</w:t>
      </w:r>
    </w:p>
    <w:p w14:paraId="3A7EB2B5">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第五章 工程项目运维支撑考核</w:t>
      </w:r>
    </w:p>
    <w:p w14:paraId="3A94EE7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第十六条 投诉问题单处理:</w:t>
      </w:r>
    </w:p>
    <w:p w14:paraId="635F239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对于转办的投诉问题单，供应商应及时分析处理。对于转办的重要投诉问题单，应在4小时内（工作时段）明确回复问题原因并配合进行紧急处置。若因为供应商原因导致投诉处置延迟，事态扩大，根据情况给予0.5-1分的扣分。</w:t>
      </w:r>
    </w:p>
    <w:p w14:paraId="5D2AFAC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2．对于跨项目的复杂投诉，对于主动分析原因、积极提供整合解决方案的供应商，根据其贡献度给予0.5的奖励。</w:t>
      </w:r>
    </w:p>
    <w:p w14:paraId="39C66C3B">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第十七条 网管问题单处理：</w:t>
      </w:r>
    </w:p>
    <w:p w14:paraId="6CAC673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1．对于转办的网管问题单，供应商应及时分析处理，对于转办的重要网管问题单，应在4小时内（工作时段）明确回复问题原因并配合进行紧急处置；对于转办的一般问题单，应在 2个工作日内明确回复。若因为供应商原因导致问题单流转停滞或处置延迟，根据情况给予0.5-1分的扣分。</w:t>
      </w:r>
    </w:p>
    <w:p w14:paraId="5567BA9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2．对于超期两个月未解决的问题，视问题严重性，每件扣1-3分。</w:t>
      </w:r>
    </w:p>
    <w:p w14:paraId="0631922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3．对于跨项目的复杂问题，对于主动分析原因、积极提供整合解决方案的供应商或积极的协助其他供应商解决了相关重大问题，根据其贡献度给予0.5的奖励。</w:t>
      </w:r>
    </w:p>
    <w:p w14:paraId="4A1BB539">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第十八条 供应商提出了有利于项目或甲方技术、管理等方面改进的建设性意见或建议，并得到了甲方的采纳，根据实际情况对供应商灼情加0.5-1分。</w:t>
      </w:r>
    </w:p>
    <w:p w14:paraId="5BDF7F8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第十九条 故障处理考核：</w:t>
      </w:r>
    </w:p>
    <w:p w14:paraId="4BCA391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响应及时性：对于核心生产系统应确保实行7*24小时的IT系统维护响应。收到局方严重故障告警或电话通知后，正常工作时间应在10分钟内响应和支撑，非工作时间应在30分钟内响应和支撑。因响应不及时导致故障处置延迟，每次扣1-3分。</w:t>
      </w:r>
    </w:p>
    <w:p w14:paraId="0A47CF7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2．修复及时性：15分钟内故障修复不扣分；15分钟至 30分钟，扣0.2-1分；大于30分钟且小于1小时，扣1-2分；大于2小时，每超1小时扣1分，最多不超过10分。</w:t>
      </w:r>
    </w:p>
    <w:p w14:paraId="3B020F3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第二十条 重要生产例行保障考核：确保计费出账（预出账 ）、EDA出账等已设定的重要生产计划按时完成，如发生延误，视情况及影响每次扣1-3分。</w:t>
      </w:r>
    </w:p>
    <w:p w14:paraId="02AEADF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第二十一条 数据质量考核：</w:t>
      </w:r>
    </w:p>
    <w:p w14:paraId="15ED3CC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对于数据维护中发现的因程序bug、功能缺陷等导致的数据问题。一般问题为影响某类少量用户数据，并通过数据修改能挽回影响；重大问题为影响用户数较多，修改数据也无法挽回影响。影响的用户数量在1000户以下，供应商及时配合问题的处理和数据修改工作，未引发大的投诉和客户感知影响。扣0.1-0.5分；影响的用户数量在10000户以下，供应商及时配合问题的处理和数据修改工作，扣0.5-1分；影响重大，引发重大投诉和客户感知的扣1-3分。</w:t>
      </w:r>
    </w:p>
    <w:p w14:paraId="3A960FC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2．对于主动做好所负责项目的数据质量稽核，早于局方发现问题，并主动提供数据修复建议取得良好效果的，视情况给予0.5-1分的奖励。</w:t>
      </w:r>
    </w:p>
    <w:p w14:paraId="1E2DC2F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3．对于积极配合支撑局方进行数据质量整改或数据维护工作，视支撑情况给予0.5-1分的奖励。</w:t>
      </w:r>
    </w:p>
    <w:p w14:paraId="3E76BAE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第二十二条 维护文档考核：供应商应按要求整理提交系统参数配置及维护等相关文档，局方生产维护单位对文档进行评价。对于拒不提交文档、延迟提交文档或文档质量低下的情况，每出现每一次给予0.2-1分的扣罚。</w:t>
      </w:r>
    </w:p>
    <w:p w14:paraId="28BC8290">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第六章 工程项目安全考核</w:t>
      </w:r>
    </w:p>
    <w:p w14:paraId="5E4AC69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第二十三条 安全漏洞考核：</w:t>
      </w:r>
    </w:p>
    <w:p w14:paraId="4926F93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应用程序在上线前，项目组需进行安全漏洞扫描，利用相关工具全面分析和扫描应用程序、第三方组件及系统软件等安全漏洞，发现漏洞需解决后才能部署上线。若应用程序运行中仍存在安全漏洞，被中国电信内部扫描发现安全漏洞或隐患每次扣1分，被工信部等外部扫描发现安全漏洞或隐患每次扣3分。</w:t>
      </w:r>
    </w:p>
    <w:p w14:paraId="71FE279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2．未按要求对已发现的安全漏洞和风险整改或配合整改，造成通报或考核，视严重程度每次扣0.5-3分。</w:t>
      </w:r>
    </w:p>
    <w:p w14:paraId="5AF2FA4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3．除正式需求外，出于维护、测试等目的，在系统正式环境上部署后门程序、接口或页面，视严重程度扣0.5-3分。</w:t>
      </w:r>
    </w:p>
    <w:p w14:paraId="7204C4B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第二十四条 安全事件考核：在生产运营中，应用程序发生安全事件造成业务影响，按照安全事件等级进行扣分考核：按照发生安全漏洞导致影响等级，A 级每发生1次扣5分，B级每发生 1次扣3分，C级每发生1次扣2分，D级每发生1次扣1分。</w:t>
      </w:r>
    </w:p>
    <w:p w14:paraId="2E4CCDF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第二十五条 业务数据保密考核：</w:t>
      </w:r>
    </w:p>
    <w:p w14:paraId="0D31168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供应商需严格要求项目组所有成员（含已经离开项目组人员）遵守中国电信业务数据保密安全规定，项目组成员进入项目组前必须签署业务数据保密等承诺确认书。若发生因供应商原因导致的业务数据泄露，若非主观意外泄露，每次扣5分；若主观故意泄露，每次扣20分，湖北电信保留进一步追究相关责任的权力。</w:t>
      </w:r>
    </w:p>
    <w:p w14:paraId="7841E07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2．除正常开发、维护、支撑工作需要外，私自查询、访问任何包括用户信息在内的局方保密信息数据，每发现一次扣0.5分。</w:t>
      </w:r>
    </w:p>
    <w:p w14:paraId="66D7A552">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3.项目结束或项目组成员不再负责局方相关项目，未立即删除相关人员终端上的所有局方数据和相关技术与配置文档，每发现一次扣0.5分。</w:t>
      </w:r>
    </w:p>
    <w:p w14:paraId="183DEA2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第二十六条 账号及权限考核：</w:t>
      </w:r>
    </w:p>
    <w:p w14:paraId="73AE9E02">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1．未经局方同意，厂商擅自在生产环境主机、数据库中修改参数或更改数据等，责任在于厂商，造成客户服务问题，视情况扣1-3分。</w:t>
      </w:r>
    </w:p>
    <w:p w14:paraId="41942B0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2．项目组成员进场时应立即报备局方项目负责人，按照流程申请网络接入、平台、应用的相关权限，禁止私自分配，对于违规私自分配行为，视情况每次扣0.2-0.5分。</w:t>
      </w:r>
    </w:p>
    <w:p w14:paraId="6365C01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3．未按要求设置密码，密码强度不够或存在可猜解弱口令，视情况每次扣0.2-0.5分。</w:t>
      </w:r>
    </w:p>
    <w:p w14:paraId="2E4F1E6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4．已割接至堡垒机的系统，维护人员未经授权使用非实名账号绕行访问数据库、主机，视情况每次扣0.2-0.5分。</w:t>
      </w:r>
    </w:p>
    <w:p w14:paraId="58623F4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5．后台应用账号仅用于程序或系统，维护人员未经授权使用应用账号登陆正式环境的数据库或主机，视情况每次扣0.2-0.5分。</w:t>
      </w:r>
    </w:p>
    <w:p w14:paraId="607444D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6．项目结束或项目组成员离场时，未立即申请删除其在局方系统上的所有账号和权限，对于应用账号等不能删除的未立即更改口令，视情况每次扣0.2-0.5分。</w:t>
      </w:r>
    </w:p>
    <w:p w14:paraId="1CA0305F">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第七章 集团指标关联考核</w:t>
      </w:r>
    </w:p>
    <w:p w14:paraId="1CEB92BE">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第二十七条 集团指标考核：由于某系统问题，属于供应商程序或人为原因，引起集团考核指标扣分或被上级单位通报的，视严重程度扣0.5-1分。</w:t>
      </w:r>
    </w:p>
    <w:p w14:paraId="40E6E2DF">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第二十八条 集团排名考核：</w:t>
      </w:r>
    </w:p>
    <w:p w14:paraId="1C7E18C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1．根据各系统集团运营考核排名进行考核，各系统月/年度集团巡检排名，排名低于局方约定标准，每低于一个名次扣0.5分。</w:t>
      </w:r>
    </w:p>
    <w:p w14:paraId="57B8869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2．对于集团指标排名靠前的系统给予奖励：月度排名1至5名奖励1-2分，6至10名奖励0.5-1分；年度排名1至 5名奖励2-3分，6至10名奖励1-2分。</w:t>
      </w:r>
    </w:p>
    <w:p w14:paraId="0319E008">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第二十九条 集团专项任务考核：集团专项任务完成排名靠后，受到集团通报批评，根据实际情况一次扣0.5-1分。集团专项任务完成排名靠前，受到集团通报表扬，根据实际情况一次加0.5-1分。</w:t>
      </w:r>
    </w:p>
    <w:p w14:paraId="5BD86A7C">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第八章 供应商基础管理考核</w:t>
      </w:r>
    </w:p>
    <w:p w14:paraId="47A0F10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第三十条 项目关键人考核：项目关键人包括项目经理（负责项目管理和协调）、技术经理（项目设计、开发及 bug处理负责）、平台经理、业务经理（需求调研和分析负责）、施工经理，或项目中担任同等角色的其他关键人员。</w:t>
      </w:r>
    </w:p>
    <w:p w14:paraId="4324E8B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1．关键人员变更，非正当理由或未得到甲方审批进行更换，每发现一次扣0.1-1分。</w:t>
      </w:r>
    </w:p>
    <w:p w14:paraId="79C01286">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2．关键人员休假，相应申请和安排未获得甲方同意情况下离开现场的，每发现一次扣0.1-1分。</w:t>
      </w:r>
    </w:p>
    <w:p w14:paraId="59D9827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第三十一条 人员能力考核：局方对项目组人员考核或活动执行中的能力评价，局方对项目组参与各专业组活动的人员能力提出明确(书面或会议中)不满,要求更换供应商未按要求进行人员调整,或调整后的人员仍不满足甲方要求，每次扣0.1-0.5分。</w:t>
      </w:r>
    </w:p>
    <w:p w14:paraId="45483CC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第三十二条 日常考勤及值班：</w:t>
      </w:r>
    </w:p>
    <w:p w14:paraId="3E81E00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1．在甲方安排的各项专业（需求、设计、实施、测试、维护、版本发布、验证、平台、项目管理）活动中，包括会议、讨论、集中办公、现场实施、值班等场景，出现严重迟到（15分钟以上） 或无故缺席或虽提前提出申 请，但未获得甲方同意，每次扣0.1-0.5分。</w:t>
      </w:r>
    </w:p>
    <w:p w14:paraId="787C4D6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2．在甲方的特定考勤期间（一般在重保期间，甲方会提前下发要求），项目组关键人员未通知且未获得甲方同意情况下未到位，每次扣0.1-0.5分。</w:t>
      </w:r>
    </w:p>
    <w:p w14:paraId="2CDC5E48">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第九章 考核评估处理及合同费用核减流程</w:t>
      </w:r>
    </w:p>
    <w:p w14:paraId="33AFA37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第三十三条 日常考评：双方项目经理、维护经理对日常考评的时间、地点、扣分原因描述等签字确认，项目经理负责在 BOSS网管系统中对扣分进行记录、留痕。</w:t>
      </w:r>
    </w:p>
    <w:p w14:paraId="26597FB2">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第三十四条 考核处罚结果由双方项目经理、维护经理确认，对于涉及扣款的内容需签署处罚扣减备忘录，备忘录内容包括考核时间、考核原因、考核依据、扣分及扣款金额、双方当事人签字等。处罚扣减备忘录经双方签字盖章备案后，由项目经理通过 OA系统发起签报，经采购、财务、网发部门审批后生效。</w:t>
      </w:r>
    </w:p>
    <w:p w14:paraId="5B66A950">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第三十五条 工程合同付款时，项目经理需提供双方签署的处罚扣减备忘录：</w:t>
      </w:r>
    </w:p>
    <w:p w14:paraId="3EC0C5F9">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1．如涉及资产核减：供应商应提供全额增值税专用发票，需扣减的红冲增值税专用发票，提供双方签署的考核备忘录及其他说明信息。转固资产为扣除后的金额。</w:t>
      </w:r>
    </w:p>
    <w:p w14:paraId="7DD004D1">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2．如不涉及资产核减：供应商应提供全额增值税专用发票，提供双方签署的考核备忘录及其他说明信息。由中国电信提供需要扣减的红冲增值税专用发票。转固资产金额不变。</w:t>
      </w:r>
    </w:p>
    <w:p w14:paraId="687B1FFF">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第十章 考核结果应用</w:t>
      </w:r>
    </w:p>
    <w:p w14:paraId="5313A51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第三十六条 项目建设及免费维保期间，项目扣分与合同扣款相关联：</w:t>
      </w:r>
    </w:p>
    <w:p w14:paraId="15AE815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按系统重要及复杂程度分类管控，设定合同期内的扣分阀值:生产类核心系统10分、非核心系统4分；数据类核心系统8分、非核心系统4分；管理核心系统（OA系统，后续可根据实际需要更新）4分、非核心系统2分。</w:t>
      </w:r>
    </w:p>
    <w:p w14:paraId="119C25A9">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2．每个项目当期总扣分未超过阀值，按照合同(框架订单)金额100%支付；若当期扣分超过阈值，超出部分每0.1分对应扣减合同(框架订单)总金额的0.1%。</w:t>
      </w:r>
    </w:p>
    <w:p w14:paraId="43A2273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第三十七条 项目经理及相关成员调整</w:t>
      </w:r>
    </w:p>
    <w:p w14:paraId="52A9A0C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若当周期内工程项目扣分达到阀值，电信方有权要求调换供应商项目经理及相关成员呢，并纳入黑名单管理，并上报集团。</w:t>
      </w:r>
    </w:p>
    <w:p w14:paraId="503FBFCE">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第三十八条 项目验收、付款项目考核评估结果与项目验收和付款时间挂钩，每扣 0.1分，该工程验收、付款则分别延迟 1天。</w:t>
      </w:r>
    </w:p>
    <w:p w14:paraId="583B699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第三十九条 后续管理若该项目连续 2年扣分都超过 2倍的阀值，下一期工程建议做重新招标处理。若扣分达到一定分值，湖北电信可提前中止合同。</w:t>
      </w:r>
    </w:p>
    <w:p w14:paraId="75C60C90">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第十一章 目标完成对赌机制</w:t>
      </w:r>
    </w:p>
    <w:p w14:paraId="131A56CC">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第四十条  对赌目的：为了进一步激发供应商的活力和潜力，鼓励供应商最大限度的调配资源，全面提升项目质量、加快项目建设，助力我省数字化平台基础能力快速提升，在重大工程项目（甲乙双方约定的集团级重大工程项目、省内重大专项需求项目）中引入关键里程碑目标完成对赌机制。</w:t>
      </w:r>
    </w:p>
    <w:p w14:paraId="55F58E7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第四十一条 对赌标的：项目合同签订或订单下达时，双方约定关键里程碑目标完成时间，在合同或订单中明确注明，并根据最终项目关键里程碑实际完成时间的偏离（正偏离或负偏离）情况进行对赌。</w:t>
      </w:r>
    </w:p>
    <w:p w14:paraId="155EC68E">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第四十二条 对赌规则</w:t>
      </w:r>
    </w:p>
    <w:p w14:paraId="5D2D525D">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偏离时间按自然日累计，每30天为一个单位月（简称：月）计算，不足15天不纳入统计；15天以上不足一个月按一个月计算。</w:t>
      </w:r>
    </w:p>
    <w:p w14:paraId="5E37269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1.甲乙双方约定以合同(订单)总金额的15%为上限，对项目里程碑目标是否按期完成进行奖罚，参与对赌的项目仍然接受版本提交及时性（第九条）考核。</w:t>
      </w:r>
    </w:p>
    <w:p w14:paraId="5F0800E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2.供应商在保质保量前提下，项目关键里程碑目标提前或者延期1个月，对应奖罚合同(订单)总金额的1%。 </w:t>
      </w:r>
    </w:p>
    <w:p w14:paraId="6F89E5C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 xml:space="preserve">3.供应商在保质保量前提下，项目里程碑进度目标提前或者延期2个月，奖罚合同(订单)总金额的5%； </w:t>
      </w:r>
    </w:p>
    <w:p w14:paraId="63BCB9A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4.供应商在保质保量前提下，项目里程碑目标提前或者延期3个月，奖罚合同(订单)总金额的10%；</w:t>
      </w:r>
    </w:p>
    <w:p w14:paraId="5FB3F7A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5.供应商在保质保量前提下，项目里程碑目标提前或者延期6个月及以上，奖罚合同(订单)总金额的15%。</w:t>
      </w:r>
    </w:p>
    <w:p w14:paraId="1133C93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第四十三条 对赌执行</w:t>
      </w:r>
    </w:p>
    <w:p w14:paraId="5574108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1.原则上在项目初验或订单结算时，根据上述对赌规则对供应商统一奖罚清算，也可根据对赌标的履约时间另行约定。</w:t>
      </w:r>
    </w:p>
    <w:p w14:paraId="5E869DD7">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清算在涉及的合同(订单所属框架)范围内，以合同(框架)为维度合并执行。如清算奖励绝对值大于清算处罚绝对值，则采取签订增补合同或增加框架份额方式执行，增补金额为清算奖励与清算处罚绝对值之差。如清算奖励绝对值小于或等于清算处罚绝对值，则按扣减清算奖励之后的余额执行清算处罚。</w:t>
      </w:r>
    </w:p>
    <w:p w14:paraId="7F61C7D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第四十四条 免责条款：</w:t>
      </w:r>
    </w:p>
    <w:p w14:paraId="79D70353">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1.因重大需求变更，且经甲乙双方共同认可的项目里程碑延期，不触发延期扣款。</w:t>
      </w:r>
    </w:p>
    <w:p w14:paraId="32D55AB5">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2.因其它不可抗力（疫情、自然灾害）等导致的项目里程碑延期，不触发延期扣款。</w:t>
      </w:r>
    </w:p>
    <w:p w14:paraId="24CC81A0">
      <w:pPr>
        <w:tabs>
          <w:tab w:val="left" w:pos="906"/>
        </w:tabs>
        <w:spacing w:line="360" w:lineRule="auto"/>
        <w:jc w:val="center"/>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第十二章 其他</w:t>
      </w:r>
    </w:p>
    <w:p w14:paraId="300A5224">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第四十五条 本考核细则全部纳入到新的合同文本附页中:</w:t>
      </w:r>
    </w:p>
    <w:p w14:paraId="4A6F3C8A">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1．新的工程须按照新的合同模板签署。</w:t>
      </w:r>
    </w:p>
    <w:p w14:paraId="6E2B8D32">
      <w:pPr>
        <w:tabs>
          <w:tab w:val="left" w:pos="906"/>
        </w:tabs>
        <w:spacing w:line="360" w:lineRule="auto"/>
        <w:rPr>
          <w:rFonts w:hint="eastAsia" w:ascii="仿宋" w:hAnsi="仿宋" w:eastAsia="仿宋" w:cs="仿宋"/>
          <w:snapToGrid w:val="0"/>
          <w:color w:val="000000"/>
          <w:kern w:val="0"/>
          <w:sz w:val="24"/>
          <w:szCs w:val="24"/>
        </w:rPr>
      </w:pPr>
      <w:r>
        <w:rPr>
          <w:rFonts w:hint="eastAsia" w:ascii="仿宋" w:hAnsi="仿宋" w:eastAsia="仿宋" w:cs="仿宋"/>
          <w:snapToGrid w:val="0"/>
          <w:color w:val="000000"/>
          <w:kern w:val="0"/>
          <w:sz w:val="24"/>
          <w:szCs w:val="24"/>
        </w:rPr>
        <w:t>2．已经签署的合同，若发生处罚，采取签署补充协议方式解决。</w:t>
      </w:r>
    </w:p>
    <w:p w14:paraId="47070C22">
      <w:pPr>
        <w:spacing w:line="360" w:lineRule="auto"/>
        <w:rPr>
          <w:rFonts w:hint="eastAsia" w:ascii="仿宋" w:hAnsi="仿宋" w:eastAsia="仿宋" w:cs="仿宋"/>
          <w:sz w:val="24"/>
          <w:szCs w:val="24"/>
        </w:rPr>
      </w:pPr>
      <w:r>
        <w:rPr>
          <w:rFonts w:hint="eastAsia" w:ascii="仿宋" w:hAnsi="仿宋" w:eastAsia="仿宋" w:cs="仿宋"/>
          <w:snapToGrid w:val="0"/>
          <w:color w:val="000000"/>
          <w:kern w:val="0"/>
          <w:sz w:val="24"/>
          <w:szCs w:val="24"/>
        </w:rPr>
        <w:t>第四十六条 本办法的最终解释权归湖北电信公司云网运营部。</w:t>
      </w:r>
    </w:p>
    <w:p w14:paraId="289AC1F1">
      <w:pPr>
        <w:widowControl/>
        <w:jc w:val="left"/>
        <w:rPr>
          <w:rFonts w:ascii="宋体" w:hAnsi="宋体"/>
          <w:b/>
          <w:bCs/>
          <w:sz w:val="24"/>
        </w:rPr>
      </w:pPr>
      <w:r>
        <w:rPr>
          <w:rFonts w:ascii="宋体" w:hAnsi="宋体"/>
          <w:b/>
          <w:bCs/>
          <w:sz w:val="24"/>
        </w:rPr>
        <w:br w:type="page"/>
      </w:r>
    </w:p>
    <w:p w14:paraId="62E9FC6C">
      <w:pPr>
        <w:tabs>
          <w:tab w:val="left" w:pos="588"/>
        </w:tabs>
        <w:snapToGrid w:val="0"/>
        <w:spacing w:before="120" w:after="120" w:line="440" w:lineRule="exact"/>
        <w:jc w:val="left"/>
        <w:outlineLvl w:val="2"/>
        <w:rPr>
          <w:rFonts w:ascii="宋体" w:hAnsi="宋体"/>
          <w:b/>
          <w:bCs/>
          <w:sz w:val="24"/>
        </w:rPr>
      </w:pPr>
      <w:bookmarkStart w:id="703" w:name="_Toc19780"/>
      <w:bookmarkStart w:id="704" w:name="_Toc18451"/>
      <w:bookmarkStart w:id="705" w:name="_Toc25352"/>
      <w:r>
        <w:rPr>
          <w:rFonts w:hint="eastAsia" w:ascii="宋体" w:hAnsi="宋体"/>
          <w:b/>
          <w:bCs/>
          <w:sz w:val="24"/>
        </w:rPr>
        <w:t>附件十：软件许可使用权证书或其他软件许可使用文件</w:t>
      </w:r>
      <w:bookmarkEnd w:id="703"/>
      <w:bookmarkEnd w:id="704"/>
      <w:bookmarkEnd w:id="705"/>
    </w:p>
    <w:p w14:paraId="3D5D921F">
      <w:pPr>
        <w:tabs>
          <w:tab w:val="left" w:pos="588"/>
        </w:tabs>
        <w:snapToGrid w:val="0"/>
        <w:spacing w:before="120" w:after="120" w:line="440" w:lineRule="exact"/>
        <w:jc w:val="left"/>
        <w:outlineLvl w:val="2"/>
        <w:rPr>
          <w:rFonts w:ascii="宋体" w:hAnsi="宋体"/>
          <w:b/>
          <w:bCs/>
          <w:sz w:val="24"/>
        </w:rPr>
      </w:pPr>
      <w:bookmarkStart w:id="706" w:name="_Toc5528"/>
      <w:bookmarkStart w:id="707" w:name="_Toc19755"/>
      <w:bookmarkStart w:id="708" w:name="_Toc9238"/>
      <w:r>
        <w:rPr>
          <w:rFonts w:hint="eastAsia" w:ascii="宋体" w:hAnsi="宋体"/>
          <w:b/>
          <w:bCs/>
          <w:sz w:val="24"/>
        </w:rPr>
        <w:t>附件十一：外部组件软件成分信息清单</w:t>
      </w:r>
      <w:bookmarkEnd w:id="706"/>
      <w:bookmarkEnd w:id="707"/>
      <w:bookmarkEnd w:id="708"/>
    </w:p>
    <w:p w14:paraId="0D7C5CAA">
      <w:pPr>
        <w:widowControl/>
        <w:jc w:val="left"/>
        <w:rPr>
          <w:rFonts w:ascii="宋体" w:hAnsi="宋体" w:cs="宋体"/>
          <w:kern w:val="0"/>
          <w:sz w:val="24"/>
        </w:rPr>
      </w:pPr>
    </w:p>
    <w:p w14:paraId="3C83A8C6">
      <w:pPr>
        <w:widowControl/>
        <w:jc w:val="left"/>
        <w:rPr>
          <w:rFonts w:ascii="宋体" w:hAnsi="宋体" w:cs="宋体"/>
          <w:kern w:val="0"/>
          <w:sz w:val="24"/>
        </w:rPr>
      </w:pPr>
    </w:p>
    <w:p w14:paraId="26FC9247">
      <w:pPr>
        <w:widowControl/>
        <w:jc w:val="left"/>
        <w:rPr>
          <w:rFonts w:ascii="宋体" w:hAnsi="宋体" w:cs="宋体"/>
          <w:kern w:val="0"/>
          <w:sz w:val="24"/>
        </w:rPr>
      </w:pPr>
    </w:p>
    <w:p w14:paraId="623DB83E">
      <w:pPr>
        <w:widowControl/>
        <w:jc w:val="left"/>
        <w:rPr>
          <w:rFonts w:ascii="宋体" w:hAnsi="宋体" w:cs="宋体"/>
          <w:kern w:val="0"/>
          <w:sz w:val="24"/>
        </w:rPr>
      </w:pPr>
    </w:p>
    <w:p w14:paraId="4330170A">
      <w:pPr>
        <w:widowControl/>
        <w:jc w:val="left"/>
        <w:rPr>
          <w:rFonts w:ascii="宋体" w:hAnsi="宋体" w:cs="宋体"/>
          <w:kern w:val="0"/>
          <w:sz w:val="24"/>
        </w:rPr>
      </w:pPr>
    </w:p>
    <w:p w14:paraId="640E41A9">
      <w:pPr>
        <w:widowControl/>
        <w:jc w:val="left"/>
        <w:rPr>
          <w:rFonts w:ascii="宋体" w:hAnsi="宋体" w:cs="宋体"/>
          <w:kern w:val="0"/>
          <w:sz w:val="24"/>
        </w:rPr>
      </w:pPr>
    </w:p>
    <w:p w14:paraId="0258320C">
      <w:pPr>
        <w:widowControl/>
        <w:jc w:val="left"/>
        <w:rPr>
          <w:rFonts w:ascii="宋体" w:hAnsi="宋体" w:cs="宋体"/>
          <w:kern w:val="0"/>
          <w:sz w:val="24"/>
        </w:rPr>
      </w:pPr>
    </w:p>
    <w:p w14:paraId="349DBACB">
      <w:pPr>
        <w:widowControl/>
        <w:jc w:val="left"/>
        <w:rPr>
          <w:rFonts w:ascii="宋体" w:hAnsi="宋体" w:cs="宋体"/>
          <w:kern w:val="0"/>
          <w:sz w:val="24"/>
        </w:rPr>
      </w:pPr>
    </w:p>
    <w:p w14:paraId="0B0E60F7">
      <w:pPr>
        <w:widowControl/>
        <w:jc w:val="left"/>
        <w:rPr>
          <w:rFonts w:ascii="宋体" w:hAnsi="宋体" w:cs="宋体"/>
          <w:kern w:val="0"/>
          <w:sz w:val="24"/>
        </w:rPr>
      </w:pPr>
    </w:p>
    <w:p w14:paraId="25F90105">
      <w:pPr>
        <w:widowControl/>
        <w:jc w:val="left"/>
        <w:rPr>
          <w:rFonts w:ascii="宋体" w:hAnsi="宋体" w:cs="宋体"/>
          <w:kern w:val="0"/>
          <w:sz w:val="24"/>
        </w:rPr>
      </w:pPr>
    </w:p>
    <w:p w14:paraId="75A70995">
      <w:pPr>
        <w:widowControl/>
        <w:jc w:val="left"/>
        <w:rPr>
          <w:rFonts w:ascii="宋体" w:hAnsi="宋体" w:cs="宋体"/>
          <w:kern w:val="0"/>
          <w:sz w:val="24"/>
        </w:rPr>
      </w:pPr>
    </w:p>
    <w:p w14:paraId="49A38079">
      <w:pPr>
        <w:widowControl/>
        <w:jc w:val="left"/>
        <w:rPr>
          <w:rFonts w:ascii="宋体" w:hAnsi="宋体" w:cs="宋体"/>
          <w:kern w:val="0"/>
          <w:sz w:val="24"/>
        </w:rPr>
      </w:pPr>
    </w:p>
    <w:p w14:paraId="44A44475">
      <w:pPr>
        <w:widowControl/>
        <w:jc w:val="left"/>
        <w:rPr>
          <w:rFonts w:ascii="宋体" w:hAnsi="宋体" w:cs="宋体"/>
          <w:kern w:val="0"/>
          <w:sz w:val="24"/>
        </w:rPr>
      </w:pPr>
    </w:p>
    <w:p w14:paraId="2064F51C">
      <w:pPr>
        <w:widowControl/>
        <w:jc w:val="left"/>
        <w:rPr>
          <w:rFonts w:ascii="宋体" w:hAnsi="宋体" w:cs="宋体"/>
          <w:kern w:val="0"/>
          <w:sz w:val="24"/>
        </w:rPr>
      </w:pPr>
    </w:p>
    <w:p w14:paraId="6D242164">
      <w:pPr>
        <w:widowControl/>
        <w:jc w:val="center"/>
        <w:rPr>
          <w:rFonts w:ascii="宋体" w:hAnsi="宋体" w:cs="宋体"/>
          <w:bCs/>
          <w:kern w:val="0"/>
          <w:sz w:val="36"/>
          <w:szCs w:val="36"/>
        </w:rPr>
      </w:pPr>
      <w:r>
        <w:rPr>
          <w:rFonts w:hint="eastAsia" w:ascii="宋体" w:hAnsi="宋体" w:cs="宋体"/>
          <w:bCs/>
          <w:kern w:val="0"/>
          <w:sz w:val="36"/>
          <w:szCs w:val="36"/>
        </w:rPr>
        <w:t>[XXXXXXXXXXXXX项目]</w:t>
      </w:r>
    </w:p>
    <w:p w14:paraId="14690916">
      <w:pPr>
        <w:widowControl/>
        <w:jc w:val="center"/>
        <w:rPr>
          <w:rFonts w:ascii="宋体" w:hAnsi="宋体" w:cs="宋体"/>
          <w:bCs/>
          <w:kern w:val="0"/>
          <w:sz w:val="28"/>
          <w:szCs w:val="28"/>
        </w:rPr>
      </w:pPr>
      <w:r>
        <w:rPr>
          <w:rFonts w:hint="eastAsia" w:ascii="宋体" w:hAnsi="宋体" w:cs="宋体"/>
          <w:bCs/>
          <w:kern w:val="0"/>
          <w:sz w:val="28"/>
          <w:szCs w:val="28"/>
        </w:rPr>
        <w:t>外部组件软件成分信息清单</w:t>
      </w:r>
    </w:p>
    <w:p w14:paraId="341C1916">
      <w:pPr>
        <w:widowControl/>
        <w:jc w:val="left"/>
        <w:rPr>
          <w:rFonts w:ascii="宋体" w:hAnsi="宋体" w:cs="宋体"/>
          <w:kern w:val="0"/>
          <w:sz w:val="24"/>
        </w:rPr>
      </w:pPr>
    </w:p>
    <w:p w14:paraId="060FBFEB">
      <w:pPr>
        <w:widowControl/>
        <w:jc w:val="left"/>
        <w:rPr>
          <w:rFonts w:ascii="宋体" w:hAnsi="宋体" w:cs="宋体"/>
          <w:kern w:val="0"/>
          <w:sz w:val="24"/>
        </w:rPr>
      </w:pPr>
    </w:p>
    <w:p w14:paraId="62E61EEE">
      <w:pPr>
        <w:widowControl/>
        <w:jc w:val="left"/>
        <w:rPr>
          <w:rFonts w:ascii="宋体" w:hAnsi="宋体" w:cs="宋体"/>
          <w:kern w:val="0"/>
          <w:sz w:val="24"/>
        </w:rPr>
      </w:pPr>
    </w:p>
    <w:p w14:paraId="42CD9081">
      <w:pPr>
        <w:widowControl/>
        <w:jc w:val="left"/>
        <w:rPr>
          <w:rFonts w:ascii="宋体" w:hAnsi="宋体" w:cs="宋体"/>
          <w:kern w:val="0"/>
          <w:sz w:val="24"/>
        </w:rPr>
      </w:pPr>
    </w:p>
    <w:p w14:paraId="3A8CD540">
      <w:pPr>
        <w:widowControl/>
        <w:jc w:val="left"/>
        <w:rPr>
          <w:rFonts w:ascii="宋体" w:hAnsi="宋体" w:cs="宋体"/>
          <w:kern w:val="0"/>
          <w:sz w:val="24"/>
        </w:rPr>
      </w:pPr>
    </w:p>
    <w:p w14:paraId="6FC62F14">
      <w:pPr>
        <w:widowControl/>
        <w:jc w:val="left"/>
        <w:rPr>
          <w:rFonts w:ascii="宋体" w:hAnsi="宋体" w:cs="宋体"/>
          <w:kern w:val="0"/>
          <w:sz w:val="24"/>
        </w:rPr>
      </w:pPr>
    </w:p>
    <w:p w14:paraId="7AB0EE31">
      <w:pPr>
        <w:widowControl/>
        <w:jc w:val="left"/>
        <w:rPr>
          <w:rFonts w:ascii="宋体" w:hAnsi="宋体" w:cs="宋体"/>
          <w:kern w:val="0"/>
          <w:sz w:val="24"/>
        </w:rPr>
      </w:pPr>
    </w:p>
    <w:p w14:paraId="010E32C3">
      <w:pPr>
        <w:widowControl/>
        <w:jc w:val="left"/>
        <w:rPr>
          <w:rFonts w:ascii="宋体" w:hAnsi="宋体" w:cs="宋体"/>
          <w:kern w:val="0"/>
          <w:sz w:val="24"/>
        </w:rPr>
      </w:pPr>
    </w:p>
    <w:p w14:paraId="1D367383">
      <w:pPr>
        <w:widowControl/>
        <w:jc w:val="left"/>
        <w:rPr>
          <w:rFonts w:ascii="宋体" w:hAnsi="宋体" w:cs="宋体"/>
          <w:kern w:val="0"/>
          <w:sz w:val="24"/>
        </w:rPr>
      </w:pPr>
    </w:p>
    <w:p w14:paraId="5A1FC3C5">
      <w:pPr>
        <w:widowControl/>
        <w:jc w:val="left"/>
        <w:rPr>
          <w:rFonts w:ascii="宋体" w:hAnsi="宋体" w:cs="宋体"/>
          <w:kern w:val="0"/>
          <w:sz w:val="24"/>
        </w:rPr>
      </w:pPr>
    </w:p>
    <w:p w14:paraId="5AE56286">
      <w:pPr>
        <w:widowControl/>
        <w:jc w:val="left"/>
        <w:rPr>
          <w:rFonts w:ascii="宋体" w:hAnsi="宋体" w:cs="宋体"/>
          <w:kern w:val="0"/>
          <w:sz w:val="24"/>
        </w:rPr>
      </w:pPr>
    </w:p>
    <w:p w14:paraId="2D18BB09">
      <w:pPr>
        <w:widowControl/>
        <w:jc w:val="left"/>
        <w:rPr>
          <w:rFonts w:ascii="宋体" w:hAnsi="宋体" w:cs="宋体"/>
          <w:kern w:val="0"/>
          <w:sz w:val="24"/>
        </w:rPr>
      </w:pPr>
    </w:p>
    <w:p w14:paraId="0F704611">
      <w:pPr>
        <w:widowControl/>
        <w:jc w:val="left"/>
        <w:rPr>
          <w:rFonts w:ascii="宋体" w:hAnsi="宋体" w:cs="宋体"/>
          <w:kern w:val="0"/>
          <w:sz w:val="24"/>
        </w:rPr>
      </w:pPr>
    </w:p>
    <w:p w14:paraId="18011E5D">
      <w:pPr>
        <w:widowControl/>
        <w:jc w:val="left"/>
        <w:rPr>
          <w:rFonts w:ascii="宋体" w:hAnsi="宋体" w:cs="宋体"/>
          <w:kern w:val="0"/>
          <w:sz w:val="24"/>
        </w:rPr>
      </w:pPr>
    </w:p>
    <w:p w14:paraId="6DF58D5F">
      <w:pPr>
        <w:widowControl/>
        <w:jc w:val="left"/>
        <w:rPr>
          <w:rFonts w:ascii="宋体" w:hAnsi="宋体" w:cs="宋体"/>
          <w:kern w:val="0"/>
          <w:sz w:val="24"/>
        </w:rPr>
      </w:pPr>
    </w:p>
    <w:p w14:paraId="40D803D7">
      <w:pPr>
        <w:widowControl/>
        <w:jc w:val="left"/>
        <w:rPr>
          <w:rFonts w:ascii="宋体" w:hAnsi="宋体" w:cs="宋体"/>
          <w:kern w:val="0"/>
          <w:sz w:val="24"/>
        </w:rPr>
      </w:pPr>
    </w:p>
    <w:p w14:paraId="18EFD613">
      <w:pPr>
        <w:widowControl/>
        <w:jc w:val="left"/>
        <w:rPr>
          <w:rFonts w:ascii="宋体" w:hAnsi="宋体" w:cs="宋体"/>
          <w:kern w:val="0"/>
          <w:sz w:val="24"/>
        </w:rPr>
      </w:pPr>
    </w:p>
    <w:p w14:paraId="58F11E46">
      <w:pPr>
        <w:widowControl/>
        <w:jc w:val="left"/>
        <w:rPr>
          <w:rFonts w:ascii="宋体" w:hAnsi="宋体" w:cs="宋体"/>
          <w:kern w:val="0"/>
          <w:sz w:val="24"/>
        </w:rPr>
      </w:pPr>
    </w:p>
    <w:p w14:paraId="12A7597E">
      <w:pPr>
        <w:widowControl/>
        <w:jc w:val="left"/>
        <w:rPr>
          <w:rFonts w:ascii="宋体" w:hAnsi="宋体" w:cs="宋体"/>
          <w:kern w:val="0"/>
          <w:sz w:val="24"/>
        </w:rPr>
      </w:pPr>
    </w:p>
    <w:p w14:paraId="102CED87">
      <w:pPr>
        <w:widowControl/>
        <w:jc w:val="left"/>
        <w:rPr>
          <w:rFonts w:ascii="宋体" w:hAnsi="宋体" w:cs="宋体"/>
          <w:kern w:val="0"/>
          <w:sz w:val="24"/>
        </w:rPr>
      </w:pPr>
    </w:p>
    <w:p w14:paraId="66D1A02E">
      <w:pPr>
        <w:widowControl/>
        <w:jc w:val="left"/>
        <w:rPr>
          <w:rFonts w:ascii="宋体" w:hAnsi="宋体" w:cs="宋体"/>
          <w:kern w:val="0"/>
          <w:sz w:val="24"/>
        </w:rPr>
      </w:pPr>
    </w:p>
    <w:p w14:paraId="6B5790D0">
      <w:pPr>
        <w:widowControl/>
        <w:jc w:val="left"/>
        <w:rPr>
          <w:rFonts w:ascii="宋体" w:hAnsi="宋体" w:cs="宋体"/>
          <w:kern w:val="0"/>
          <w:sz w:val="24"/>
        </w:rPr>
      </w:pPr>
    </w:p>
    <w:p w14:paraId="7F387405">
      <w:pPr>
        <w:widowControl/>
        <w:jc w:val="left"/>
        <w:rPr>
          <w:rFonts w:ascii="宋体" w:hAnsi="宋体" w:cs="宋体"/>
          <w:kern w:val="0"/>
          <w:sz w:val="24"/>
        </w:rPr>
      </w:pPr>
    </w:p>
    <w:p w14:paraId="6134E626">
      <w:pPr>
        <w:widowControl/>
        <w:jc w:val="left"/>
        <w:rPr>
          <w:rFonts w:ascii="宋体" w:hAnsi="宋体" w:cs="宋体"/>
          <w:kern w:val="0"/>
          <w:sz w:val="24"/>
        </w:rPr>
      </w:pPr>
    </w:p>
    <w:p w14:paraId="6DF221C1">
      <w:pPr>
        <w:widowControl/>
        <w:autoSpaceDE w:val="0"/>
        <w:autoSpaceDN w:val="0"/>
        <w:spacing w:line="360" w:lineRule="auto"/>
        <w:jc w:val="left"/>
        <w:rPr>
          <w:rFonts w:ascii="宋体" w:hAnsi="宋体" w:cs="宋体"/>
          <w:kern w:val="0"/>
          <w:sz w:val="24"/>
          <w:szCs w:val="20"/>
        </w:rPr>
      </w:pPr>
    </w:p>
    <w:p w14:paraId="5C9A0B84">
      <w:pPr>
        <w:widowControl/>
        <w:autoSpaceDE w:val="0"/>
        <w:autoSpaceDN w:val="0"/>
        <w:spacing w:line="360" w:lineRule="auto"/>
        <w:jc w:val="left"/>
        <w:rPr>
          <w:rFonts w:ascii="宋体" w:hAnsi="宋体" w:cs="宋体"/>
          <w:kern w:val="0"/>
          <w:sz w:val="28"/>
          <w:szCs w:val="21"/>
        </w:rPr>
      </w:pPr>
      <w:r>
        <w:rPr>
          <w:rFonts w:hint="eastAsia" w:ascii="仿宋" w:hAnsi="仿宋" w:eastAsia="仿宋" w:cs="宋体"/>
          <w:kern w:val="0"/>
          <w:sz w:val="28"/>
          <w:szCs w:val="28"/>
          <w:shd w:val="clear" w:color="FFFFFF" w:fill="D9D9D9"/>
        </w:rPr>
        <w:t>XXXXXX公司</w:t>
      </w:r>
      <w:r>
        <w:rPr>
          <w:rFonts w:hint="eastAsia" w:ascii="宋体" w:hAnsi="宋体" w:cs="宋体"/>
          <w:kern w:val="0"/>
          <w:sz w:val="28"/>
          <w:szCs w:val="21"/>
        </w:rPr>
        <w:t>承诺：</w:t>
      </w:r>
    </w:p>
    <w:p w14:paraId="127E39DD">
      <w:pPr>
        <w:widowControl/>
        <w:jc w:val="left"/>
        <w:rPr>
          <w:rFonts w:ascii="宋体" w:hAnsi="宋体" w:cs="宋体"/>
          <w:kern w:val="0"/>
          <w:sz w:val="28"/>
          <w:szCs w:val="28"/>
        </w:rPr>
      </w:pPr>
      <w:r>
        <w:rPr>
          <w:rFonts w:ascii="宋体" w:hAnsi="宋体" w:cs="宋体"/>
          <w:kern w:val="0"/>
          <w:sz w:val="28"/>
          <w:szCs w:val="28"/>
        </w:rPr>
        <w:tab/>
      </w:r>
    </w:p>
    <w:p w14:paraId="7B98A079">
      <w:pPr>
        <w:widowControl/>
        <w:spacing w:line="360" w:lineRule="auto"/>
        <w:jc w:val="left"/>
        <w:rPr>
          <w:rFonts w:ascii="宋体" w:hAnsi="宋体" w:cs="宋体"/>
          <w:kern w:val="0"/>
          <w:sz w:val="28"/>
          <w:szCs w:val="28"/>
        </w:rPr>
      </w:pPr>
      <w:r>
        <w:rPr>
          <w:rFonts w:hint="eastAsia" w:ascii="宋体" w:hAnsi="宋体" w:cs="宋体"/>
          <w:bCs/>
          <w:kern w:val="0"/>
          <w:sz w:val="28"/>
          <w:szCs w:val="28"/>
        </w:rPr>
        <w:t>XXXXXXXXXXXXXXXXXX项目</w:t>
      </w:r>
      <w:r>
        <w:rPr>
          <w:rFonts w:hint="eastAsia" w:ascii="宋体" w:hAnsi="宋体" w:cs="宋体"/>
          <w:kern w:val="0"/>
          <w:sz w:val="28"/>
          <w:szCs w:val="28"/>
        </w:rPr>
        <w:t>不存在外部组件软件成分，平台所有软件交付、维护都由</w:t>
      </w:r>
      <w:r>
        <w:rPr>
          <w:rFonts w:hint="eastAsia" w:ascii="仿宋" w:hAnsi="仿宋" w:eastAsia="仿宋" w:cs="宋体"/>
          <w:kern w:val="0"/>
          <w:sz w:val="28"/>
          <w:szCs w:val="28"/>
          <w:shd w:val="clear" w:color="FFFFFF" w:fill="D9D9D9"/>
        </w:rPr>
        <w:t>XXXXXX公司</w:t>
      </w:r>
      <w:r>
        <w:rPr>
          <w:rFonts w:hint="eastAsia" w:ascii="宋体" w:hAnsi="宋体" w:cs="宋体"/>
          <w:kern w:val="0"/>
          <w:sz w:val="28"/>
          <w:szCs w:val="28"/>
        </w:rPr>
        <w:t>负责。</w:t>
      </w:r>
    </w:p>
    <w:p w14:paraId="4442C13B">
      <w:pPr>
        <w:widowControl/>
        <w:jc w:val="left"/>
        <w:rPr>
          <w:rFonts w:ascii="宋体" w:hAnsi="宋体"/>
          <w:b/>
          <w:bCs/>
          <w:sz w:val="24"/>
        </w:rPr>
      </w:pPr>
      <w:r>
        <w:rPr>
          <w:rFonts w:ascii="宋体" w:hAnsi="宋体"/>
          <w:b/>
          <w:bCs/>
          <w:sz w:val="24"/>
        </w:rPr>
        <w:br w:type="page"/>
      </w:r>
    </w:p>
    <w:p w14:paraId="3F08DD27">
      <w:pPr>
        <w:tabs>
          <w:tab w:val="left" w:pos="588"/>
        </w:tabs>
        <w:snapToGrid w:val="0"/>
        <w:spacing w:before="120" w:after="120" w:line="440" w:lineRule="exact"/>
        <w:jc w:val="left"/>
        <w:outlineLvl w:val="2"/>
        <w:rPr>
          <w:rFonts w:hint="eastAsia" w:ascii="宋体" w:hAnsi="宋体"/>
          <w:b/>
          <w:bCs/>
          <w:sz w:val="24"/>
        </w:rPr>
      </w:pPr>
      <w:bookmarkStart w:id="709" w:name="_Toc21857"/>
      <w:bookmarkStart w:id="710" w:name="_Toc6192"/>
      <w:bookmarkStart w:id="711" w:name="_Toc31700"/>
      <w:r>
        <w:rPr>
          <w:rFonts w:hint="eastAsia" w:ascii="宋体" w:hAnsi="宋体"/>
          <w:b/>
          <w:bCs/>
          <w:sz w:val="24"/>
        </w:rPr>
        <w:t>附件十</w:t>
      </w:r>
      <w:r>
        <w:rPr>
          <w:rFonts w:hint="eastAsia" w:ascii="宋体" w:hAnsi="宋体"/>
          <w:b/>
          <w:bCs/>
          <w:sz w:val="24"/>
          <w:lang w:val="en-US" w:eastAsia="zh-CN"/>
        </w:rPr>
        <w:t>二：</w:t>
      </w:r>
      <w:r>
        <w:rPr>
          <w:rFonts w:hint="eastAsia" w:ascii="宋体" w:hAnsi="宋体"/>
          <w:b/>
          <w:bCs/>
          <w:sz w:val="24"/>
        </w:rPr>
        <w:t>安全生产管理责任书</w:t>
      </w:r>
      <w:bookmarkEnd w:id="709"/>
      <w:bookmarkEnd w:id="710"/>
      <w:bookmarkEnd w:id="711"/>
    </w:p>
    <w:p w14:paraId="4F98679A">
      <w:pPr>
        <w:shd w:val="clear"/>
        <w:spacing w:line="360" w:lineRule="exact"/>
        <w:jc w:val="left"/>
        <w:rPr>
          <w:rFonts w:hint="eastAsia" w:ascii="仿宋" w:hAnsi="仿宋" w:eastAsia="仿宋"/>
          <w:b/>
          <w:sz w:val="28"/>
          <w:szCs w:val="28"/>
          <w:highlight w:val="none"/>
          <w:lang w:eastAsia="zh-CN"/>
        </w:rPr>
      </w:pPr>
    </w:p>
    <w:p w14:paraId="4CB13087">
      <w:pPr>
        <w:shd w:val="clear"/>
        <w:spacing w:line="360" w:lineRule="exact"/>
        <w:jc w:val="center"/>
        <w:rPr>
          <w:rFonts w:ascii="仿宋" w:hAnsi="仿宋" w:eastAsia="仿宋"/>
          <w:b/>
          <w:sz w:val="28"/>
          <w:szCs w:val="28"/>
          <w:highlight w:val="none"/>
        </w:rPr>
      </w:pPr>
      <w:r>
        <w:rPr>
          <w:rFonts w:hint="eastAsia" w:ascii="仿宋" w:hAnsi="仿宋" w:eastAsia="仿宋"/>
          <w:b/>
          <w:sz w:val="28"/>
          <w:szCs w:val="28"/>
          <w:highlight w:val="none"/>
        </w:rPr>
        <w:t>安全生产管理责任书</w:t>
      </w:r>
    </w:p>
    <w:p w14:paraId="53F05E94">
      <w:pPr>
        <w:shd w:val="clear"/>
        <w:spacing w:line="360" w:lineRule="exact"/>
        <w:jc w:val="center"/>
        <w:rPr>
          <w:rFonts w:ascii="仿宋" w:hAnsi="仿宋" w:eastAsia="仿宋"/>
          <w:b/>
          <w:sz w:val="28"/>
          <w:szCs w:val="28"/>
          <w:highlight w:val="none"/>
        </w:rPr>
      </w:pPr>
    </w:p>
    <w:p w14:paraId="6471CDCC">
      <w:pPr>
        <w:shd w:val="clear"/>
        <w:spacing w:line="360" w:lineRule="exact"/>
        <w:rPr>
          <w:rFonts w:ascii="仿宋" w:hAnsi="仿宋" w:eastAsia="仿宋"/>
          <w:sz w:val="24"/>
          <w:highlight w:val="none"/>
        </w:rPr>
      </w:pPr>
      <w:r>
        <w:rPr>
          <w:rFonts w:hint="eastAsia" w:ascii="仿宋" w:hAnsi="仿宋" w:eastAsia="仿宋"/>
          <w:sz w:val="24"/>
          <w:highlight w:val="none"/>
        </w:rPr>
        <w:t>中国电信[</w:t>
      </w:r>
      <w:r>
        <w:rPr>
          <w:rFonts w:hint="eastAsia" w:ascii="仿宋" w:hAnsi="仿宋" w:eastAsia="仿宋"/>
          <w:sz w:val="24"/>
          <w:highlight w:val="none"/>
          <w:lang w:eastAsia="zh-CN"/>
        </w:rPr>
        <w:t>股份有限公司湖北分</w:t>
      </w:r>
      <w:r>
        <w:rPr>
          <w:rFonts w:hint="eastAsia" w:ascii="仿宋" w:hAnsi="仿宋" w:eastAsia="仿宋"/>
          <w:sz w:val="24"/>
          <w:highlight w:val="none"/>
        </w:rPr>
        <w:t>]公司：</w:t>
      </w:r>
    </w:p>
    <w:p w14:paraId="0F4F380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为保障安全生产，确保安全管理工作的落实，在贵公司与本单位双方签订的《[  ]软件开发合同》（以下简称“合同”）履行过程中，本单位承诺如下：</w:t>
      </w:r>
    </w:p>
    <w:p w14:paraId="74B7D96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一、本单位在合同签订和履行过程中持续具备《中华人民共和国建筑法》、《中华人民共和国消防法》、《中华人民共和国安全生产法》和有关法律、行政法规和国家标准或者行业标准（“相关规定”）规定的安全生产条件和资质。</w:t>
      </w:r>
    </w:p>
    <w:p w14:paraId="3F9F8B3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二、本单位参与合同履行的相关作业人员（“作业人员”）在履行合同过程中始终具备相关规定要求的从业资格和资质，从事特种作业的作业人员始终具备相关规定要求的从业资格和资质。。</w:t>
      </w:r>
    </w:p>
    <w:p w14:paraId="4DCE2C3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三、贵公司有权对本单位作业现场安全进行监督，贵公司代表有权对作业现场的安全管理进行指导和监督，本单位及作业人员必须服从贵公司代表的管理和监督检查，督促作业相关单位积极配合，并确保作业现场安全，并承担合同签订和履行过程中安全生产的全部责任。</w:t>
      </w:r>
    </w:p>
    <w:p w14:paraId="31895DD7">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四、本单位认真贯彻相关规定的各项要求，对作业现场的安全管理必须坚持安全第一、预防、综合治理为主的方针，做到安全作业、文明作业，定期组织作业人员召开安全生产会议和安全生产教育培训并建立档案，如实记录会议和教育培训的时间、内容、参加人员以及考核结果等情况，确保各类设备、设施安全和人员安全。</w:t>
      </w:r>
    </w:p>
    <w:p w14:paraId="0D8D71E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五、在通信机房内作业，本单位应当特别重视并遵守下列要求:</w:t>
      </w:r>
    </w:p>
    <w:p w14:paraId="136E9A0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（1）制定确保运行设备安全措施。</w:t>
      </w:r>
    </w:p>
    <w:p w14:paraId="3CEA1D8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（2）设备开箱后，包装箱等易燃杂物应当立即搬离现场。</w:t>
      </w:r>
    </w:p>
    <w:p w14:paraId="490C345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（3）作业时，不得将导线头子遗留在设备内。每天作业结束时，应当清理作业现场。</w:t>
      </w:r>
    </w:p>
    <w:p w14:paraId="0F2EA5D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（4）作业期间确需进入通信系统，应当办理贵公司要求的手续。</w:t>
      </w:r>
    </w:p>
    <w:p w14:paraId="16EA04F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（5）作业期间布放线缆，需拆除竖井、巷道防火封堵物的，布放线缆完毕后，应当立即重新封堵。</w:t>
      </w:r>
    </w:p>
    <w:p w14:paraId="744695E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（6）设备安装完毕，应当经电力维护人员检查、测试无误后，方可接通电源。</w:t>
      </w:r>
    </w:p>
    <w:p w14:paraId="0ED812A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六、作业现场应当符合下列要求：</w:t>
      </w:r>
    </w:p>
    <w:p w14:paraId="1530B71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（1）安全、整洁、美观，采取措施有效保护贵公司设施、设备。</w:t>
      </w:r>
    </w:p>
    <w:p w14:paraId="477EF5E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（2）材料堆放整齐有序，不得影响贵公司正常生产秩序和通信畅通。</w:t>
      </w:r>
    </w:p>
    <w:p w14:paraId="0E2CE02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（3）垃圾及时处理，不得就近乱堆乱倒。</w:t>
      </w:r>
    </w:p>
    <w:p w14:paraId="29601E7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（4）符合卫生标准。</w:t>
      </w:r>
    </w:p>
    <w:p w14:paraId="63151D4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（5）作业人员应当佩戴贵公司颁发的证明其身份的胸卡。</w:t>
      </w:r>
    </w:p>
    <w:p w14:paraId="47E0D5D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（6）阻止无关人员进入作业现场。</w:t>
      </w:r>
    </w:p>
    <w:p w14:paraId="1752B1B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七、本单位应当遵守下列作业现场安全管理要求：</w:t>
      </w:r>
    </w:p>
    <w:p w14:paraId="3874CF3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（1）不得在作业现场溶融沥青或者焚烧油毡、油漆等易产生有毒、有害烟尘和气体的物质。</w:t>
      </w:r>
    </w:p>
    <w:p w14:paraId="11DAE27D">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（2）不得从高处向下抛撒垃圾。</w:t>
      </w:r>
    </w:p>
    <w:p w14:paraId="18ABC0B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（3）不得将有毒有害废弃物作土方回填。</w:t>
      </w:r>
    </w:p>
    <w:p w14:paraId="42B2721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（4）禁止在作业现场吸烟或使用明火，确因作业需要进行明火作业，应当经贵公司安全保卫部门书面批准。</w:t>
      </w:r>
    </w:p>
    <w:p w14:paraId="2699D40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八、本单位接受贵公司有关各项安全生产、防火等规章制度的检查、督促。</w:t>
      </w:r>
    </w:p>
    <w:p w14:paraId="69A7C70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九、本单位加强对作业人员的管理，提高服务能力，提升作业人员的作业水平和服务质量，并确保安全管理和安全工作的落实。本单位保证对作业人员进行安全生产教育和培训，保证作业人员具备必要的安全生产知识，熟悉有关的安全生产规章制度和安全操作规程，掌握本岗位的安全操作技能，了解事故应急处理措施。未经安全生产教育和培训合格的作业人员不得上岗作业。</w:t>
      </w:r>
    </w:p>
    <w:p w14:paraId="31A004A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本单位作业人员仅在贵公司允许的作业区域、场所和设备上作业，不得超范围作业。本单位工作人员未经许可，不得擅自进入与合同约定的服务工作无关的贵公司部门（包括但不限于通信要害部门）。如需进入贵公司生产机房进行作业的，本单位应当到贵公司相关部门办理出入通信要害部位介绍信，方可进入作业。</w:t>
      </w:r>
    </w:p>
    <w:p w14:paraId="06FE57C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十一、本单位根据作业特点，制定安全生产作业方案和专项技术措施，配备专职或兼职人员负责有关安全生产、防火等工作，并积极与贵公司相关安全部门紧密联系。</w:t>
      </w:r>
    </w:p>
    <w:p w14:paraId="1796A7D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十二、本单位为作业人员提供符合相关规定的劳动防护用品和作业工具，监督、教育作业人员按照使用规则佩戴、使用，并督促其遵守各项安全生产规章制度，不得违章作业、冒险作业或疲劳作业。</w:t>
      </w:r>
    </w:p>
    <w:p w14:paraId="7D37F73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十三、当发生安全事故时，本单位立即采取有效措施，防止事故的扩大，减少人员伤亡和财产损失，并及时向贵公司和有关部门报告，配合贵公司和有关部门的事故调查处理工作。</w:t>
      </w:r>
    </w:p>
    <w:p w14:paraId="7E3DF1D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十四、本单位作业人员进行登高作业时，应当遵守高处作业中的相关规定，并先检查登高工具和保险装备，确保登高现场环境安全，避免发生摔伤事故。</w:t>
      </w:r>
    </w:p>
    <w:p w14:paraId="3EA382A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五、切实落实“六防”（即防爆炸、防盗抢、防火、防破坏、防诈骗、防窃密），不发生违反作业现场管理规定的行为，不发生违法犯罪案件。本单位就作业人员的行为向贵公司承担全部责任。如发生作业人员或他人的人身、财产事故，均由本单位负责解决并承担全部责任。</w:t>
      </w:r>
    </w:p>
    <w:p w14:paraId="42457C3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十六、本单位严格遵守国家安全生产方面的有关法律、法规，以实际行动创造安全、文明的工作环境，如本单位违反本责任书所述的任何情形，本单位承担相应责任并赔偿贵公司因此受到的损失。</w:t>
      </w:r>
    </w:p>
    <w:p w14:paraId="50527D37">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十七、本单位承诺依照有关法律规定参加工伤保险，为履行合同所雇用的全部人员，缴纳工伤保险费。</w:t>
      </w:r>
    </w:p>
    <w:p w14:paraId="554A890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十八、本单位在作业过程中若发生安全生产责任事故的，同意贵公司依据供应商不良行为相关管理制度对本单位进行处理。</w:t>
      </w:r>
    </w:p>
    <w:p w14:paraId="3A8D006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十九、根据《生产安全事故应急预案管理办法》要求，本单位承诺制定和完善应急预案演练计划，至少每半年组织一次生产安全事故应急预案演练。</w:t>
      </w:r>
    </w:p>
    <w:p w14:paraId="1EF7DA7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本单位承诺，采取有效管理措施合理减少从事危险作业岗位的劳务派遣、劳务分包等灵活用工方式人员，并对灵活用工人员纳入本单位统一管理，履行安全生产保证责任，做好灵活用工人员特种作业持证、安全培训、保险购买等工作。</w:t>
      </w:r>
    </w:p>
    <w:p w14:paraId="6DC4F13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一、本单位指定如下专职安全生产管理人员负责安全检查与协调等工作，并承诺安全生产管理人员具备生产经营活动相应的安全生产知识和管理能力。当专职安全生产管理人员变更时，本单位提前三日书面通知贵公司。</w:t>
      </w:r>
    </w:p>
    <w:p w14:paraId="49DFC3A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（1）姓名：[  ]</w:t>
      </w:r>
    </w:p>
    <w:p w14:paraId="30084DC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（2）联系方式：[  ]</w:t>
      </w:r>
    </w:p>
    <w:p w14:paraId="324316A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二十二、本责任书经本单位签署后，与合同同时生效。</w:t>
      </w:r>
    </w:p>
    <w:p w14:paraId="16D49DEE">
      <w:pPr>
        <w:shd w:val="clear"/>
        <w:spacing w:line="360" w:lineRule="exact"/>
        <w:rPr>
          <w:rFonts w:ascii="仿宋" w:hAnsi="仿宋" w:eastAsia="仿宋"/>
          <w:sz w:val="24"/>
          <w:highlight w:val="none"/>
        </w:rPr>
      </w:pPr>
    </w:p>
    <w:p w14:paraId="4DC1A980">
      <w:pPr>
        <w:shd w:val="clear"/>
        <w:spacing w:line="360" w:lineRule="exact"/>
        <w:rPr>
          <w:rFonts w:ascii="仿宋" w:hAnsi="仿宋" w:eastAsia="仿宋"/>
          <w:sz w:val="24"/>
          <w:highlight w:val="none"/>
        </w:rPr>
      </w:pPr>
    </w:p>
    <w:p w14:paraId="783ABAC0">
      <w:pPr>
        <w:shd w:val="clear"/>
        <w:spacing w:line="360" w:lineRule="exact"/>
        <w:rPr>
          <w:rFonts w:ascii="仿宋" w:hAnsi="仿宋" w:eastAsia="仿宋"/>
          <w:sz w:val="24"/>
          <w:highlight w:val="none"/>
        </w:rPr>
      </w:pPr>
      <w:r>
        <w:rPr>
          <w:rFonts w:hint="eastAsia" w:ascii="仿宋" w:hAnsi="仿宋" w:eastAsia="仿宋"/>
          <w:sz w:val="24"/>
          <w:highlight w:val="none"/>
        </w:rPr>
        <w:t>责任人（盖章）：[  ]</w:t>
      </w:r>
    </w:p>
    <w:p w14:paraId="40A025DD">
      <w:pPr>
        <w:shd w:val="clear"/>
        <w:spacing w:line="360" w:lineRule="exact"/>
        <w:rPr>
          <w:rFonts w:ascii="仿宋" w:hAnsi="仿宋" w:eastAsia="仿宋"/>
          <w:sz w:val="24"/>
          <w:highlight w:val="none"/>
        </w:rPr>
      </w:pPr>
      <w:r>
        <w:rPr>
          <w:rFonts w:hint="eastAsia" w:ascii="仿宋" w:hAnsi="仿宋" w:eastAsia="仿宋"/>
          <w:sz w:val="24"/>
          <w:highlight w:val="none"/>
        </w:rPr>
        <w:t>法定代表人/负责人</w:t>
      </w:r>
    </w:p>
    <w:p w14:paraId="451E512C">
      <w:pPr>
        <w:shd w:val="clear"/>
        <w:spacing w:line="360" w:lineRule="exact"/>
        <w:rPr>
          <w:rFonts w:ascii="仿宋" w:hAnsi="仿宋" w:eastAsia="仿宋"/>
          <w:sz w:val="24"/>
          <w:highlight w:val="none"/>
        </w:rPr>
      </w:pPr>
      <w:r>
        <w:rPr>
          <w:rFonts w:hint="eastAsia" w:ascii="仿宋" w:hAnsi="仿宋" w:eastAsia="仿宋"/>
          <w:sz w:val="24"/>
          <w:highlight w:val="none"/>
        </w:rPr>
        <w:t>或授权代表（签字）：</w:t>
      </w:r>
    </w:p>
    <w:p w14:paraId="05270C5A">
      <w:pPr>
        <w:widowControl/>
        <w:shd w:val="clear"/>
        <w:spacing w:line="360" w:lineRule="exact"/>
        <w:jc w:val="left"/>
        <w:rPr>
          <w:rFonts w:ascii="仿宋" w:hAnsi="仿宋" w:eastAsia="仿宋"/>
          <w:color w:val="000000"/>
          <w:highlight w:val="none"/>
        </w:rPr>
      </w:pPr>
      <w:r>
        <w:rPr>
          <w:rFonts w:ascii="仿宋" w:hAnsi="仿宋" w:eastAsia="仿宋"/>
          <w:color w:val="000000"/>
          <w:highlight w:val="none"/>
        </w:rPr>
        <w:br w:type="page"/>
      </w:r>
    </w:p>
    <w:p w14:paraId="10B14480">
      <w:pPr>
        <w:tabs>
          <w:tab w:val="left" w:pos="588"/>
        </w:tabs>
        <w:snapToGrid w:val="0"/>
        <w:spacing w:before="120" w:after="120" w:line="440" w:lineRule="exact"/>
        <w:jc w:val="left"/>
        <w:outlineLvl w:val="2"/>
        <w:rPr>
          <w:rFonts w:hint="default" w:ascii="宋体" w:hAnsi="宋体" w:eastAsia="宋体"/>
          <w:b/>
          <w:bCs/>
          <w:sz w:val="24"/>
          <w:lang w:val="en-US" w:eastAsia="zh-CN"/>
        </w:rPr>
      </w:pPr>
      <w:bookmarkStart w:id="712" w:name="_Toc29033"/>
      <w:bookmarkStart w:id="713" w:name="_Toc3881"/>
      <w:bookmarkStart w:id="714" w:name="_Toc21256"/>
      <w:r>
        <w:rPr>
          <w:rFonts w:hint="eastAsia" w:ascii="宋体" w:hAnsi="宋体"/>
          <w:b/>
          <w:bCs/>
          <w:sz w:val="24"/>
        </w:rPr>
        <w:t>附件十</w:t>
      </w:r>
      <w:r>
        <w:rPr>
          <w:rFonts w:hint="eastAsia" w:ascii="宋体" w:hAnsi="宋体"/>
          <w:b/>
          <w:bCs/>
          <w:sz w:val="24"/>
          <w:lang w:val="en-US" w:eastAsia="zh-CN"/>
        </w:rPr>
        <w:t>三：网络及信息安全承诺书</w:t>
      </w:r>
      <w:bookmarkEnd w:id="712"/>
      <w:bookmarkEnd w:id="713"/>
      <w:bookmarkEnd w:id="714"/>
    </w:p>
    <w:p w14:paraId="43E9B7E6">
      <w:pPr>
        <w:shd w:val="clear"/>
        <w:spacing w:line="360" w:lineRule="exact"/>
        <w:jc w:val="center"/>
        <w:rPr>
          <w:rFonts w:ascii="仿宋" w:hAnsi="仿宋" w:eastAsia="仿宋"/>
          <w:b/>
          <w:sz w:val="28"/>
          <w:szCs w:val="28"/>
          <w:highlight w:val="none"/>
        </w:rPr>
      </w:pPr>
      <w:r>
        <w:rPr>
          <w:rFonts w:hint="eastAsia" w:ascii="仿宋" w:hAnsi="仿宋" w:eastAsia="仿宋"/>
          <w:b/>
          <w:sz w:val="28"/>
          <w:szCs w:val="28"/>
          <w:highlight w:val="none"/>
        </w:rPr>
        <w:t>网络及信息安全承诺书</w:t>
      </w:r>
    </w:p>
    <w:p w14:paraId="4CD02820">
      <w:pPr>
        <w:shd w:val="clear"/>
        <w:spacing w:line="360" w:lineRule="exact"/>
        <w:jc w:val="center"/>
        <w:rPr>
          <w:rFonts w:ascii="仿宋" w:hAnsi="仿宋" w:eastAsia="仿宋"/>
          <w:b/>
          <w:sz w:val="28"/>
          <w:szCs w:val="28"/>
          <w:highlight w:val="none"/>
        </w:rPr>
      </w:pPr>
    </w:p>
    <w:p w14:paraId="79BC118F">
      <w:pPr>
        <w:shd w:val="clear"/>
        <w:spacing w:line="360" w:lineRule="exact"/>
        <w:rPr>
          <w:rFonts w:ascii="仿宋" w:hAnsi="仿宋" w:eastAsia="仿宋"/>
          <w:sz w:val="24"/>
          <w:highlight w:val="none"/>
        </w:rPr>
      </w:pPr>
      <w:r>
        <w:rPr>
          <w:rFonts w:hint="eastAsia" w:ascii="仿宋" w:hAnsi="仿宋" w:eastAsia="仿宋"/>
          <w:sz w:val="24"/>
          <w:highlight w:val="none"/>
        </w:rPr>
        <w:t>中国电信[</w:t>
      </w:r>
      <w:r>
        <w:rPr>
          <w:rFonts w:hint="eastAsia" w:ascii="仿宋" w:hAnsi="仿宋" w:eastAsia="仿宋"/>
          <w:sz w:val="24"/>
          <w:highlight w:val="none"/>
          <w:lang w:eastAsia="zh-CN"/>
        </w:rPr>
        <w:t>股份有限公司湖北分</w:t>
      </w:r>
      <w:r>
        <w:rPr>
          <w:rFonts w:hint="eastAsia" w:ascii="仿宋" w:hAnsi="仿宋" w:eastAsia="仿宋"/>
          <w:sz w:val="24"/>
          <w:highlight w:val="none"/>
        </w:rPr>
        <w:t>]公司：</w:t>
      </w:r>
    </w:p>
    <w:p w14:paraId="296BD49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本单位郑重承诺遵守本承诺书，如有违反本承诺书有关条款的行为，本单位承担由此带来的一切责任。</w:t>
      </w:r>
    </w:p>
    <w:p w14:paraId="3CA4DCB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29D08111">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3BCDFFA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三、本单位承诺按照用户真实身份信息制度（“实名制”）的要求提供身份信息、使用业务，并保证所提供信息、资料的真实、完整、准确、有效。</w:t>
      </w:r>
    </w:p>
    <w:p w14:paraId="121FB04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四、本单位保证不利用网络（包括但不限于固定网、移动网、互联网，下同）从事危害国家安全、泄露国家秘密等违法犯罪活动，不侵犯他人的合法权益。</w:t>
      </w:r>
    </w:p>
    <w:p w14:paraId="4E8CB9D7">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5EEB9A0D">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48FA46A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634AE16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69FDCD6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7E2DFC2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21BD174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05D50B2D">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“九不准”，即不准制作、复制、查阅和传播含有以下内容的信息：</w:t>
      </w:r>
    </w:p>
    <w:p w14:paraId="3662E8E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1、反对宪法所确定的基本原则的；</w:t>
      </w:r>
    </w:p>
    <w:p w14:paraId="111ED30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2、危害国家安全，泄露国家秘密，颠覆国家政权，破坏国家统一的。</w:t>
      </w:r>
    </w:p>
    <w:p w14:paraId="00AE89C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3、损害国家荣誉和利益的；</w:t>
      </w:r>
    </w:p>
    <w:p w14:paraId="7C9D7B2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4、煽动民族仇恨、民族歧视，破坏民族团结的；</w:t>
      </w:r>
    </w:p>
    <w:p w14:paraId="29706CC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5、破坏国家宗教政策，宣扬邪教和封建迷信的；</w:t>
      </w:r>
    </w:p>
    <w:p w14:paraId="252BED6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6、散布谣言，扰乱社会秩序，破坏社会稳定的；</w:t>
      </w:r>
    </w:p>
    <w:p w14:paraId="6D6D9B8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7、散布淫秽、色情、赌博、暴力、凶杀、恐怖或者教唆犯罪的。</w:t>
      </w:r>
    </w:p>
    <w:p w14:paraId="754FABA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8、侮辱或者诽谤他人，侵害他人合法权益的；</w:t>
      </w:r>
    </w:p>
    <w:p w14:paraId="46546E7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9、含有法律、法规禁止的其他内容的。</w:t>
      </w:r>
    </w:p>
    <w:p w14:paraId="7BDEB96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 xml:space="preserve"> “六不许”，即：</w:t>
      </w:r>
    </w:p>
    <w:p w14:paraId="53A8B7A7">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1、决不允许在群众中散布违背党的理论和路线方针政策的意见。</w:t>
      </w:r>
    </w:p>
    <w:p w14:paraId="65DBDE7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2、决不允许公开发表同中央的决定相违背的言论。</w:t>
      </w:r>
    </w:p>
    <w:p w14:paraId="3571491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3、决不允许对中央的决策部署阳奉阴违。</w:t>
      </w:r>
    </w:p>
    <w:p w14:paraId="2C1A8B72">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4、决不允许编造、传播政治谣言及丑化党和国家形象的言论。</w:t>
      </w:r>
    </w:p>
    <w:p w14:paraId="39D90AA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5、决不允许以任何形式泄露党和国家的秘密。</w:t>
      </w:r>
    </w:p>
    <w:p w14:paraId="7892443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6、决不允许参与各种非法组织和非法活动。</w:t>
      </w:r>
    </w:p>
    <w:p w14:paraId="5B34EAB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1DDB8D7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1、未经允许进入网络或者使用网络资源；</w:t>
      </w:r>
    </w:p>
    <w:p w14:paraId="74E577E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2、未经允许对网络功能进行删除、修改或者增加；</w:t>
      </w:r>
    </w:p>
    <w:p w14:paraId="0A04331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3、未经允许对网络中存储或者传输的数据和应用程序进行删除、修改或者增加；</w:t>
      </w:r>
    </w:p>
    <w:p w14:paraId="78F0D60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4、制作、传播、利用网络病毒等恶意程序或破坏性程序；</w:t>
      </w:r>
    </w:p>
    <w:p w14:paraId="7C94A30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5、非法收集、使用、加工、传输或以其他方式处理个人信息等数据；</w:t>
      </w:r>
    </w:p>
    <w:p w14:paraId="431ECEC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6、非法买卖、提供或者公开个人信息等数据；</w:t>
      </w:r>
    </w:p>
    <w:p w14:paraId="15EF229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7、从事危害国家安全、公共利益的个人信息和数据处理活动；</w:t>
      </w:r>
    </w:p>
    <w:p w14:paraId="7A1BAC7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8、其他危害网络安全、数据安全、侵犯他人合法权益的活动。</w:t>
      </w:r>
    </w:p>
    <w:p w14:paraId="0C357B9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005D22B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十四、本单位承诺不进行法律、法规、政府监管规定等禁止的行为，包括但不限于：</w:t>
      </w:r>
    </w:p>
    <w:p w14:paraId="2920749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1、所提供或接入的设备未取得入网许可，或可能影响网络安全或网络服务质量；</w:t>
      </w:r>
    </w:p>
    <w:p w14:paraId="7CADC4D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2、将合同履行中获得的账号、密码私自转让、转租或以非法方式提供给第三方；</w:t>
      </w:r>
    </w:p>
    <w:p w14:paraId="11B25EF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3、在设备、系统、计算机软件等产品或服务中非法植入后门程序等恶意程序或破坏性程序；</w:t>
      </w:r>
    </w:p>
    <w:p w14:paraId="5AB08CF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4、利用提供产品或服务的便利条件非法获取用户个人信息等数据及重要运营数据、非法控制和操纵用户设备；</w:t>
      </w:r>
    </w:p>
    <w:p w14:paraId="311F78A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5、未经贵公司同意擅自公开所提供产品或服务的源代码；</w:t>
      </w:r>
    </w:p>
    <w:p w14:paraId="2799681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6、未经贵公司同意探测、发布贵公司及其关联方（“中国电信”）的网络、终端、信息系统漏洞，对中国电信运营的网络开展渗透测试；</w:t>
      </w:r>
    </w:p>
    <w:p w14:paraId="6846233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7、法律法规规定或合同约定的其他禁止行为。</w:t>
      </w:r>
    </w:p>
    <w:p w14:paraId="25787F8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十五、本单位承诺提供给贵公司的产品或服务已关闭与合同约定无关的端口，不存在与合同约定无关的进程。</w:t>
      </w:r>
    </w:p>
    <w:p w14:paraId="1D71979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十六 本单位承诺未经贵公司同意不得以任何形式对提供给贵公司的产品或服务进行任何操作。本单位承诺严格按最小化原则管理相关产品或服务的操作权限并事先征得贵公司同意。</w:t>
      </w:r>
    </w:p>
    <w:p w14:paraId="6C6C3A3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十七、本单位承诺对提供给贵公司的产品或服务在交付前完成已知病毒查杀、安全缺陷及漏洞扫描和修复，交付后对发现的安全缺陷、漏洞等风险及时采取补救措施。</w:t>
      </w:r>
    </w:p>
    <w:p w14:paraId="769B87C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十八、本单位承诺无正当理由不会中断所提供的产品或服务，亦不会中断提供必要的技术支持服务。</w:t>
      </w:r>
    </w:p>
    <w:p w14:paraId="10296E57">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770B80F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二十、本单位承诺同意并配合贵公司进行网络安全审查，检查的内容包括但不限于网络安全检查项、计算环境安全检查项、开发流程检查项、提供或委托处理数据的数据处理行为检查项等方面。</w:t>
      </w:r>
    </w:p>
    <w:p w14:paraId="10D7CBE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二十一、本单位承诺按要求提供网络安全审查工作需要的材料，严格履行网络安全审查中作出的承诺。</w:t>
      </w:r>
    </w:p>
    <w:p w14:paraId="0F215649">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02839A3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1D1B37D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二十四、本单位的信息安全责任人如下：</w:t>
      </w:r>
    </w:p>
    <w:p w14:paraId="7832716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姓名：[  ],职务：[  ],联系方式：[  ]</w:t>
      </w:r>
    </w:p>
    <w:p w14:paraId="15F6AB01">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二十五、本单位承诺要求并监督参与向贵公司提供产品或服务的本单位人员（“本单位人员”）履行本《网络及信息安全承诺书》项下的义务和责任，并对本单位人员的行为承担责任。</w:t>
      </w:r>
    </w:p>
    <w:p w14:paraId="0499A4C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二十六、本承诺书经本单位签署后，与合同同时生效。</w:t>
      </w:r>
    </w:p>
    <w:p w14:paraId="2E445BAC">
      <w:pPr>
        <w:shd w:val="clear"/>
        <w:spacing w:line="360" w:lineRule="exact"/>
        <w:ind w:firstLine="480" w:firstLineChars="200"/>
        <w:rPr>
          <w:rFonts w:ascii="仿宋" w:hAnsi="仿宋" w:eastAsia="仿宋"/>
          <w:sz w:val="24"/>
          <w:highlight w:val="none"/>
        </w:rPr>
      </w:pPr>
    </w:p>
    <w:p w14:paraId="1B5CCDF8">
      <w:pPr>
        <w:shd w:val="clear"/>
        <w:spacing w:line="360" w:lineRule="exact"/>
        <w:ind w:firstLine="480" w:firstLineChars="200"/>
        <w:rPr>
          <w:rFonts w:ascii="仿宋" w:hAnsi="仿宋" w:eastAsia="仿宋"/>
          <w:sz w:val="24"/>
          <w:highlight w:val="none"/>
        </w:rPr>
      </w:pPr>
    </w:p>
    <w:p w14:paraId="6B3A7DA5">
      <w:pPr>
        <w:shd w:val="clear"/>
        <w:spacing w:line="360" w:lineRule="exact"/>
        <w:rPr>
          <w:rFonts w:ascii="仿宋" w:hAnsi="仿宋" w:eastAsia="仿宋"/>
          <w:sz w:val="24"/>
          <w:highlight w:val="none"/>
        </w:rPr>
      </w:pPr>
      <w:r>
        <w:rPr>
          <w:rFonts w:hint="eastAsia" w:ascii="仿宋" w:hAnsi="仿宋" w:eastAsia="仿宋"/>
          <w:sz w:val="24"/>
          <w:highlight w:val="none"/>
        </w:rPr>
        <w:t>承诺单位（盖章）：[  ]</w:t>
      </w:r>
    </w:p>
    <w:p w14:paraId="3EF5E28C">
      <w:pPr>
        <w:shd w:val="clear"/>
        <w:spacing w:line="360" w:lineRule="exact"/>
        <w:rPr>
          <w:rFonts w:ascii="仿宋" w:hAnsi="仿宋" w:eastAsia="仿宋"/>
          <w:sz w:val="24"/>
          <w:highlight w:val="none"/>
        </w:rPr>
      </w:pPr>
      <w:r>
        <w:rPr>
          <w:rFonts w:hint="eastAsia" w:ascii="仿宋" w:hAnsi="仿宋" w:eastAsia="仿宋"/>
          <w:sz w:val="24"/>
          <w:highlight w:val="none"/>
        </w:rPr>
        <w:t>法定代表人/负责人</w:t>
      </w:r>
    </w:p>
    <w:p w14:paraId="10DFFE2E">
      <w:pPr>
        <w:shd w:val="clear"/>
        <w:spacing w:line="360" w:lineRule="exact"/>
        <w:rPr>
          <w:rFonts w:ascii="仿宋" w:hAnsi="仿宋" w:eastAsia="仿宋"/>
          <w:sz w:val="24"/>
          <w:highlight w:val="none"/>
        </w:rPr>
      </w:pPr>
      <w:r>
        <w:rPr>
          <w:rFonts w:hint="eastAsia" w:ascii="仿宋" w:hAnsi="仿宋" w:eastAsia="仿宋"/>
          <w:sz w:val="24"/>
          <w:highlight w:val="none"/>
        </w:rPr>
        <w:t>或授权代表（签字）：</w:t>
      </w:r>
    </w:p>
    <w:p w14:paraId="37538774">
      <w:pPr>
        <w:shd w:val="clear"/>
        <w:spacing w:line="360" w:lineRule="exact"/>
        <w:rPr>
          <w:rFonts w:ascii="仿宋" w:hAnsi="仿宋" w:eastAsia="仿宋"/>
          <w:color w:val="000000"/>
          <w:sz w:val="24"/>
          <w:highlight w:val="none"/>
        </w:rPr>
      </w:pPr>
    </w:p>
    <w:p w14:paraId="4D7E1275">
      <w:pPr>
        <w:widowControl/>
        <w:shd w:val="clear"/>
        <w:spacing w:line="360" w:lineRule="exact"/>
        <w:jc w:val="left"/>
        <w:rPr>
          <w:rFonts w:ascii="仿宋" w:hAnsi="仿宋" w:eastAsia="仿宋"/>
          <w:color w:val="000000"/>
          <w:highlight w:val="none"/>
        </w:rPr>
      </w:pPr>
      <w:r>
        <w:rPr>
          <w:rFonts w:ascii="仿宋" w:hAnsi="仿宋" w:eastAsia="仿宋"/>
          <w:color w:val="000000"/>
          <w:highlight w:val="none"/>
        </w:rPr>
        <w:br w:type="page"/>
      </w:r>
    </w:p>
    <w:p w14:paraId="7746E230">
      <w:pPr>
        <w:tabs>
          <w:tab w:val="left" w:pos="588"/>
        </w:tabs>
        <w:snapToGrid w:val="0"/>
        <w:spacing w:before="120" w:after="120" w:line="440" w:lineRule="exact"/>
        <w:jc w:val="left"/>
        <w:outlineLvl w:val="2"/>
        <w:rPr>
          <w:rFonts w:hint="default" w:ascii="宋体" w:hAnsi="宋体" w:eastAsia="宋体"/>
          <w:b/>
          <w:bCs/>
          <w:sz w:val="24"/>
          <w:lang w:val="en-US" w:eastAsia="zh-CN"/>
        </w:rPr>
      </w:pPr>
      <w:bookmarkStart w:id="715" w:name="_Toc11604"/>
      <w:bookmarkStart w:id="716" w:name="_Toc23048"/>
      <w:bookmarkStart w:id="717" w:name="_Toc25762"/>
      <w:r>
        <w:rPr>
          <w:rFonts w:hint="eastAsia" w:ascii="宋体" w:hAnsi="宋体"/>
          <w:b/>
          <w:bCs/>
          <w:sz w:val="24"/>
        </w:rPr>
        <w:t>附件十</w:t>
      </w:r>
      <w:r>
        <w:rPr>
          <w:rFonts w:hint="eastAsia" w:ascii="宋体" w:hAnsi="宋体"/>
          <w:b/>
          <w:bCs/>
          <w:sz w:val="24"/>
          <w:lang w:val="en-US" w:eastAsia="zh-CN"/>
        </w:rPr>
        <w:t>四：廉洁协议</w:t>
      </w:r>
      <w:bookmarkEnd w:id="715"/>
      <w:bookmarkEnd w:id="716"/>
      <w:bookmarkEnd w:id="717"/>
    </w:p>
    <w:p w14:paraId="7CFB717E">
      <w:pPr>
        <w:shd w:val="clear"/>
        <w:spacing w:line="360" w:lineRule="exact"/>
        <w:jc w:val="center"/>
        <w:rPr>
          <w:rFonts w:ascii="仿宋" w:hAnsi="仿宋" w:eastAsia="仿宋"/>
          <w:b/>
          <w:sz w:val="28"/>
          <w:szCs w:val="28"/>
          <w:highlight w:val="none"/>
        </w:rPr>
      </w:pPr>
      <w:r>
        <w:rPr>
          <w:rFonts w:hint="eastAsia" w:ascii="仿宋" w:hAnsi="仿宋" w:eastAsia="仿宋"/>
          <w:b/>
          <w:sz w:val="28"/>
          <w:szCs w:val="28"/>
          <w:highlight w:val="none"/>
        </w:rPr>
        <w:t>廉洁协议</w:t>
      </w:r>
    </w:p>
    <w:p w14:paraId="56771275">
      <w:pPr>
        <w:shd w:val="clear"/>
        <w:spacing w:line="360" w:lineRule="exact"/>
        <w:jc w:val="center"/>
        <w:rPr>
          <w:rFonts w:ascii="仿宋" w:hAnsi="仿宋" w:eastAsia="仿宋"/>
          <w:b/>
          <w:sz w:val="28"/>
          <w:szCs w:val="28"/>
          <w:highlight w:val="none"/>
        </w:rPr>
      </w:pPr>
    </w:p>
    <w:p w14:paraId="33C91442">
      <w:pPr>
        <w:shd w:val="clear"/>
        <w:spacing w:line="360" w:lineRule="exact"/>
        <w:rPr>
          <w:rFonts w:ascii="仿宋" w:hAnsi="仿宋" w:eastAsia="仿宋"/>
          <w:sz w:val="24"/>
          <w:highlight w:val="none"/>
        </w:rPr>
      </w:pPr>
      <w:r>
        <w:rPr>
          <w:rFonts w:hint="eastAsia" w:ascii="仿宋" w:hAnsi="仿宋" w:eastAsia="仿宋"/>
          <w:sz w:val="24"/>
          <w:highlight w:val="none"/>
        </w:rPr>
        <w:t>甲方： 中国电信[</w:t>
      </w:r>
      <w:r>
        <w:rPr>
          <w:rFonts w:hint="eastAsia" w:ascii="仿宋" w:hAnsi="仿宋" w:eastAsia="仿宋"/>
          <w:sz w:val="24"/>
          <w:highlight w:val="none"/>
          <w:lang w:eastAsia="zh-CN"/>
        </w:rPr>
        <w:t>股份有限公司湖北分</w:t>
      </w:r>
      <w:r>
        <w:rPr>
          <w:rFonts w:hint="eastAsia" w:ascii="仿宋" w:hAnsi="仿宋" w:eastAsia="仿宋"/>
          <w:sz w:val="24"/>
          <w:highlight w:val="none"/>
        </w:rPr>
        <w:t xml:space="preserve">]公司  </w:t>
      </w:r>
    </w:p>
    <w:p w14:paraId="5316460F">
      <w:pPr>
        <w:shd w:val="clear"/>
        <w:spacing w:line="360" w:lineRule="exact"/>
        <w:rPr>
          <w:rFonts w:ascii="仿宋" w:hAnsi="仿宋" w:eastAsia="仿宋"/>
          <w:sz w:val="24"/>
          <w:highlight w:val="none"/>
        </w:rPr>
      </w:pPr>
      <w:r>
        <w:rPr>
          <w:rFonts w:hint="eastAsia" w:ascii="仿宋" w:hAnsi="仿宋" w:eastAsia="仿宋"/>
          <w:sz w:val="24"/>
          <w:highlight w:val="none"/>
        </w:rPr>
        <w:t xml:space="preserve">地址：[湖北省武汉市江汉区常青路158号]     </w:t>
      </w:r>
    </w:p>
    <w:p w14:paraId="1B339716">
      <w:pPr>
        <w:shd w:val="clear"/>
        <w:spacing w:line="360" w:lineRule="exact"/>
        <w:rPr>
          <w:rFonts w:ascii="仿宋" w:hAnsi="仿宋" w:eastAsia="仿宋"/>
          <w:sz w:val="24"/>
          <w:highlight w:val="none"/>
        </w:rPr>
      </w:pPr>
      <w:r>
        <w:rPr>
          <w:rFonts w:hint="eastAsia" w:ascii="仿宋" w:hAnsi="仿宋" w:eastAsia="仿宋"/>
          <w:sz w:val="24"/>
          <w:highlight w:val="none"/>
        </w:rPr>
        <w:t xml:space="preserve">法定代表人/负责人：[张敏]           </w:t>
      </w:r>
    </w:p>
    <w:p w14:paraId="722BC787">
      <w:pPr>
        <w:shd w:val="clear"/>
        <w:spacing w:line="360" w:lineRule="exact"/>
        <w:rPr>
          <w:rFonts w:ascii="仿宋" w:hAnsi="仿宋" w:eastAsia="仿宋"/>
          <w:sz w:val="24"/>
          <w:highlight w:val="none"/>
        </w:rPr>
      </w:pPr>
    </w:p>
    <w:p w14:paraId="6DD4D3B9">
      <w:pPr>
        <w:shd w:val="clear"/>
        <w:spacing w:line="360" w:lineRule="exact"/>
        <w:rPr>
          <w:rFonts w:ascii="仿宋" w:hAnsi="仿宋" w:eastAsia="仿宋"/>
          <w:sz w:val="24"/>
          <w:highlight w:val="none"/>
        </w:rPr>
      </w:pPr>
      <w:r>
        <w:rPr>
          <w:rFonts w:hint="eastAsia" w:ascii="仿宋" w:hAnsi="仿宋" w:eastAsia="仿宋"/>
          <w:sz w:val="24"/>
          <w:highlight w:val="none"/>
        </w:rPr>
        <w:t xml:space="preserve">乙方：[  ]     </w:t>
      </w:r>
    </w:p>
    <w:p w14:paraId="2D80057E">
      <w:pPr>
        <w:shd w:val="clear"/>
        <w:spacing w:line="360" w:lineRule="exact"/>
        <w:rPr>
          <w:rFonts w:ascii="仿宋" w:hAnsi="仿宋" w:eastAsia="仿宋"/>
          <w:sz w:val="24"/>
          <w:highlight w:val="none"/>
        </w:rPr>
      </w:pPr>
      <w:r>
        <w:rPr>
          <w:rFonts w:hint="eastAsia" w:ascii="仿宋" w:hAnsi="仿宋" w:eastAsia="仿宋"/>
          <w:sz w:val="24"/>
          <w:highlight w:val="none"/>
        </w:rPr>
        <w:t xml:space="preserve">地址：[  ]     </w:t>
      </w:r>
    </w:p>
    <w:p w14:paraId="24D86701">
      <w:pPr>
        <w:shd w:val="clear"/>
        <w:spacing w:line="360" w:lineRule="exact"/>
        <w:rPr>
          <w:rFonts w:ascii="仿宋" w:hAnsi="仿宋" w:eastAsia="仿宋"/>
          <w:sz w:val="24"/>
          <w:highlight w:val="none"/>
        </w:rPr>
      </w:pPr>
      <w:r>
        <w:rPr>
          <w:rFonts w:hint="eastAsia" w:ascii="仿宋" w:hAnsi="仿宋" w:eastAsia="仿宋"/>
          <w:sz w:val="24"/>
          <w:highlight w:val="none"/>
        </w:rPr>
        <w:t xml:space="preserve">法定代表人/负责人：[  ]           </w:t>
      </w:r>
    </w:p>
    <w:p w14:paraId="1A2B1CCB">
      <w:pPr>
        <w:shd w:val="clear"/>
        <w:spacing w:line="360" w:lineRule="exact"/>
        <w:rPr>
          <w:rFonts w:ascii="仿宋" w:hAnsi="仿宋" w:eastAsia="仿宋"/>
          <w:sz w:val="24"/>
          <w:highlight w:val="none"/>
        </w:rPr>
      </w:pPr>
    </w:p>
    <w:p w14:paraId="5DDDBB8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为确保甲乙双方在签订和履行《[  ]软件开发合同》（以下简称“合同”）过程中廉洁自律、诚实守信，防止违法违纪行为发生，保障双方合法权益，依据国家有关法律法规，经双方协商，达成以下协议：</w:t>
      </w:r>
    </w:p>
    <w:p w14:paraId="417B428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第一条甲方承诺</w:t>
      </w:r>
    </w:p>
    <w:p w14:paraId="2D49115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1.1严格遵守国家有关廉政规定。</w:t>
      </w:r>
    </w:p>
    <w:p w14:paraId="59FBEEA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1.2严格遵守中国电信集团廉洁自律有关规定。</w:t>
      </w:r>
    </w:p>
    <w:p w14:paraId="03929D7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1.3甲方及其工作人员不收受或变相收受乙方提供的礼品、礼金（礼券）、有价证券等任何形式的馈赠或无偿服务；不以任何形式向乙方索要任何财物；不在乙方报销应当由甲方或甲方工作人员个人支付的费用；不参加乙方安排的旅游或消费娱乐活动；不参加乙方宴请；不要求、不接受乙方为甲方工作人员或其亲属在住房、交通、婚丧嫁娶活动、工作安排或经商办企业等方面提供方便；不要求、不接受乙方为甲方工作人员或其亲属谋取利益。</w:t>
      </w:r>
    </w:p>
    <w:p w14:paraId="12A8E71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1.4甲方工作人员应当督促并保证其亲属不收受或变相收受乙方赠送的礼品、礼金（礼券）、有价证券等任何形式的馈赠或无偿服务；不以任何形式向乙方索要任何财物；不在乙方报销应当由亲属个人支付的费用；不参加乙方安排的旅游或消费娱乐活动；不参加乙方宴请。</w:t>
      </w:r>
    </w:p>
    <w:p w14:paraId="37245CE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1.5合同签订及履行期间不私下约见乙方工作人员。</w:t>
      </w:r>
    </w:p>
    <w:p w14:paraId="2152ECA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1.6除甲方依据合同依法披露外，不向乙方及任何其他第三方泄露甲方的任何商业秘密或技术秘密。</w:t>
      </w:r>
    </w:p>
    <w:p w14:paraId="4612CD5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1.7甲方工作人员不得默许或与乙方或其工作人员串通，为其谋取不正当利益。</w:t>
      </w:r>
    </w:p>
    <w:p w14:paraId="5123CA1D">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第二条乙方承诺</w:t>
      </w:r>
    </w:p>
    <w:p w14:paraId="75E33C2E">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2.1严格遵守国家有关廉政规定。</w:t>
      </w:r>
    </w:p>
    <w:p w14:paraId="7080F2A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2.2乙方及其工作人员不向甲方、甲方工作人员或其亲属提供礼品、礼金（礼券）、有价证券等任何形式的馈赠或无偿服务；不报销应当由甲方、甲方工作人员或其亲属个人支付的费用；不为甲方、甲方工作人员或其亲属安排旅游或消费娱乐活动；不宴请甲方、甲方工作人员或其亲属；不为甲方工作人员或其亲属在住房、交通、婚丧嫁娶活动、工作安排或经商办企业等方面提供任何形式的方便；不为甲方工作人员或其亲属谋取利益。</w:t>
      </w:r>
    </w:p>
    <w:p w14:paraId="6DE4085C">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2.3合同签订及履行期间不私下约见甲方工作人员；不到甲方工作人员家中或其他非办公场所商谈业务。</w:t>
      </w:r>
    </w:p>
    <w:p w14:paraId="23BE8608">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2.4不通过中介公司或任何单位、个人向甲方工作人员打招呼，施加压力。</w:t>
      </w:r>
    </w:p>
    <w:p w14:paraId="74EF5531">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2.5除甲方依据合同约定依法披露外，不向甲方、甲方工作人员或其亲属探听或要求其泄露甲方的任何商业秘密或技术秘密。</w:t>
      </w:r>
    </w:p>
    <w:p w14:paraId="728C1E2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2.6不以任何方式与甲方工作人员串通或者贿赂甲方工作人员，为乙方或其工作人员谋取不正当利益。</w:t>
      </w:r>
    </w:p>
    <w:p w14:paraId="5C67E414">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2.7除乙方及其工作人员外，乙方应当督促并保证与乙方存在关联关系的其他单位或个人不得实施本合同第二条约定的任一行为。</w:t>
      </w:r>
    </w:p>
    <w:p w14:paraId="689DC5AA">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2.8 [  ]。</w:t>
      </w:r>
    </w:p>
    <w:p w14:paraId="3E80614B">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第三条 监督及责任</w:t>
      </w:r>
    </w:p>
    <w:p w14:paraId="02B2E856">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3.1甲乙双方自觉接受监督。</w:t>
      </w:r>
    </w:p>
    <w:p w14:paraId="0D69CC30">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3.2如发现任何违反本合同的行为，双方均可向甲方监察部门举报。甲方监察部门根据规定，视情节对相关人员予以相应组织处理或纪律处分。涉嫌犯罪的，依法移送司法机关追究刑事责任。给对方造成经济损失的，应当予以赔偿。</w:t>
      </w:r>
    </w:p>
    <w:p w14:paraId="1C113E0F">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3.3甲方监察部门有权对合同签订及履行全过程进行监督，有权制止、纠正违反本合同的行为。</w:t>
      </w:r>
    </w:p>
    <w:p w14:paraId="757AE8D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3.4如乙方违反本合同约定，甲方有权视情节采取终止合同、将乙方纳入甲方违规失信合作商名单、否决乙方参加甲方其他项目的投标、参选和报价等1至3年等措施。</w:t>
      </w:r>
    </w:p>
    <w:p w14:paraId="6EE14965">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第四条其他</w:t>
      </w:r>
    </w:p>
    <w:p w14:paraId="44C1F223">
      <w:pPr>
        <w:shd w:val="clear"/>
        <w:spacing w:line="360" w:lineRule="exact"/>
        <w:ind w:firstLine="480" w:firstLineChars="200"/>
        <w:rPr>
          <w:rFonts w:ascii="仿宋" w:hAnsi="仿宋" w:eastAsia="仿宋"/>
          <w:sz w:val="24"/>
          <w:highlight w:val="none"/>
        </w:rPr>
      </w:pPr>
      <w:r>
        <w:rPr>
          <w:rFonts w:hint="eastAsia" w:ascii="仿宋" w:hAnsi="仿宋" w:eastAsia="仿宋"/>
          <w:sz w:val="24"/>
          <w:highlight w:val="none"/>
        </w:rPr>
        <w:t>本协议自双方签字盖章（若使用电子印章的，经双方盖章）后与合同同时生效。若甲方加盖电子印章的，以加盖甲方电子印章的本协议电子文档所载内容为准。</w:t>
      </w:r>
    </w:p>
    <w:p w14:paraId="7664C4CF">
      <w:pPr>
        <w:shd w:val="clear"/>
        <w:spacing w:line="360" w:lineRule="exact"/>
        <w:rPr>
          <w:rFonts w:ascii="仿宋" w:hAnsi="仿宋" w:eastAsia="仿宋"/>
          <w:sz w:val="24"/>
          <w:highlight w:val="none"/>
        </w:rPr>
      </w:pPr>
    </w:p>
    <w:p w14:paraId="0834DC2B">
      <w:pPr>
        <w:shd w:val="clear"/>
        <w:spacing w:line="360" w:lineRule="exact"/>
        <w:rPr>
          <w:rFonts w:ascii="仿宋" w:hAnsi="仿宋" w:eastAsia="仿宋"/>
          <w:sz w:val="24"/>
          <w:highlight w:val="none"/>
        </w:rPr>
      </w:pPr>
      <w:r>
        <w:rPr>
          <w:rFonts w:hint="eastAsia" w:ascii="仿宋" w:hAnsi="仿宋" w:eastAsia="仿宋"/>
          <w:sz w:val="24"/>
          <w:highlight w:val="none"/>
        </w:rPr>
        <w:t>甲方：中国电信[</w:t>
      </w:r>
      <w:r>
        <w:rPr>
          <w:rFonts w:hint="eastAsia" w:ascii="仿宋" w:hAnsi="仿宋" w:eastAsia="仿宋"/>
          <w:sz w:val="24"/>
          <w:highlight w:val="none"/>
          <w:lang w:eastAsia="zh-CN"/>
        </w:rPr>
        <w:t>股份有限公司湖北分</w:t>
      </w:r>
      <w:r>
        <w:rPr>
          <w:rFonts w:hint="eastAsia" w:ascii="仿宋" w:hAnsi="仿宋" w:eastAsia="仿宋"/>
          <w:sz w:val="24"/>
          <w:highlight w:val="none"/>
        </w:rPr>
        <w:t>]公司</w:t>
      </w:r>
      <w:r>
        <w:rPr>
          <w:rFonts w:hint="eastAsia" w:ascii="仿宋" w:hAnsi="仿宋" w:eastAsia="仿宋"/>
          <w:sz w:val="24"/>
          <w:highlight w:val="none"/>
        </w:rPr>
        <w:tab/>
      </w:r>
      <w:r>
        <w:rPr>
          <w:rFonts w:hint="eastAsia" w:ascii="仿宋" w:hAnsi="仿宋" w:eastAsia="仿宋"/>
          <w:sz w:val="24"/>
          <w:highlight w:val="none"/>
        </w:rPr>
        <w:tab/>
      </w:r>
      <w:r>
        <w:rPr>
          <w:rFonts w:hint="eastAsia" w:ascii="仿宋" w:hAnsi="仿宋" w:eastAsia="仿宋"/>
          <w:sz w:val="24"/>
          <w:highlight w:val="none"/>
        </w:rPr>
        <w:tab/>
      </w:r>
    </w:p>
    <w:p w14:paraId="1821EBE8">
      <w:pPr>
        <w:shd w:val="clear"/>
        <w:spacing w:line="360" w:lineRule="exact"/>
        <w:rPr>
          <w:rFonts w:ascii="仿宋" w:hAnsi="仿宋" w:eastAsia="仿宋"/>
          <w:sz w:val="24"/>
          <w:highlight w:val="none"/>
        </w:rPr>
      </w:pPr>
      <w:r>
        <w:rPr>
          <w:rFonts w:hint="eastAsia" w:ascii="仿宋" w:hAnsi="仿宋" w:eastAsia="仿宋"/>
          <w:sz w:val="24"/>
          <w:highlight w:val="none"/>
        </w:rPr>
        <w:t xml:space="preserve">法定代表人/负责人               </w:t>
      </w:r>
    </w:p>
    <w:p w14:paraId="6C3AF3AB">
      <w:pPr>
        <w:shd w:val="clear"/>
        <w:spacing w:line="360" w:lineRule="exact"/>
        <w:rPr>
          <w:rFonts w:ascii="仿宋" w:hAnsi="仿宋" w:eastAsia="仿宋"/>
          <w:sz w:val="24"/>
          <w:highlight w:val="none"/>
        </w:rPr>
      </w:pPr>
      <w:r>
        <w:rPr>
          <w:rFonts w:hint="eastAsia" w:ascii="仿宋" w:hAnsi="仿宋" w:eastAsia="仿宋"/>
          <w:sz w:val="24"/>
          <w:highlight w:val="none"/>
        </w:rPr>
        <w:t>或授权代表：</w:t>
      </w:r>
    </w:p>
    <w:p w14:paraId="22941482">
      <w:pPr>
        <w:shd w:val="clear"/>
        <w:spacing w:line="360" w:lineRule="exact"/>
        <w:rPr>
          <w:rFonts w:ascii="仿宋" w:hAnsi="仿宋" w:eastAsia="仿宋"/>
          <w:sz w:val="24"/>
          <w:highlight w:val="none"/>
        </w:rPr>
      </w:pPr>
    </w:p>
    <w:p w14:paraId="2C0A34CB">
      <w:pPr>
        <w:shd w:val="clear"/>
        <w:spacing w:line="360" w:lineRule="exact"/>
        <w:rPr>
          <w:rFonts w:ascii="仿宋" w:hAnsi="仿宋" w:eastAsia="仿宋"/>
          <w:sz w:val="24"/>
          <w:highlight w:val="none"/>
        </w:rPr>
      </w:pPr>
    </w:p>
    <w:p w14:paraId="29C9DB3E">
      <w:pPr>
        <w:shd w:val="clear"/>
        <w:spacing w:line="360" w:lineRule="exact"/>
        <w:rPr>
          <w:rFonts w:ascii="仿宋" w:hAnsi="仿宋" w:eastAsia="仿宋"/>
          <w:sz w:val="24"/>
          <w:highlight w:val="none"/>
        </w:rPr>
      </w:pPr>
      <w:r>
        <w:rPr>
          <w:rFonts w:hint="eastAsia" w:ascii="仿宋" w:hAnsi="仿宋" w:eastAsia="仿宋"/>
          <w:sz w:val="24"/>
          <w:highlight w:val="none"/>
        </w:rPr>
        <w:t xml:space="preserve">乙方：[  ]    </w:t>
      </w:r>
    </w:p>
    <w:p w14:paraId="19D03706">
      <w:pPr>
        <w:shd w:val="clear"/>
        <w:spacing w:line="360" w:lineRule="exact"/>
        <w:rPr>
          <w:rFonts w:ascii="仿宋" w:hAnsi="仿宋" w:eastAsia="仿宋"/>
          <w:sz w:val="24"/>
          <w:highlight w:val="none"/>
        </w:rPr>
      </w:pPr>
      <w:r>
        <w:rPr>
          <w:rFonts w:hint="eastAsia" w:ascii="仿宋" w:hAnsi="仿宋" w:eastAsia="仿宋"/>
          <w:sz w:val="24"/>
          <w:highlight w:val="none"/>
        </w:rPr>
        <w:t>法定代表人/负责人</w:t>
      </w:r>
    </w:p>
    <w:p w14:paraId="347DC7F6">
      <w:pPr>
        <w:shd w:val="clear"/>
        <w:spacing w:line="360" w:lineRule="exact"/>
        <w:rPr>
          <w:rFonts w:hint="eastAsia" w:ascii="仿宋" w:hAnsi="仿宋" w:eastAsia="仿宋"/>
          <w:sz w:val="24"/>
          <w:highlight w:val="none"/>
        </w:rPr>
      </w:pPr>
      <w:r>
        <w:rPr>
          <w:rFonts w:hint="eastAsia" w:ascii="仿宋" w:hAnsi="仿宋" w:eastAsia="仿宋"/>
          <w:sz w:val="24"/>
          <w:highlight w:val="none"/>
        </w:rPr>
        <w:t>或授权代表：</w:t>
      </w:r>
    </w:p>
    <w:p w14:paraId="673CC013">
      <w:pPr>
        <w:shd w:val="clear"/>
        <w:spacing w:line="240" w:lineRule="auto"/>
        <w:rPr>
          <w:rFonts w:hint="eastAsia" w:ascii="仿宋" w:hAnsi="仿宋" w:eastAsia="仿宋"/>
          <w:sz w:val="24"/>
          <w:highlight w:val="none"/>
        </w:rPr>
      </w:pPr>
      <w:r>
        <w:rPr>
          <w:rFonts w:hint="eastAsia" w:ascii="仿宋" w:hAnsi="仿宋" w:eastAsia="仿宋"/>
          <w:sz w:val="24"/>
          <w:highlight w:val="none"/>
        </w:rPr>
        <w:br w:type="page"/>
      </w:r>
    </w:p>
    <w:p w14:paraId="268B3760">
      <w:pPr>
        <w:tabs>
          <w:tab w:val="left" w:pos="588"/>
        </w:tabs>
        <w:snapToGrid w:val="0"/>
        <w:spacing w:before="120" w:after="120" w:line="440" w:lineRule="exact"/>
        <w:jc w:val="left"/>
        <w:outlineLvl w:val="2"/>
        <w:rPr>
          <w:rFonts w:hint="default" w:ascii="宋体" w:hAnsi="宋体"/>
          <w:b/>
          <w:bCs/>
          <w:sz w:val="24"/>
          <w:lang w:val="en-US" w:eastAsia="zh-CN"/>
        </w:rPr>
      </w:pPr>
      <w:bookmarkStart w:id="718" w:name="_Toc17591"/>
      <w:bookmarkStart w:id="719" w:name="_Toc26628"/>
      <w:bookmarkStart w:id="720" w:name="_Toc2914"/>
      <w:r>
        <w:rPr>
          <w:rFonts w:hint="eastAsia" w:ascii="宋体" w:hAnsi="宋体"/>
          <w:b/>
          <w:bCs/>
          <w:sz w:val="24"/>
          <w:lang w:val="en-US" w:eastAsia="zh-CN"/>
        </w:rPr>
        <w:t>附件十五：第三方数据安全协议</w:t>
      </w:r>
      <w:bookmarkEnd w:id="718"/>
      <w:bookmarkEnd w:id="719"/>
      <w:bookmarkEnd w:id="720"/>
    </w:p>
    <w:p w14:paraId="575F3337">
      <w:pPr>
        <w:shd w:val="clear"/>
        <w:jc w:val="center"/>
        <w:rPr>
          <w:rFonts w:ascii="方正小标宋简体" w:eastAsia="方正小标宋简体"/>
          <w:sz w:val="32"/>
          <w:szCs w:val="32"/>
          <w:highlight w:val="none"/>
        </w:rPr>
      </w:pPr>
      <w:r>
        <w:rPr>
          <w:rFonts w:hint="eastAsia" w:ascii="仿宋" w:hAnsi="仿宋" w:eastAsia="仿宋" w:cs="仿宋"/>
          <w:b/>
          <w:bCs/>
          <w:color w:val="auto"/>
          <w:sz w:val="28"/>
          <w:szCs w:val="28"/>
          <w:highlight w:val="none"/>
        </w:rPr>
        <w:t>第三方数据安全协议</w:t>
      </w:r>
    </w:p>
    <w:p w14:paraId="6B3ECAE8">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协议</w:t>
      </w:r>
      <w:r>
        <w:rPr>
          <w:rFonts w:hint="eastAsia" w:ascii="仿宋" w:hAnsi="仿宋" w:eastAsia="仿宋" w:cs="仿宋"/>
          <w:sz w:val="24"/>
          <w:szCs w:val="24"/>
          <w:highlight w:val="none"/>
        </w:rPr>
        <w:t>签订地：[湖北武汉]</w:t>
      </w:r>
    </w:p>
    <w:p w14:paraId="33537B2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03792F1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甲方：</w:t>
      </w:r>
      <w:r>
        <w:rPr>
          <w:rFonts w:hint="eastAsia" w:ascii="仿宋" w:hAnsi="仿宋" w:eastAsia="仿宋" w:cs="仿宋"/>
          <w:sz w:val="24"/>
          <w:szCs w:val="24"/>
          <w:highlight w:val="none"/>
          <w:lang w:val="en-US" w:eastAsia="zh-CN"/>
        </w:rPr>
        <w:t>[中国电信[股份有限公司湖北分]公司]</w:t>
      </w:r>
    </w:p>
    <w:p w14:paraId="56147FF4">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default" w:ascii="仿宋" w:hAnsi="仿宋" w:eastAsia="仿宋" w:cs="仿宋"/>
          <w:sz w:val="24"/>
          <w:szCs w:val="24"/>
          <w:highlight w:val="none"/>
          <w:lang w:val="en-US" w:eastAsia="zh-CN"/>
        </w:rPr>
      </w:pPr>
      <w:r>
        <w:rPr>
          <w:rFonts w:hint="default" w:ascii="仿宋" w:hAnsi="仿宋" w:eastAsia="仿宋" w:cs="仿宋"/>
          <w:sz w:val="24"/>
          <w:szCs w:val="24"/>
          <w:highlight w:val="none"/>
          <w:lang w:val="en-US" w:eastAsia="zh-CN"/>
        </w:rPr>
        <w:t>通讯地址：[湖北省武汉市江汉区常青路158号]</w:t>
      </w:r>
    </w:p>
    <w:p w14:paraId="0E3E859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default" w:ascii="仿宋" w:hAnsi="仿宋" w:eastAsia="仿宋" w:cs="仿宋"/>
          <w:sz w:val="24"/>
          <w:szCs w:val="24"/>
          <w:highlight w:val="none"/>
          <w:lang w:val="en-US" w:eastAsia="zh-CN"/>
        </w:rPr>
      </w:pPr>
      <w:r>
        <w:rPr>
          <w:rFonts w:hint="default" w:ascii="仿宋" w:hAnsi="仿宋" w:eastAsia="仿宋" w:cs="仿宋"/>
          <w:sz w:val="24"/>
          <w:szCs w:val="24"/>
          <w:highlight w:val="none"/>
          <w:lang w:val="en-US" w:eastAsia="zh-CN"/>
        </w:rPr>
        <w:t>法定代表人/负责人：[张敏]</w:t>
      </w:r>
    </w:p>
    <w:p w14:paraId="5761072C">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  ]</w:t>
      </w:r>
    </w:p>
    <w:p w14:paraId="00B54DB3">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电子邮箱：</w:t>
      </w:r>
      <w:r>
        <w:rPr>
          <w:rFonts w:hint="eastAsia" w:ascii="仿宋" w:hAnsi="仿宋" w:eastAsia="仿宋" w:cs="仿宋"/>
          <w:sz w:val="24"/>
          <w:szCs w:val="24"/>
          <w:highlight w:val="none"/>
          <w:lang w:val="en-US" w:eastAsia="zh-CN"/>
        </w:rPr>
        <w:t>[  ]</w:t>
      </w:r>
    </w:p>
    <w:p w14:paraId="22BAB2B7">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  ]</w:t>
      </w:r>
    </w:p>
    <w:p w14:paraId="07140084">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67BD9E6B">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乙方：</w:t>
      </w:r>
      <w:r>
        <w:rPr>
          <w:rFonts w:hint="eastAsia" w:ascii="仿宋" w:hAnsi="仿宋" w:eastAsia="仿宋" w:cs="仿宋"/>
          <w:sz w:val="24"/>
          <w:szCs w:val="24"/>
          <w:highlight w:val="none"/>
          <w:lang w:val="en-US" w:eastAsia="zh-CN"/>
        </w:rPr>
        <w:t>[  ]</w:t>
      </w:r>
    </w:p>
    <w:p w14:paraId="692F1B6C">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通讯地址：</w:t>
      </w:r>
      <w:r>
        <w:rPr>
          <w:rFonts w:hint="eastAsia" w:ascii="仿宋" w:hAnsi="仿宋" w:eastAsia="仿宋" w:cs="仿宋"/>
          <w:sz w:val="24"/>
          <w:szCs w:val="24"/>
          <w:highlight w:val="none"/>
          <w:lang w:val="en-US" w:eastAsia="zh-CN"/>
        </w:rPr>
        <w:t>[  ]</w:t>
      </w:r>
    </w:p>
    <w:p w14:paraId="1828585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default" w:ascii="仿宋" w:hAnsi="仿宋" w:eastAsia="仿宋" w:cs="仿宋"/>
          <w:sz w:val="24"/>
          <w:szCs w:val="24"/>
          <w:highlight w:val="none"/>
          <w:lang w:val="en-US" w:eastAsia="zh-CN"/>
        </w:rPr>
        <w:t>法定代表人/负责人：[  ]</w:t>
      </w:r>
    </w:p>
    <w:p w14:paraId="210E6C92">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  ]</w:t>
      </w:r>
    </w:p>
    <w:p w14:paraId="41BDD605">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电子邮箱：</w:t>
      </w:r>
      <w:r>
        <w:rPr>
          <w:rFonts w:hint="eastAsia" w:ascii="仿宋" w:hAnsi="仿宋" w:eastAsia="仿宋" w:cs="仿宋"/>
          <w:sz w:val="24"/>
          <w:szCs w:val="24"/>
          <w:highlight w:val="none"/>
          <w:lang w:val="en-US" w:eastAsia="zh-CN"/>
        </w:rPr>
        <w:t>[  ]</w:t>
      </w:r>
    </w:p>
    <w:p w14:paraId="090A8A09">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  ]</w:t>
      </w:r>
    </w:p>
    <w:p w14:paraId="7E24A1D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3A1F12D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甲乙双方于</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年</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月</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日签订了《</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合同》，合同</w:t>
      </w:r>
      <w:r>
        <w:rPr>
          <w:rFonts w:hint="eastAsia" w:ascii="仿宋" w:hAnsi="仿宋" w:eastAsia="仿宋" w:cs="仿宋"/>
          <w:sz w:val="24"/>
          <w:szCs w:val="24"/>
          <w:highlight w:val="none"/>
          <w:lang w:val="en-US" w:eastAsia="zh-CN"/>
        </w:rPr>
        <w:t>编号[  ]</w:t>
      </w:r>
      <w:r>
        <w:rPr>
          <w:rFonts w:hint="eastAsia" w:ascii="仿宋" w:hAnsi="仿宋" w:eastAsia="仿宋" w:cs="仿宋"/>
          <w:sz w:val="24"/>
          <w:szCs w:val="24"/>
          <w:highlight w:val="none"/>
        </w:rPr>
        <w:t>（以下简称“业务合同”），为履行该业务合同，双方会进行数据合作。为保护数据安全，明确双方责任与义务，遵守相关法律法规，双方共同达成本协议，以资共同信守。</w:t>
      </w:r>
    </w:p>
    <w:p w14:paraId="187A22D0">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第一条</w:t>
      </w:r>
      <w:r>
        <w:rPr>
          <w:rFonts w:hint="eastAsia" w:ascii="仿宋" w:hAnsi="仿宋" w:eastAsia="仿宋" w:cs="仿宋"/>
          <w:b/>
          <w:bCs/>
          <w:sz w:val="24"/>
          <w:szCs w:val="24"/>
          <w:highlight w:val="none"/>
        </w:rPr>
        <w:t>定义</w:t>
      </w:r>
    </w:p>
    <w:p w14:paraId="7FB5237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w:t>
      </w:r>
      <w:r>
        <w:rPr>
          <w:rFonts w:hint="eastAsia" w:ascii="仿宋" w:hAnsi="仿宋" w:eastAsia="仿宋" w:cs="仿宋"/>
          <w:sz w:val="24"/>
          <w:szCs w:val="24"/>
          <w:highlight w:val="none"/>
        </w:rPr>
        <w:t>数据：本协议中的数据，包括业务数据等一方基于业务合同及本协议的约定向另一方提供的全部信息与数据。包括但不限于下述个人信息及业务数据：</w:t>
      </w:r>
    </w:p>
    <w:p w14:paraId="70B6421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w:t>
      </w:r>
      <w:r>
        <w:rPr>
          <w:rFonts w:hint="eastAsia" w:ascii="仿宋" w:hAnsi="仿宋" w:eastAsia="仿宋" w:cs="仿宋"/>
          <w:sz w:val="24"/>
          <w:szCs w:val="24"/>
          <w:highlight w:val="none"/>
        </w:rPr>
        <w:t>个人信息：是指以电子或者其他方式记录的与已识别或者可识别的自然人有关的各种信息，包括但不限于自然人的姓名、手机号码、地址、设备识别信息、用户画像等。个人信息的判定方法与类型按照国家有关数据保护法律之规定执行。</w:t>
      </w:r>
    </w:p>
    <w:p w14:paraId="57A31CB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1.3</w:t>
      </w:r>
      <w:r>
        <w:rPr>
          <w:rFonts w:hint="eastAsia" w:ascii="仿宋" w:hAnsi="仿宋" w:eastAsia="仿宋" w:cs="仿宋"/>
          <w:sz w:val="24"/>
          <w:szCs w:val="24"/>
          <w:highlight w:val="none"/>
        </w:rPr>
        <w:t>业务数据：业务数据是一方在从事经营活动中产生的经营信息、商品信息、广告素材等信息及数据，同时也包括承载业务运行的各种软硬件资源的基础资源数据、运行管理数据和统计分析数据等。</w:t>
      </w:r>
    </w:p>
    <w:p w14:paraId="508FAFF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1.4</w:t>
      </w:r>
      <w:r>
        <w:rPr>
          <w:rFonts w:hint="eastAsia" w:ascii="仿宋" w:hAnsi="仿宋" w:eastAsia="仿宋" w:cs="仿宋"/>
          <w:sz w:val="24"/>
          <w:szCs w:val="24"/>
          <w:highlight w:val="none"/>
        </w:rPr>
        <w:t>个人信息处理者：是指在个人信息处理活动中自主决定处理目的、处理方式的组织或个人。</w:t>
      </w:r>
    </w:p>
    <w:p w14:paraId="5458F98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w:t>
      </w:r>
      <w:r>
        <w:rPr>
          <w:rFonts w:hint="eastAsia" w:ascii="仿宋" w:hAnsi="仿宋" w:eastAsia="仿宋" w:cs="仿宋"/>
          <w:sz w:val="24"/>
          <w:szCs w:val="24"/>
          <w:highlight w:val="none"/>
        </w:rPr>
        <w:t>个人信息主体：个人信息所标识或者关联的自然人。</w:t>
      </w:r>
    </w:p>
    <w:p w14:paraId="35FCC0F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1.6</w:t>
      </w:r>
      <w:r>
        <w:rPr>
          <w:rFonts w:hint="eastAsia" w:ascii="仿宋" w:hAnsi="仿宋" w:eastAsia="仿宋" w:cs="仿宋"/>
          <w:sz w:val="24"/>
          <w:szCs w:val="24"/>
          <w:highlight w:val="none"/>
        </w:rPr>
        <w:t>数据合作：甲方与乙方通过本协议约定的方式，就数据开展转让、共享、委托处理等合作的行为。具体合作方式由双方在业务合同或本协议中具体约定。</w:t>
      </w:r>
    </w:p>
    <w:p w14:paraId="7755826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1.7</w:t>
      </w:r>
      <w:r>
        <w:rPr>
          <w:rFonts w:hint="eastAsia" w:ascii="仿宋" w:hAnsi="仿宋" w:eastAsia="仿宋" w:cs="仿宋"/>
          <w:sz w:val="24"/>
          <w:szCs w:val="24"/>
          <w:highlight w:val="none"/>
        </w:rPr>
        <w:t>数据处理：是指对数据进行的任何操作或者一系列操作，包括但不限于数据收集、记录、分析、存储、查询、使用、传输、披露、共享、转让、更正、删除、备份、或者销毁等操作。</w:t>
      </w:r>
    </w:p>
    <w:p w14:paraId="5D08CAC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1.8</w:t>
      </w:r>
      <w:r>
        <w:rPr>
          <w:rFonts w:hint="eastAsia" w:ascii="仿宋" w:hAnsi="仿宋" w:eastAsia="仿宋" w:cs="仿宋"/>
          <w:sz w:val="24"/>
          <w:szCs w:val="24"/>
          <w:highlight w:val="none"/>
        </w:rPr>
        <w:t>数据处理结果：数据接收方对数据提供方提供的数据进行数据处理，由此产生的新的数据信息、聚合报告、分析报告、统计结果等全部信息、数据、资料，统称数据处理结果。</w:t>
      </w:r>
    </w:p>
    <w:p w14:paraId="42F67446">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1.9</w:t>
      </w:r>
      <w:r>
        <w:rPr>
          <w:rFonts w:hint="eastAsia" w:ascii="仿宋" w:hAnsi="仿宋" w:eastAsia="仿宋" w:cs="仿宋"/>
          <w:sz w:val="24"/>
          <w:szCs w:val="24"/>
          <w:highlight w:val="none"/>
        </w:rPr>
        <w:t>数据保护法律：指中国境内与个人信息保护和数据保护有关的法律、行政法规、规范性文件、监管政策等。</w:t>
      </w:r>
    </w:p>
    <w:p w14:paraId="72236C5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第二条</w:t>
      </w:r>
      <w:r>
        <w:rPr>
          <w:rFonts w:hint="eastAsia" w:ascii="仿宋" w:hAnsi="仿宋" w:eastAsia="仿宋" w:cs="仿宋"/>
          <w:b/>
          <w:bCs/>
          <w:sz w:val="24"/>
          <w:szCs w:val="24"/>
          <w:highlight w:val="none"/>
        </w:rPr>
        <w:t>合作内容</w:t>
      </w:r>
    </w:p>
    <w:p w14:paraId="4745684F">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2.1</w:t>
      </w:r>
      <w:r>
        <w:rPr>
          <w:rFonts w:hint="eastAsia" w:ascii="仿宋" w:hAnsi="仿宋" w:eastAsia="仿宋" w:cs="仿宋"/>
          <w:sz w:val="24"/>
          <w:szCs w:val="24"/>
          <w:highlight w:val="none"/>
        </w:rPr>
        <w:t>合作数据及授权范围。合作数据的数据类型及授权范围等，双方遵照业务合同及/或本协议附件（如有）执行。如在数据合作期间，前述约定的内容发生增加、减少等任何变化，双方须另行以书面形式对前述变化进行确认，并遵照双方确认一致的最新数据类型及授权范围执行。对于变化后的数据类型及授权范围，各方权利义务及责任承担等仍适用本协议的约定。</w:t>
      </w:r>
    </w:p>
    <w:p w14:paraId="512327B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2.2</w:t>
      </w:r>
      <w:r>
        <w:rPr>
          <w:rFonts w:hint="eastAsia" w:ascii="仿宋" w:hAnsi="仿宋" w:eastAsia="仿宋" w:cs="仿宋"/>
          <w:sz w:val="24"/>
          <w:szCs w:val="24"/>
          <w:highlight w:val="none"/>
        </w:rPr>
        <w:t>合作方式。</w:t>
      </w:r>
    </w:p>
    <w:p w14:paraId="00F45836">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具体合作方式为</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(或见主协议合作部分)。</w:t>
      </w:r>
    </w:p>
    <w:p w14:paraId="7B72839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第三条</w:t>
      </w:r>
      <w:r>
        <w:rPr>
          <w:rFonts w:hint="eastAsia" w:ascii="仿宋" w:hAnsi="仿宋" w:eastAsia="仿宋" w:cs="仿宋"/>
          <w:b/>
          <w:bCs/>
          <w:sz w:val="24"/>
          <w:szCs w:val="24"/>
          <w:highlight w:val="none"/>
        </w:rPr>
        <w:t>数据使用的限制</w:t>
      </w:r>
    </w:p>
    <w:p w14:paraId="686DCB2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3.1</w:t>
      </w:r>
      <w:r>
        <w:rPr>
          <w:rFonts w:hint="eastAsia" w:ascii="仿宋" w:hAnsi="仿宋" w:eastAsia="仿宋" w:cs="仿宋"/>
          <w:sz w:val="24"/>
          <w:szCs w:val="24"/>
          <w:highlight w:val="none"/>
        </w:rPr>
        <w:t>甲方向乙方转让或共享数据时，乙方应当履行以下义务：</w:t>
      </w:r>
    </w:p>
    <w:p w14:paraId="38307BA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3.1.1</w:t>
      </w:r>
      <w:r>
        <w:rPr>
          <w:rFonts w:hint="eastAsia" w:ascii="仿宋" w:hAnsi="仿宋" w:eastAsia="仿宋" w:cs="仿宋"/>
          <w:sz w:val="24"/>
          <w:szCs w:val="24"/>
          <w:highlight w:val="none"/>
        </w:rPr>
        <w:t>严格按照甲方说明的授权范围进行相关的数据使用，包括但不限于：按照甲方说明的甲方已获得的个人信息主体授权同意范围进行个人信息处理活动；按照甲方对于其他数据的授权范围进行相关数据的使用等。具体要求双方遵照业务合同及/或本协议及附件（如有）的约定执行；</w:t>
      </w:r>
    </w:p>
    <w:p w14:paraId="041935C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3.1.2</w:t>
      </w:r>
      <w:r>
        <w:rPr>
          <w:rFonts w:hint="eastAsia" w:ascii="仿宋" w:hAnsi="仿宋" w:eastAsia="仿宋" w:cs="仿宋"/>
          <w:sz w:val="24"/>
          <w:szCs w:val="24"/>
          <w:highlight w:val="none"/>
        </w:rPr>
        <w:t>乙方不得超出本协议约定的授权范围进行任何数据处理活动或将合作数据向任何第三方转让、共享或公开披露。否则由此导致的责任与后果由乙方自行承担，并承担给甲方造成的损失；</w:t>
      </w:r>
    </w:p>
    <w:p w14:paraId="3C6A980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3.1.3</w:t>
      </w:r>
      <w:r>
        <w:rPr>
          <w:rFonts w:hint="eastAsia" w:ascii="仿宋" w:hAnsi="仿宋" w:eastAsia="仿宋" w:cs="仿宋"/>
          <w:sz w:val="24"/>
          <w:szCs w:val="24"/>
          <w:highlight w:val="none"/>
        </w:rPr>
        <w:t>乙方不得将甲方提供之数据传输至中国境外的其他任何国家或地区；</w:t>
      </w:r>
    </w:p>
    <w:p w14:paraId="63C8C59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3.1.4</w:t>
      </w:r>
      <w:r>
        <w:rPr>
          <w:rFonts w:hint="eastAsia" w:ascii="仿宋" w:hAnsi="仿宋" w:eastAsia="仿宋" w:cs="仿宋"/>
          <w:sz w:val="24"/>
          <w:szCs w:val="24"/>
          <w:highlight w:val="none"/>
        </w:rPr>
        <w:t>乙方进行任何的个人信息处理活动均不得违反本协议以及乙方与个人信息主体的约定。乙方应当确保其所有的个人信息处理活动均能够满足有关数据保护法律的要求，并自行对其违反本协议或数据保护法律规定的行为承担责任，并承担给甲方造成的损失。</w:t>
      </w:r>
    </w:p>
    <w:p w14:paraId="609980D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3.2</w:t>
      </w:r>
      <w:r>
        <w:rPr>
          <w:rFonts w:hint="eastAsia" w:ascii="仿宋" w:hAnsi="仿宋" w:eastAsia="仿宋" w:cs="仿宋"/>
          <w:sz w:val="24"/>
          <w:szCs w:val="24"/>
          <w:highlight w:val="none"/>
        </w:rPr>
        <w:t>甲方委托乙方进行数据处理时，乙方应履行以下义务：</w:t>
      </w:r>
    </w:p>
    <w:p w14:paraId="18EEC2E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3.2.1</w:t>
      </w:r>
      <w:r>
        <w:rPr>
          <w:rFonts w:hint="eastAsia" w:ascii="仿宋" w:hAnsi="仿宋" w:eastAsia="仿宋" w:cs="仿宋"/>
          <w:sz w:val="24"/>
          <w:szCs w:val="24"/>
          <w:highlight w:val="none"/>
        </w:rPr>
        <w:t>严格按照甲方的委托处理要求进行数据处理活动，包括但不限于甲方提出的数据类型、处理事项、处理期限、处理性质和目的等要求；</w:t>
      </w:r>
    </w:p>
    <w:p w14:paraId="073C3C2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3.2.2</w:t>
      </w:r>
      <w:r>
        <w:rPr>
          <w:rFonts w:hint="eastAsia" w:ascii="仿宋" w:hAnsi="仿宋" w:eastAsia="仿宋" w:cs="仿宋"/>
          <w:sz w:val="24"/>
          <w:szCs w:val="24"/>
          <w:highlight w:val="none"/>
        </w:rPr>
        <w:t>乙方进行任何数据处理活动均不得超出甲方的委托处理要求，否则由此导致的责任与后果由乙方自行承担，并承担给甲方造成的损失；</w:t>
      </w:r>
    </w:p>
    <w:p w14:paraId="640A7C4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3.2.3</w:t>
      </w:r>
      <w:r>
        <w:rPr>
          <w:rFonts w:hint="eastAsia" w:ascii="仿宋" w:hAnsi="仿宋" w:eastAsia="仿宋" w:cs="仿宋"/>
          <w:sz w:val="24"/>
          <w:szCs w:val="24"/>
          <w:highlight w:val="none"/>
        </w:rPr>
        <w:t>未经甲方事先书面同意，乙方不得擅自将其于本协议项下之责任或义务的部分或全部转让给任何第三方（包括但不限于乙方的关联公司），不得将甲方的委托处理事项转委托给任何第三方（包括但不限于乙方的关联公司），不得将甲方提供之数据传输至中国境外的其他任何国家或地区。</w:t>
      </w:r>
    </w:p>
    <w:p w14:paraId="5E5FCC80">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3.2.4</w:t>
      </w:r>
      <w:r>
        <w:rPr>
          <w:rFonts w:hint="eastAsia" w:ascii="仿宋" w:hAnsi="仿宋" w:eastAsia="仿宋" w:cs="仿宋"/>
          <w:sz w:val="24"/>
          <w:szCs w:val="24"/>
          <w:highlight w:val="none"/>
        </w:rPr>
        <w:t>乙方应当确保其所有的个人信息处理活动均能够满足有关数据保护法律的要求，并自行对其违反本协议或数据保护法律规定的行为承担责任，并承担给甲方造成的损失。</w:t>
      </w:r>
    </w:p>
    <w:p w14:paraId="6C48DAB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3.3</w:t>
      </w:r>
      <w:r>
        <w:rPr>
          <w:rFonts w:hint="eastAsia" w:ascii="仿宋" w:hAnsi="仿宋" w:eastAsia="仿宋" w:cs="仿宋"/>
          <w:sz w:val="24"/>
          <w:szCs w:val="24"/>
          <w:highlight w:val="none"/>
        </w:rPr>
        <w:t>乙方进行任何个人信息处理活动，均应当遵循以下原则：</w:t>
      </w:r>
    </w:p>
    <w:p w14:paraId="3D9E9BD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3.3.1</w:t>
      </w:r>
      <w:r>
        <w:rPr>
          <w:rFonts w:hint="eastAsia" w:ascii="仿宋" w:hAnsi="仿宋" w:eastAsia="仿宋" w:cs="仿宋"/>
          <w:sz w:val="24"/>
          <w:szCs w:val="24"/>
          <w:highlight w:val="none"/>
        </w:rPr>
        <w:t>权责一致原则：采取技术和其他必要的措施保障个人信息的安全， 对其个人信息处理活动对个人信息主体合法权益造成的损害承担责任；</w:t>
      </w:r>
    </w:p>
    <w:p w14:paraId="2795CA2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3.3.2</w:t>
      </w:r>
      <w:r>
        <w:rPr>
          <w:rFonts w:hint="eastAsia" w:ascii="仿宋" w:hAnsi="仿宋" w:eastAsia="仿宋" w:cs="仿宋"/>
          <w:sz w:val="24"/>
          <w:szCs w:val="24"/>
          <w:highlight w:val="none"/>
        </w:rPr>
        <w:t>最小必要原则：只处理满足个人信息主体授权同意的目的所需的最少个人信息类型和数量。目的达成后，应及时删除个人信息；</w:t>
      </w:r>
    </w:p>
    <w:p w14:paraId="1DCE8B5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3.3.3</w:t>
      </w:r>
      <w:r>
        <w:rPr>
          <w:rFonts w:hint="eastAsia" w:ascii="仿宋" w:hAnsi="仿宋" w:eastAsia="仿宋" w:cs="仿宋"/>
          <w:sz w:val="24"/>
          <w:szCs w:val="24"/>
          <w:highlight w:val="none"/>
        </w:rPr>
        <w:t>确保安全原则：具备与所面临的安全风险相匹配的安全能力，并采取足够的管理措施和技术手段，保护个人信息的保密性、完整性、可用性。</w:t>
      </w:r>
    </w:p>
    <w:p w14:paraId="0EF7362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第四条</w:t>
      </w:r>
      <w:r>
        <w:rPr>
          <w:rFonts w:hint="eastAsia" w:ascii="仿宋" w:hAnsi="仿宋" w:eastAsia="仿宋" w:cs="仿宋"/>
          <w:b/>
          <w:bCs/>
          <w:sz w:val="24"/>
          <w:szCs w:val="24"/>
          <w:highlight w:val="none"/>
        </w:rPr>
        <w:t>数据的存储与传输</w:t>
      </w:r>
    </w:p>
    <w:p w14:paraId="541BF00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4.1</w:t>
      </w:r>
      <w:r>
        <w:rPr>
          <w:rFonts w:hint="eastAsia" w:ascii="仿宋" w:hAnsi="仿宋" w:eastAsia="仿宋" w:cs="仿宋"/>
          <w:sz w:val="24"/>
          <w:szCs w:val="24"/>
          <w:highlight w:val="none"/>
        </w:rPr>
        <w:t>乙方应当采取加密等安全措施进行数据的存储与传输，且其采取的安全措施应当满足相关国家标准或行业标准的要求。</w:t>
      </w:r>
    </w:p>
    <w:p w14:paraId="2C699640">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4.2</w:t>
      </w:r>
      <w:r>
        <w:rPr>
          <w:rFonts w:hint="eastAsia" w:ascii="仿宋" w:hAnsi="仿宋" w:eastAsia="仿宋" w:cs="仿宋"/>
          <w:sz w:val="24"/>
          <w:szCs w:val="24"/>
          <w:highlight w:val="none"/>
        </w:rPr>
        <w:t>甲方向乙方转让或共享个人信息时，乙方存储个人信息的期限应为实现本协议约定的个人信息主体授权使用目的所必需的最短时间。超出前述个人信息存储期限后，乙方应及时对个人信息进行删除或匿名化处理；甲方委托乙方进行数据处理时，乙方应</w:t>
      </w:r>
      <w:r>
        <w:rPr>
          <w:rFonts w:hint="eastAsia" w:ascii="仿宋" w:hAnsi="仿宋" w:eastAsia="仿宋" w:cs="仿宋"/>
          <w:sz w:val="24"/>
          <w:szCs w:val="24"/>
          <w:highlight w:val="none"/>
          <w:lang w:val="en-US" w:eastAsia="zh-CN"/>
        </w:rPr>
        <w:t xml:space="preserve">     </w:t>
      </w:r>
    </w:p>
    <w:p w14:paraId="3DC4952E">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当按照本协议的约定及时删除委托处理的数据，法律法规另有规定的除外。</w:t>
      </w:r>
    </w:p>
    <w:p w14:paraId="3BE43F3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4.3</w:t>
      </w:r>
      <w:r>
        <w:rPr>
          <w:rFonts w:hint="eastAsia" w:ascii="仿宋" w:hAnsi="仿宋" w:eastAsia="仿宋" w:cs="仿宋"/>
          <w:sz w:val="24"/>
          <w:szCs w:val="24"/>
          <w:highlight w:val="none"/>
        </w:rPr>
        <w:t>乙方接收个人信息后，基于存储安全的要求，应当立即对个人信息进行去标识化处理，将可用于恢复识别个人的信息与去标识化后的信息分开存储并加强访问和使用的权限管理。</w:t>
      </w:r>
    </w:p>
    <w:p w14:paraId="6F9BE6CA">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第五条</w:t>
      </w:r>
      <w:r>
        <w:rPr>
          <w:rFonts w:hint="eastAsia" w:ascii="仿宋" w:hAnsi="仿宋" w:eastAsia="仿宋" w:cs="仿宋"/>
          <w:b/>
          <w:bCs/>
          <w:sz w:val="24"/>
          <w:szCs w:val="24"/>
          <w:highlight w:val="none"/>
        </w:rPr>
        <w:t>数据处理结果的知识产权归属</w:t>
      </w:r>
    </w:p>
    <w:p w14:paraId="081F4D7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5.1</w:t>
      </w:r>
      <w:r>
        <w:rPr>
          <w:rFonts w:hint="eastAsia" w:ascii="仿宋" w:hAnsi="仿宋" w:eastAsia="仿宋" w:cs="仿宋"/>
          <w:sz w:val="24"/>
          <w:szCs w:val="24"/>
          <w:highlight w:val="none"/>
        </w:rPr>
        <w:t>甲方委托乙方进行数据处理时，乙方使用甲方提供的数据进行数据处理所获得的数据处理结果的权利归属，双方按照以下第</w:t>
      </w: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种方式处理。</w:t>
      </w:r>
    </w:p>
    <w:p w14:paraId="093AFD7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数据处理结果的所有权、知识产权等合法权益归甲方独立所有（法律法规另有规定的除外）；甲方可自行对数据处理结果进行利用、处理或对外提供等，无需另行征得乙方同意或另行向乙方支付任何费用。同时，甲方同意乙方可基于以下方式使用前述数据处理结果：</w:t>
      </w:r>
      <w:r>
        <w:rPr>
          <w:rFonts w:hint="eastAsia" w:ascii="仿宋" w:hAnsi="仿宋" w:eastAsia="仿宋" w:cs="仿宋"/>
          <w:sz w:val="24"/>
          <w:szCs w:val="24"/>
          <w:highlight w:val="none"/>
          <w:lang w:val="en-US" w:eastAsia="zh-CN"/>
        </w:rPr>
        <w:t>[</w:t>
      </w:r>
      <w:r>
        <w:rPr>
          <w:rFonts w:hint="eastAsia" w:ascii="仿宋" w:hAnsi="仿宋" w:eastAsia="仿宋" w:cs="仿宋"/>
          <w:sz w:val="24"/>
          <w:szCs w:val="24"/>
          <w:highlight w:val="none"/>
        </w:rPr>
        <w:t>仅可基于业务合同约定的目的使用。未经甲方事先书面同意，乙方不得以其他方式擅自使用或将数据处理结果向任何第三方转让、共享或公开披露。</w:t>
      </w:r>
      <w:r>
        <w:rPr>
          <w:rFonts w:hint="eastAsia" w:ascii="仿宋" w:hAnsi="仿宋" w:eastAsia="仿宋" w:cs="仿宋"/>
          <w:sz w:val="24"/>
          <w:szCs w:val="24"/>
          <w:highlight w:val="none"/>
          <w:lang w:val="en-US" w:eastAsia="zh-CN"/>
        </w:rPr>
        <w:t>]</w:t>
      </w:r>
    </w:p>
    <w:p w14:paraId="6B4F602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（2）数据处理结果的所有权或知识产权等合法权益归乙方独立所有（法律法规另有规定的除外）。同时，乙方同意甲方可享有前述数据处理结果的使用权，乙方授权范围为：</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w:t>
      </w:r>
    </w:p>
    <w:p w14:paraId="756D1F6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（3）数据处理结果的所有权或知识产权等合法权益归双方共同所有（法律法规另有规定的除外）。双方对该数据处理结果的使用方式分配为：</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w:t>
      </w:r>
    </w:p>
    <w:p w14:paraId="7654C10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第六条</w:t>
      </w:r>
      <w:r>
        <w:rPr>
          <w:rFonts w:hint="eastAsia" w:ascii="仿宋" w:hAnsi="仿宋" w:eastAsia="仿宋" w:cs="仿宋"/>
          <w:b/>
          <w:bCs/>
          <w:sz w:val="24"/>
          <w:szCs w:val="24"/>
          <w:highlight w:val="none"/>
        </w:rPr>
        <w:t>数据删除</w:t>
      </w:r>
    </w:p>
    <w:p w14:paraId="10C5EBF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w:t>
      </w:r>
      <w:r>
        <w:rPr>
          <w:rFonts w:hint="eastAsia" w:ascii="仿宋" w:hAnsi="仿宋" w:eastAsia="仿宋" w:cs="仿宋"/>
          <w:sz w:val="24"/>
          <w:szCs w:val="24"/>
          <w:highlight w:val="none"/>
        </w:rPr>
        <w:t>甲方委托乙方进行数据处理的情况下，甲方有权要求乙方对甲方提供的委托处理数据或数据处理结果进行删除、销毁或归还。乙方应当及时删除、销毁或归还，不得以任何形式留存、复制留存或备份。包括但不限于：</w:t>
      </w:r>
    </w:p>
    <w:p w14:paraId="3F7D94AA">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6.1.1</w:t>
      </w:r>
      <w:r>
        <w:rPr>
          <w:rFonts w:hint="eastAsia" w:ascii="仿宋" w:hAnsi="仿宋" w:eastAsia="仿宋" w:cs="仿宋"/>
          <w:sz w:val="24"/>
          <w:szCs w:val="24"/>
          <w:highlight w:val="none"/>
        </w:rPr>
        <w:t>甲方因业务开展实际情况、客户要求等原因，要求乙方删除、销毁或归还部分或全部数据的，乙方应于接到甲方通知之日起</w:t>
      </w:r>
      <w:r>
        <w:rPr>
          <w:rFonts w:hint="eastAsia" w:ascii="仿宋" w:hAnsi="仿宋" w:eastAsia="仿宋" w:cs="仿宋"/>
          <w:sz w:val="24"/>
          <w:szCs w:val="24"/>
          <w:highlight w:val="none"/>
          <w:lang w:val="en-US" w:eastAsia="zh-CN"/>
        </w:rPr>
        <w:t>[5]</w:t>
      </w:r>
      <w:r>
        <w:rPr>
          <w:rFonts w:hint="eastAsia" w:ascii="仿宋" w:hAnsi="仿宋" w:eastAsia="仿宋" w:cs="仿宋"/>
          <w:sz w:val="24"/>
          <w:szCs w:val="24"/>
          <w:highlight w:val="none"/>
        </w:rPr>
        <w:t>日内执行。</w:t>
      </w:r>
    </w:p>
    <w:p w14:paraId="1A43934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6.1.2</w:t>
      </w:r>
      <w:r>
        <w:rPr>
          <w:rFonts w:hint="eastAsia" w:ascii="仿宋" w:hAnsi="仿宋" w:eastAsia="仿宋" w:cs="仿宋"/>
          <w:sz w:val="24"/>
          <w:szCs w:val="24"/>
          <w:highlight w:val="none"/>
        </w:rPr>
        <w:t>本协议无论因何种原因终止时，乙方都必须立即停止相关的数据处理行为，并在本协议终止后</w:t>
      </w:r>
      <w:r>
        <w:rPr>
          <w:rFonts w:hint="eastAsia" w:ascii="仿宋" w:hAnsi="仿宋" w:eastAsia="仿宋" w:cs="仿宋"/>
          <w:sz w:val="24"/>
          <w:szCs w:val="24"/>
          <w:highlight w:val="none"/>
          <w:lang w:val="en-US" w:eastAsia="zh-CN"/>
        </w:rPr>
        <w:t>[5]</w:t>
      </w:r>
      <w:r>
        <w:rPr>
          <w:rFonts w:hint="eastAsia" w:ascii="仿宋" w:hAnsi="仿宋" w:eastAsia="仿宋" w:cs="仿宋"/>
          <w:sz w:val="24"/>
          <w:szCs w:val="24"/>
          <w:highlight w:val="none"/>
        </w:rPr>
        <w:t>日内，按照甲方要求，删除、销毁或归还甲方向乙方提供的全部数据。</w:t>
      </w:r>
    </w:p>
    <w:p w14:paraId="7A3AAB1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6.1.3</w:t>
      </w:r>
      <w:r>
        <w:rPr>
          <w:rFonts w:hint="eastAsia" w:ascii="仿宋" w:hAnsi="仿宋" w:eastAsia="仿宋" w:cs="仿宋"/>
          <w:sz w:val="24"/>
          <w:szCs w:val="24"/>
          <w:highlight w:val="none"/>
        </w:rPr>
        <w:t>甲方发现乙方存在违反法律法规要求或本协议约定的委托处理要求时，或乙方未能有效履行个人信息安全保护责任时，甲方有权要求乙方立即删除从甲方获得的全部数据。</w:t>
      </w:r>
    </w:p>
    <w:p w14:paraId="4B117F6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6.1.4</w:t>
      </w:r>
      <w:r>
        <w:rPr>
          <w:rFonts w:hint="eastAsia" w:ascii="仿宋" w:hAnsi="仿宋" w:eastAsia="仿宋" w:cs="仿宋"/>
          <w:sz w:val="24"/>
          <w:szCs w:val="24"/>
          <w:highlight w:val="none"/>
        </w:rPr>
        <w:t>按照本协议约定，数据处理结果的所有权或知识产权等合法权益归甲方单独所有时，甲方有权要求乙方在交付数据处理结果后</w:t>
      </w:r>
      <w:r>
        <w:rPr>
          <w:rFonts w:hint="eastAsia" w:ascii="仿宋" w:hAnsi="仿宋" w:eastAsia="仿宋" w:cs="仿宋"/>
          <w:sz w:val="24"/>
          <w:szCs w:val="24"/>
          <w:highlight w:val="none"/>
          <w:lang w:val="en-US" w:eastAsia="zh-CN"/>
        </w:rPr>
        <w:t>[5]</w:t>
      </w:r>
      <w:r>
        <w:rPr>
          <w:rFonts w:hint="eastAsia" w:ascii="仿宋" w:hAnsi="仿宋" w:eastAsia="仿宋" w:cs="仿宋"/>
          <w:sz w:val="24"/>
          <w:szCs w:val="24"/>
          <w:highlight w:val="none"/>
        </w:rPr>
        <w:t>日内，按照甲方要求，删除、销毁全部数据处理结果。</w:t>
      </w:r>
    </w:p>
    <w:p w14:paraId="2138FA3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6.1.5</w:t>
      </w:r>
      <w:r>
        <w:rPr>
          <w:rFonts w:hint="eastAsia" w:ascii="仿宋" w:hAnsi="仿宋" w:eastAsia="仿宋" w:cs="仿宋"/>
          <w:sz w:val="24"/>
          <w:szCs w:val="24"/>
          <w:highlight w:val="none"/>
        </w:rPr>
        <w:t>甲方认为乙方需要删除委托处理数据的其他情形。</w:t>
      </w:r>
    </w:p>
    <w:p w14:paraId="235F885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6.2</w:t>
      </w:r>
      <w:r>
        <w:rPr>
          <w:rFonts w:hint="eastAsia" w:ascii="仿宋" w:hAnsi="仿宋" w:eastAsia="仿宋" w:cs="仿宋"/>
          <w:sz w:val="24"/>
          <w:szCs w:val="24"/>
          <w:highlight w:val="none"/>
        </w:rPr>
        <w:t>甲方向乙方共享或转让合作数据的情况下，如甲方发现乙方违反法律法规要求或本协议约定处理数据的，有权要求乙方立即停止相关行为，并有权要求乙方立即删除从甲方获取的全部数据。</w:t>
      </w:r>
    </w:p>
    <w:p w14:paraId="27E7047E">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6.3</w:t>
      </w:r>
      <w:r>
        <w:rPr>
          <w:rFonts w:hint="eastAsia" w:ascii="仿宋" w:hAnsi="仿宋" w:eastAsia="仿宋" w:cs="仿宋"/>
          <w:sz w:val="24"/>
          <w:szCs w:val="24"/>
          <w:highlight w:val="none"/>
        </w:rPr>
        <w:t>删除的证明。甲方按照本协议约定要求乙方进行数据或数据处理结果的删除、销毁或归还的，甲方有权同时要求乙方提供其已删除、销毁相关数据及数据处理结果的证明。</w:t>
      </w:r>
    </w:p>
    <w:p w14:paraId="27147490">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6.4</w:t>
      </w:r>
      <w:r>
        <w:rPr>
          <w:rFonts w:hint="eastAsia" w:ascii="仿宋" w:hAnsi="仿宋" w:eastAsia="仿宋" w:cs="仿宋"/>
          <w:sz w:val="24"/>
          <w:szCs w:val="24"/>
          <w:highlight w:val="none"/>
        </w:rPr>
        <w:t>拒不删除数据的责任。如乙方未按照甲方要求进行已提供数据的删除、销毁或归还，则乙方需自行对其数据处理行为、数据安全事件、个人信息主体的请求等承担全部责任。</w:t>
      </w:r>
    </w:p>
    <w:p w14:paraId="67FED4B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bCs/>
          <w:sz w:val="24"/>
          <w:szCs w:val="24"/>
          <w:highlight w:val="none"/>
        </w:rPr>
      </w:pPr>
      <w:r>
        <w:rPr>
          <w:rFonts w:hint="eastAsia" w:ascii="仿宋" w:hAnsi="仿宋" w:eastAsia="仿宋" w:cs="仿宋"/>
          <w:b/>
          <w:bCs/>
          <w:sz w:val="24"/>
          <w:szCs w:val="24"/>
          <w:highlight w:val="none"/>
          <w:lang w:val="en-US" w:eastAsia="zh-CN"/>
        </w:rPr>
        <w:t>第七条</w:t>
      </w:r>
      <w:r>
        <w:rPr>
          <w:rFonts w:hint="eastAsia" w:ascii="仿宋" w:hAnsi="仿宋" w:eastAsia="仿宋" w:cs="仿宋"/>
          <w:b/>
          <w:bCs/>
          <w:sz w:val="24"/>
          <w:szCs w:val="24"/>
          <w:highlight w:val="none"/>
        </w:rPr>
        <w:t>协助义务</w:t>
      </w:r>
    </w:p>
    <w:p w14:paraId="3BD6853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7.1</w:t>
      </w:r>
      <w:r>
        <w:rPr>
          <w:rFonts w:hint="eastAsia" w:ascii="仿宋" w:hAnsi="仿宋" w:eastAsia="仿宋" w:cs="仿宋"/>
          <w:sz w:val="24"/>
          <w:szCs w:val="24"/>
          <w:highlight w:val="none"/>
        </w:rPr>
        <w:t>个人信息安全影响评估。为确保乙方能够依法依约使用合作数据，甲方有权采取下列一种或多种措施，针对1) 乙方对合作数据的存储、使用情况；2) 乙方为个人信息主体提供个人信息主体权利（例如访问、更正、删除、注销等）实现机制的情况；3) 乙方的数据安全能力；4) 乙方的数据处理活动等与乙方履行本协议直接相关的事项（以下统称“评估事项”）进行个人信息安全影响评估：</w:t>
      </w:r>
    </w:p>
    <w:p w14:paraId="2091EBF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7.1.1</w:t>
      </w:r>
      <w:r>
        <w:rPr>
          <w:rFonts w:hint="eastAsia" w:ascii="仿宋" w:hAnsi="仿宋" w:eastAsia="仿宋" w:cs="仿宋"/>
          <w:sz w:val="24"/>
          <w:szCs w:val="24"/>
          <w:highlight w:val="none"/>
        </w:rPr>
        <w:t>甲方自行或自行委托第三方对乙方就评估事项开展审计。乙方应当对前述审计予以配合，包括但不限于提供相关证明材料、配合甲方现场审计等。如经审计发现乙方存在违反数据保护法律的行为，或乙方违反了本协议项下的任何约定、陈述或保证，则审计费用应由乙方承担；</w:t>
      </w:r>
    </w:p>
    <w:p w14:paraId="505F953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7.1.2</w:t>
      </w:r>
      <w:r>
        <w:rPr>
          <w:rFonts w:hint="eastAsia" w:ascii="仿宋" w:hAnsi="仿宋" w:eastAsia="仿宋" w:cs="仿宋"/>
          <w:sz w:val="24"/>
          <w:szCs w:val="24"/>
          <w:highlight w:val="none"/>
        </w:rPr>
        <w:t>要求乙方提供与评估事项有关的承诺函、保证书、评估报告或其他证明材料。</w:t>
      </w:r>
    </w:p>
    <w:p w14:paraId="78467D7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7.2</w:t>
      </w:r>
      <w:r>
        <w:rPr>
          <w:rFonts w:hint="eastAsia" w:ascii="仿宋" w:hAnsi="仿宋" w:eastAsia="仿宋" w:cs="仿宋"/>
          <w:sz w:val="24"/>
          <w:szCs w:val="24"/>
          <w:highlight w:val="none"/>
        </w:rPr>
        <w:t>数据合作情况的记录与保存。为完整记录与保存数据合作的情况，甲方有权要求乙方就其履行本协议的情况进行说明或提供相关材料，并对乙方的说明或提供的材料进行记录、保存，乙方应当予以配合。且乙方同意甲方在必要时可将前述数据合作情况的记录向第三方披露（如按照监管部门的要求披露等）。</w:t>
      </w:r>
    </w:p>
    <w:p w14:paraId="71AA351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7.3</w:t>
      </w:r>
      <w:r>
        <w:rPr>
          <w:rFonts w:hint="eastAsia" w:ascii="仿宋" w:hAnsi="仿宋" w:eastAsia="仿宋" w:cs="仿宋"/>
          <w:sz w:val="24"/>
          <w:szCs w:val="24"/>
          <w:highlight w:val="none"/>
        </w:rPr>
        <w:t>为帮助个人信息主体了解乙方对个人信息的保存、使用等情况，以及帮助个人信息主体实现其访问、更正、删除个人信息及注销账户等的权利，甲方有权要求乙方予以配合并提供前述相关信息，以帮助个人信息主体实现其合法权益；且甲方有权将前述信息提供给个人信息主体。</w:t>
      </w:r>
    </w:p>
    <w:p w14:paraId="3CFA32D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7.4</w:t>
      </w:r>
      <w:r>
        <w:rPr>
          <w:rFonts w:hint="eastAsia" w:ascii="仿宋" w:hAnsi="仿宋" w:eastAsia="仿宋" w:cs="仿宋"/>
          <w:sz w:val="24"/>
          <w:szCs w:val="24"/>
          <w:highlight w:val="none"/>
        </w:rPr>
        <w:t>任何一方因本协议所涉及的个人信息，收到监管部门的质询、处罚或任何人的索赔等，其应在收到质询、处罚、索赔等通知后</w:t>
      </w:r>
      <w:r>
        <w:rPr>
          <w:rFonts w:hint="eastAsia" w:ascii="仿宋" w:hAnsi="仿宋" w:eastAsia="仿宋" w:cs="仿宋"/>
          <w:sz w:val="24"/>
          <w:szCs w:val="24"/>
          <w:highlight w:val="none"/>
          <w:lang w:val="en-US" w:eastAsia="zh-CN"/>
        </w:rPr>
        <w:t>[8]</w:t>
      </w:r>
      <w:r>
        <w:rPr>
          <w:rFonts w:hint="eastAsia" w:ascii="仿宋" w:hAnsi="仿宋" w:eastAsia="仿宋" w:cs="仿宋"/>
          <w:sz w:val="24"/>
          <w:szCs w:val="24"/>
          <w:highlight w:val="none"/>
        </w:rPr>
        <w:t>小时内以书面形式通知另一方。</w:t>
      </w:r>
    </w:p>
    <w:p w14:paraId="340AEBE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7.5</w:t>
      </w:r>
      <w:r>
        <w:rPr>
          <w:rFonts w:hint="eastAsia" w:ascii="仿宋" w:hAnsi="仿宋" w:eastAsia="仿宋" w:cs="仿宋"/>
          <w:sz w:val="24"/>
          <w:szCs w:val="24"/>
          <w:highlight w:val="none"/>
        </w:rPr>
        <w:t>如因保护数据安全、响应个人信息主体合理请求、配合监管部门要求等需要，需双方配合处理的，双方应当互相配合，妥善解决相关事宜，并将双方损失控制在最小范围内。</w:t>
      </w:r>
    </w:p>
    <w:p w14:paraId="14020DB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第八条</w:t>
      </w:r>
      <w:r>
        <w:rPr>
          <w:rFonts w:hint="eastAsia" w:ascii="仿宋" w:hAnsi="仿宋" w:eastAsia="仿宋" w:cs="仿宋"/>
          <w:b/>
          <w:bCs/>
          <w:sz w:val="24"/>
          <w:szCs w:val="24"/>
          <w:highlight w:val="none"/>
        </w:rPr>
        <w:t>个人信息主体权益</w:t>
      </w:r>
    </w:p>
    <w:p w14:paraId="119BEEA6">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8.1</w:t>
      </w:r>
      <w:r>
        <w:rPr>
          <w:rFonts w:hint="eastAsia" w:ascii="仿宋" w:hAnsi="仿宋" w:eastAsia="仿宋" w:cs="仿宋"/>
          <w:sz w:val="24"/>
          <w:szCs w:val="24"/>
          <w:highlight w:val="none"/>
        </w:rPr>
        <w:t>个人信息处理者。数据合作期间，甲乙双方应根据有关数据保护法律的规 定，对其各自以个人信息处理者的身份处理的个人信息分别履行个人信息 处理者的义务，并分别享有且分别行使其作为个人信息处理者的合法权益。</w:t>
      </w:r>
    </w:p>
    <w:p w14:paraId="2AFA6A02">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8.2</w:t>
      </w:r>
      <w:r>
        <w:rPr>
          <w:rFonts w:hint="eastAsia" w:ascii="仿宋" w:hAnsi="仿宋" w:eastAsia="仿宋" w:cs="仿宋"/>
          <w:sz w:val="24"/>
          <w:szCs w:val="24"/>
          <w:highlight w:val="none"/>
        </w:rPr>
        <w:t>响应个人信息主体的请求。个人信息处理者应为个人信息主体提供访问其个人信息的途径，个人信息主体要求更正或者删除其个人信息时，应在合理的代价和时限内予以响应、更正或者删除。</w:t>
      </w:r>
    </w:p>
    <w:p w14:paraId="776929C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第九条</w:t>
      </w:r>
      <w:r>
        <w:rPr>
          <w:rFonts w:hint="eastAsia" w:ascii="仿宋" w:hAnsi="仿宋" w:eastAsia="仿宋" w:cs="仿宋"/>
          <w:b/>
          <w:bCs/>
          <w:sz w:val="24"/>
          <w:szCs w:val="24"/>
          <w:highlight w:val="none"/>
        </w:rPr>
        <w:t>数据安全</w:t>
      </w:r>
    </w:p>
    <w:p w14:paraId="1457BDF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w:t>
      </w:r>
      <w:r>
        <w:rPr>
          <w:rFonts w:hint="eastAsia" w:ascii="仿宋" w:hAnsi="仿宋" w:eastAsia="仿宋" w:cs="仿宋"/>
          <w:sz w:val="24"/>
          <w:szCs w:val="24"/>
          <w:highlight w:val="none"/>
        </w:rPr>
        <w:t>管理和技术措施。乙方保证，其已根据有关数据保护法律的要求，建立了适当的数据安全能力，落实了必要的管理和技术措施，以防止数据的泄露、损毁、丢失、篡改。前述数据安全能力包括但不限于：</w:t>
      </w:r>
    </w:p>
    <w:p w14:paraId="6A4EC86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9.1.1</w:t>
      </w:r>
      <w:r>
        <w:rPr>
          <w:rFonts w:hint="eastAsia" w:ascii="仿宋" w:hAnsi="仿宋" w:eastAsia="仿宋" w:cs="仿宋"/>
          <w:sz w:val="24"/>
          <w:szCs w:val="24"/>
          <w:highlight w:val="none"/>
        </w:rPr>
        <w:t>确定各部门、岗位和分支机构的数据安全管理责任，明确数据安全负责人和管理机构。</w:t>
      </w:r>
    </w:p>
    <w:p w14:paraId="092D721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9.1.2</w:t>
      </w:r>
      <w:r>
        <w:rPr>
          <w:rFonts w:hint="eastAsia" w:ascii="仿宋" w:hAnsi="仿宋" w:eastAsia="仿宋" w:cs="仿宋"/>
          <w:sz w:val="24"/>
          <w:szCs w:val="24"/>
          <w:highlight w:val="none"/>
        </w:rPr>
        <w:t>建立数据收集、使用及其相关活动的工作流程和安全管理制度。</w:t>
      </w:r>
    </w:p>
    <w:p w14:paraId="4C6A348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9.1.3</w:t>
      </w:r>
      <w:r>
        <w:rPr>
          <w:rFonts w:hint="eastAsia" w:ascii="仿宋" w:hAnsi="仿宋" w:eastAsia="仿宋" w:cs="仿宋"/>
          <w:sz w:val="24"/>
          <w:szCs w:val="24"/>
          <w:highlight w:val="none"/>
        </w:rPr>
        <w:t>对储存数据的信息系统实行接入审查，并采取防入侵、防病毒等措施</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参照国家有关标准，采用数据分类、备份、加密等措施，确保数据在存储与传输过程的安全性、保密性与完整性；妥善保管记录数据的纸介质、光介质、电磁介质等载体，并采取相应的安全储存措施。</w:t>
      </w:r>
    </w:p>
    <w:p w14:paraId="5ECBD06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9.1.4</w:t>
      </w:r>
      <w:r>
        <w:rPr>
          <w:rFonts w:hint="eastAsia" w:ascii="仿宋" w:hAnsi="仿宋" w:eastAsia="仿宋" w:cs="仿宋"/>
          <w:sz w:val="24"/>
          <w:szCs w:val="24"/>
          <w:highlight w:val="none"/>
        </w:rPr>
        <w:t>建立最小授权的数据访问控制措施，对工作人员及代理人实行权限管理，仅授权职责所需的员工访问和处理相关数据，使其只能访问职责所需的最小必要数据，且仅具备完成职责所需的最少数据操作权限。</w:t>
      </w:r>
    </w:p>
    <w:p w14:paraId="1DA964F0">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9.1.5</w:t>
      </w:r>
      <w:r>
        <w:rPr>
          <w:rFonts w:hint="eastAsia" w:ascii="仿宋" w:hAnsi="仿宋" w:eastAsia="仿宋" w:cs="仿宋"/>
          <w:sz w:val="24"/>
          <w:szCs w:val="24"/>
          <w:highlight w:val="none"/>
        </w:rPr>
        <w:t>对数据的重要操作（如数据的批量导出、复制、销毁等）实行审查， 并采取防泄密措施；对数据的重要操作设置内部审批流程，并对安全管理人员、数据操作人员、审计人员的角色进行分离设置。</w:t>
      </w:r>
    </w:p>
    <w:p w14:paraId="3DA697A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9.1.6</w:t>
      </w:r>
      <w:r>
        <w:rPr>
          <w:rFonts w:hint="eastAsia" w:ascii="仿宋" w:hAnsi="仿宋" w:eastAsia="仿宋" w:cs="仿宋"/>
          <w:sz w:val="24"/>
          <w:szCs w:val="24"/>
          <w:highlight w:val="none"/>
        </w:rPr>
        <w:t>记录对数据进行操作的人员、时间、地点、事项等信息。</w:t>
      </w:r>
    </w:p>
    <w:p w14:paraId="3CCB570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9.1.7</w:t>
      </w:r>
      <w:r>
        <w:rPr>
          <w:rFonts w:hint="eastAsia" w:ascii="仿宋" w:hAnsi="仿宋" w:eastAsia="仿宋" w:cs="仿宋"/>
          <w:sz w:val="24"/>
          <w:szCs w:val="24"/>
          <w:highlight w:val="none"/>
        </w:rPr>
        <w:t>确保进行数据处理活动的相关人员均得到数据保护相关知识、技能和安全责任培训，并与乙方签署了保密协议。</w:t>
      </w:r>
    </w:p>
    <w:p w14:paraId="2D6B795A">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9.1.8</w:t>
      </w:r>
      <w:r>
        <w:rPr>
          <w:rFonts w:hint="eastAsia" w:ascii="仿宋" w:hAnsi="仿宋" w:eastAsia="仿宋" w:cs="仿宋"/>
          <w:sz w:val="24"/>
          <w:szCs w:val="24"/>
          <w:highlight w:val="none"/>
        </w:rPr>
        <w:t>制定数据安全事件应急响应预案，并定期（至少每年一次）组织内部相关人员进行应急响应培训和应急演练，使其掌握岗位职责和应急处理策略和规程。</w:t>
      </w:r>
    </w:p>
    <w:p w14:paraId="3CFD74F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9.1.9</w:t>
      </w:r>
      <w:r>
        <w:rPr>
          <w:rFonts w:hint="eastAsia" w:ascii="仿宋" w:hAnsi="仿宋" w:eastAsia="仿宋" w:cs="仿宋"/>
          <w:sz w:val="24"/>
          <w:szCs w:val="24"/>
          <w:highlight w:val="none"/>
        </w:rPr>
        <w:t>按照电信管理机构的规定开展通信网络安全防护工作。</w:t>
      </w:r>
    </w:p>
    <w:p w14:paraId="7B06EEF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9.1.10</w:t>
      </w:r>
      <w:r>
        <w:rPr>
          <w:rFonts w:hint="eastAsia" w:ascii="仿宋" w:hAnsi="仿宋" w:eastAsia="仿宋" w:cs="仿宋"/>
          <w:sz w:val="24"/>
          <w:szCs w:val="24"/>
          <w:highlight w:val="none"/>
        </w:rPr>
        <w:t>乙方所有涉及网络安全的设备、技术或管理制度等内容，均应符合国家《网络安全法》及其相关法律法规、行业标准及国家标准有关内容及要求，并已经取得相应授权或资质证明。</w:t>
      </w:r>
    </w:p>
    <w:p w14:paraId="05AE29B6">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9.1.11</w:t>
      </w:r>
      <w:r>
        <w:rPr>
          <w:rFonts w:hint="eastAsia" w:ascii="仿宋" w:hAnsi="仿宋" w:eastAsia="仿宋" w:cs="仿宋"/>
          <w:sz w:val="24"/>
          <w:szCs w:val="24"/>
          <w:highlight w:val="none"/>
        </w:rPr>
        <w:t>采取数据保护法律规定的其他数据安全能力相关措施，并根据有关数据保护法律的更新、变化情况，及时更新、提升其数据安全能力，保证其数据处理活动安全合法。</w:t>
      </w:r>
    </w:p>
    <w:p w14:paraId="76CFC0E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9.2</w:t>
      </w:r>
      <w:r>
        <w:rPr>
          <w:rFonts w:hint="eastAsia" w:ascii="仿宋" w:hAnsi="仿宋" w:eastAsia="仿宋" w:cs="仿宋"/>
          <w:sz w:val="24"/>
          <w:szCs w:val="24"/>
          <w:highlight w:val="none"/>
        </w:rPr>
        <w:t>合作过程的安全性。双方应当互相配合，采取安全、加密的措施进行数据 合作，确保数据合作过程中不会造成任何的数据泄露、损毁、丢失或篡改。 双方应分别对各自提供的数据传输方式的安全性、保密性、有效性负责。如在合作数据进入乙方指定的系统或任何存储空间后，发生任何数据泄露、损毁、丢失或篡改等数据安全事件，其相关的全部责任由乙方承担。</w:t>
      </w:r>
    </w:p>
    <w:p w14:paraId="35C1A97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w:t>
      </w:r>
      <w:r>
        <w:rPr>
          <w:rFonts w:hint="eastAsia" w:ascii="仿宋" w:hAnsi="仿宋" w:eastAsia="仿宋" w:cs="仿宋"/>
          <w:sz w:val="24"/>
          <w:szCs w:val="24"/>
          <w:highlight w:val="none"/>
        </w:rPr>
        <w:t>个人信息安全事件处置与告知。双方在履行本协议的过程中，如乙方发生或可能发生任何合作数据泄露、损毁、丢失或被篡改等数据安全事件，乙方应立即采取如下各项措施：</w:t>
      </w:r>
    </w:p>
    <w:p w14:paraId="67465D6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9.3.1</w:t>
      </w:r>
      <w:r>
        <w:rPr>
          <w:rFonts w:hint="eastAsia" w:ascii="仿宋" w:hAnsi="仿宋" w:eastAsia="仿宋" w:cs="仿宋"/>
          <w:sz w:val="24"/>
          <w:szCs w:val="24"/>
          <w:highlight w:val="none"/>
        </w:rPr>
        <w:t>根据乙方应急响应预案以及数据保护法律的规定，立即采取一切合理、恰当、有效的补救措施避免或减少不利影响的出现或扩大，将双方损失控制在最小范围内；</w:t>
      </w:r>
    </w:p>
    <w:p w14:paraId="020DA1E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9.3.2</w:t>
      </w:r>
      <w:r>
        <w:rPr>
          <w:rFonts w:hint="eastAsia" w:ascii="仿宋" w:hAnsi="仿宋" w:eastAsia="仿宋" w:cs="仿宋"/>
          <w:sz w:val="24"/>
          <w:szCs w:val="24"/>
          <w:highlight w:val="none"/>
        </w:rPr>
        <w:t>应于知道或应当知道数据安全事件发生时起</w:t>
      </w:r>
      <w:r>
        <w:rPr>
          <w:rFonts w:hint="eastAsia" w:ascii="仿宋" w:hAnsi="仿宋" w:eastAsia="仿宋" w:cs="仿宋"/>
          <w:sz w:val="24"/>
          <w:szCs w:val="24"/>
          <w:highlight w:val="none"/>
          <w:lang w:val="en-US" w:eastAsia="zh-CN"/>
        </w:rPr>
        <w:t>[8]</w:t>
      </w:r>
      <w:r>
        <w:rPr>
          <w:rFonts w:hint="eastAsia" w:ascii="仿宋" w:hAnsi="仿宋" w:eastAsia="仿宋" w:cs="仿宋"/>
          <w:sz w:val="24"/>
          <w:szCs w:val="24"/>
          <w:highlight w:val="none"/>
        </w:rPr>
        <w:t>小时内立即书面通知甲方，并告知甲方个人信息安全事件的详情；</w:t>
      </w:r>
    </w:p>
    <w:p w14:paraId="651587B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9.3.3</w:t>
      </w:r>
      <w:r>
        <w:rPr>
          <w:rFonts w:hint="eastAsia" w:ascii="仿宋" w:hAnsi="仿宋" w:eastAsia="仿宋" w:cs="仿宋"/>
          <w:sz w:val="24"/>
          <w:szCs w:val="24"/>
          <w:highlight w:val="none"/>
        </w:rPr>
        <w:t>按照数据保护法律的规定及时将事件相关情况以邮件、信函、电话、推送通知等方式告知受影响的个人信息主体；</w:t>
      </w:r>
    </w:p>
    <w:p w14:paraId="3C064CA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9.3.4</w:t>
      </w:r>
      <w:r>
        <w:rPr>
          <w:rFonts w:hint="eastAsia" w:ascii="仿宋" w:hAnsi="仿宋" w:eastAsia="仿宋" w:cs="仿宋"/>
          <w:sz w:val="24"/>
          <w:szCs w:val="24"/>
          <w:highlight w:val="none"/>
        </w:rPr>
        <w:t>按照数据保护法律的规定将安全事件及时向主管部门上报。</w:t>
      </w:r>
    </w:p>
    <w:p w14:paraId="0C10AC8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第十条</w:t>
      </w:r>
      <w:r>
        <w:rPr>
          <w:rFonts w:hint="eastAsia" w:ascii="仿宋" w:hAnsi="仿宋" w:eastAsia="仿宋" w:cs="仿宋"/>
          <w:b/>
          <w:bCs/>
          <w:sz w:val="24"/>
          <w:szCs w:val="24"/>
          <w:highlight w:val="none"/>
        </w:rPr>
        <w:t>审计和检查</w:t>
      </w:r>
    </w:p>
    <w:p w14:paraId="7CA85C9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10.1</w:t>
      </w:r>
      <w:r>
        <w:rPr>
          <w:rFonts w:hint="eastAsia" w:ascii="仿宋" w:hAnsi="仿宋" w:eastAsia="仿宋" w:cs="仿宋"/>
          <w:sz w:val="24"/>
          <w:szCs w:val="24"/>
          <w:highlight w:val="none"/>
        </w:rPr>
        <w:t>甲方有权要求乙方就其在本协议中的各项保证及其各项义务的履行情况提供相关证明材料（包括但不限于乙方的数据安全能力；乙方对合作数据的存储、使用情况；乙方接受委托进行数据处理的情况等），并对相关证明材料进行审查。</w:t>
      </w:r>
    </w:p>
    <w:p w14:paraId="20A3318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10.2</w:t>
      </w:r>
      <w:r>
        <w:rPr>
          <w:rFonts w:hint="eastAsia" w:ascii="仿宋" w:hAnsi="仿宋" w:eastAsia="仿宋" w:cs="仿宋"/>
          <w:sz w:val="24"/>
          <w:szCs w:val="24"/>
          <w:highlight w:val="none"/>
        </w:rPr>
        <w:t>甲方有权自行或委托第三方对乙方的上述事项开展审计，乙方应予以配合。包括但不限于提供相关证明材料、配合甲方现场审计等。如经审计发现乙方存在违反数据保护法律的行为，或乙方违反了本协议项下的任何约定、陈述或保证，则审计费用应由乙方承担。</w:t>
      </w:r>
    </w:p>
    <w:p w14:paraId="2C5EF95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10.3</w:t>
      </w:r>
      <w:r>
        <w:rPr>
          <w:rFonts w:hint="eastAsia" w:ascii="仿宋" w:hAnsi="仿宋" w:eastAsia="仿宋" w:cs="仿宋"/>
          <w:sz w:val="24"/>
          <w:szCs w:val="24"/>
          <w:highlight w:val="none"/>
        </w:rPr>
        <w:t>乙方应对其提供的证明材料的真实性与合法性承担责任。乙方承诺并保证，其基于本协议向甲方提供的全部材料与信息均合法、真实、有效，不存在任何违反数据保护法律或其他法律、法规、监管政策规定的情形，不侵犯任何第三方合法权益，不存在任何虚假声明或遗漏或误导。</w:t>
      </w:r>
    </w:p>
    <w:p w14:paraId="2295B35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10.4</w:t>
      </w:r>
      <w:r>
        <w:rPr>
          <w:rFonts w:hint="eastAsia" w:ascii="仿宋" w:hAnsi="仿宋" w:eastAsia="仿宋" w:cs="仿宋"/>
          <w:sz w:val="24"/>
          <w:szCs w:val="24"/>
          <w:highlight w:val="none"/>
        </w:rPr>
        <w:t>双方确认，甲方对乙方进行审计或资料审查等行为，均不免除乙方应依照相关数据保护法律以及本协议之约定应承担的责任与义务，乙方应当自行对其个人信息安全能力、个人信息处理行为等负责。</w:t>
      </w:r>
    </w:p>
    <w:p w14:paraId="23877E5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第十一条</w:t>
      </w:r>
      <w:r>
        <w:rPr>
          <w:rFonts w:hint="eastAsia" w:ascii="仿宋" w:hAnsi="仿宋" w:eastAsia="仿宋" w:cs="仿宋"/>
          <w:b/>
          <w:bCs/>
          <w:sz w:val="24"/>
          <w:szCs w:val="24"/>
          <w:highlight w:val="none"/>
        </w:rPr>
        <w:t>违约责任</w:t>
      </w:r>
    </w:p>
    <w:p w14:paraId="38915D0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w:t>
      </w:r>
      <w:r>
        <w:rPr>
          <w:rFonts w:hint="eastAsia" w:ascii="仿宋" w:hAnsi="仿宋" w:eastAsia="仿宋" w:cs="仿宋"/>
          <w:sz w:val="24"/>
          <w:szCs w:val="24"/>
          <w:highlight w:val="none"/>
        </w:rPr>
        <w:t>乙方违反本协议项下任何约定、陈述或保证的（包括但不限于下述各项）， 应当按照本协议的约定承担违约责任：</w:t>
      </w:r>
    </w:p>
    <w:p w14:paraId="2CCC8C09">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11.1.1</w:t>
      </w:r>
      <w:r>
        <w:rPr>
          <w:rFonts w:hint="eastAsia" w:ascii="仿宋" w:hAnsi="仿宋" w:eastAsia="仿宋" w:cs="仿宋"/>
          <w:sz w:val="24"/>
          <w:szCs w:val="24"/>
          <w:highlight w:val="none"/>
        </w:rPr>
        <w:t>乙方的数据处理活动违反了法律法规的要求或违反了本协议的约定；</w:t>
      </w:r>
    </w:p>
    <w:p w14:paraId="1ABC9F2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11.1.2</w:t>
      </w:r>
      <w:r>
        <w:rPr>
          <w:rFonts w:hint="eastAsia" w:ascii="仿宋" w:hAnsi="仿宋" w:eastAsia="仿宋" w:cs="仿宋"/>
          <w:sz w:val="24"/>
          <w:szCs w:val="24"/>
          <w:highlight w:val="none"/>
        </w:rPr>
        <w:t>乙方未能有效履行数据安全保护责任或乙方数据安全能力未满足数据保护法律的要求；</w:t>
      </w:r>
    </w:p>
    <w:p w14:paraId="2294D41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11.1.3</w:t>
      </w:r>
      <w:r>
        <w:rPr>
          <w:rFonts w:hint="eastAsia" w:ascii="仿宋" w:hAnsi="仿宋" w:eastAsia="仿宋" w:cs="仿宋"/>
          <w:sz w:val="24"/>
          <w:szCs w:val="24"/>
          <w:highlight w:val="none"/>
        </w:rPr>
        <w:t>乙方在发生数据安全事件时未能按照本协议的约定通知甲方或未采取相应合理、恰当、有效的补救措施；</w:t>
      </w:r>
    </w:p>
    <w:p w14:paraId="3306333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11.1.4</w:t>
      </w:r>
      <w:r>
        <w:rPr>
          <w:rFonts w:hint="eastAsia" w:ascii="仿宋" w:hAnsi="仿宋" w:eastAsia="仿宋" w:cs="仿宋"/>
          <w:sz w:val="24"/>
          <w:szCs w:val="24"/>
          <w:highlight w:val="none"/>
        </w:rPr>
        <w:t>乙方无正当理由拒绝配合甲方进行个人信息安全影响评估，或拒绝甲方的审计或检查；</w:t>
      </w:r>
    </w:p>
    <w:p w14:paraId="52FD75D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11.1.5</w:t>
      </w:r>
      <w:r>
        <w:rPr>
          <w:rFonts w:hint="eastAsia" w:ascii="仿宋" w:hAnsi="仿宋" w:eastAsia="仿宋" w:cs="仿宋"/>
          <w:sz w:val="24"/>
          <w:szCs w:val="24"/>
          <w:highlight w:val="none"/>
        </w:rPr>
        <w:t>乙方向甲方提供的证明材料、信息等存在虚假、遗漏或误导等情况；</w:t>
      </w:r>
    </w:p>
    <w:p w14:paraId="6E9C025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11.1.6</w:t>
      </w:r>
      <w:r>
        <w:rPr>
          <w:rFonts w:hint="eastAsia" w:ascii="仿宋" w:hAnsi="仿宋" w:eastAsia="仿宋" w:cs="仿宋"/>
          <w:sz w:val="24"/>
          <w:szCs w:val="24"/>
          <w:highlight w:val="none"/>
        </w:rPr>
        <w:t>乙方拒不配合甲方帮助个人信息主体实现其合法权益；</w:t>
      </w:r>
    </w:p>
    <w:p w14:paraId="192D2AF8">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11.1.7</w:t>
      </w:r>
      <w:r>
        <w:rPr>
          <w:rFonts w:hint="eastAsia" w:ascii="仿宋" w:hAnsi="仿宋" w:eastAsia="仿宋" w:cs="仿宋"/>
          <w:sz w:val="24"/>
          <w:szCs w:val="24"/>
          <w:highlight w:val="none"/>
        </w:rPr>
        <w:t>因乙方违反本协议项下任何约定、陈述或保证，导致甲方与任何第三方产生任何纠纷，或遭受监管部门处罚；</w:t>
      </w:r>
    </w:p>
    <w:p w14:paraId="08F8B731">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11.1.8</w:t>
      </w:r>
      <w:r>
        <w:rPr>
          <w:rFonts w:hint="eastAsia" w:ascii="仿宋" w:hAnsi="仿宋" w:eastAsia="仿宋" w:cs="仿宋"/>
          <w:sz w:val="24"/>
          <w:szCs w:val="24"/>
          <w:highlight w:val="none"/>
        </w:rPr>
        <w:t>乙方未按照甲方要求进行数据或数据处理结果的删除、销毁或归还。</w:t>
      </w:r>
    </w:p>
    <w:p w14:paraId="157E732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w:t>
      </w:r>
      <w:r>
        <w:rPr>
          <w:rFonts w:hint="eastAsia" w:ascii="仿宋" w:hAnsi="仿宋" w:eastAsia="仿宋" w:cs="仿宋"/>
          <w:sz w:val="24"/>
          <w:szCs w:val="24"/>
          <w:highlight w:val="none"/>
        </w:rPr>
        <w:t>乙方违反本协议项下任何约定、陈述或保证的，甲方有权采取下述一种或多种方式，追究乙方的违约责任：</w:t>
      </w:r>
    </w:p>
    <w:p w14:paraId="1475EC3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11.2.1</w:t>
      </w:r>
      <w:r>
        <w:rPr>
          <w:rFonts w:hint="eastAsia" w:ascii="仿宋" w:hAnsi="仿宋" w:eastAsia="仿宋" w:cs="仿宋"/>
          <w:sz w:val="24"/>
          <w:szCs w:val="24"/>
          <w:highlight w:val="none"/>
        </w:rPr>
        <w:t>要求乙方立即停止违约行为、予以纠正或采取补救措施；</w:t>
      </w:r>
    </w:p>
    <w:p w14:paraId="1F11863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11.2.2</w:t>
      </w:r>
      <w:r>
        <w:rPr>
          <w:rFonts w:hint="eastAsia" w:ascii="仿宋" w:hAnsi="仿宋" w:eastAsia="仿宋" w:cs="仿宋"/>
          <w:sz w:val="24"/>
          <w:szCs w:val="24"/>
          <w:highlight w:val="none"/>
        </w:rPr>
        <w:t>采取或要求乙方采取有效补救措施（包括但不限于更改口令、回收权限、断开网络连接等）控制或消除个人信息面临的安全风险；</w:t>
      </w:r>
    </w:p>
    <w:p w14:paraId="6C3478A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11.2.3</w:t>
      </w:r>
      <w:r>
        <w:rPr>
          <w:rFonts w:hint="eastAsia" w:ascii="仿宋" w:hAnsi="仿宋" w:eastAsia="仿宋" w:cs="仿宋"/>
          <w:sz w:val="24"/>
          <w:szCs w:val="24"/>
          <w:highlight w:val="none"/>
        </w:rPr>
        <w:t>要求乙方赔偿甲方因此遭受的全部损失；</w:t>
      </w:r>
    </w:p>
    <w:p w14:paraId="1296EB3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11.2.4</w:t>
      </w:r>
      <w:r>
        <w:rPr>
          <w:rFonts w:hint="eastAsia" w:ascii="仿宋" w:hAnsi="仿宋" w:eastAsia="仿宋" w:cs="仿宋"/>
          <w:sz w:val="24"/>
          <w:szCs w:val="24"/>
          <w:highlight w:val="none"/>
        </w:rPr>
        <w:t>要求乙方支付违约金人民币</w:t>
      </w:r>
      <w:r>
        <w:rPr>
          <w:rFonts w:hint="eastAsia" w:ascii="仿宋" w:hAnsi="仿宋" w:eastAsia="仿宋" w:cs="仿宋"/>
          <w:sz w:val="24"/>
          <w:szCs w:val="24"/>
          <w:highlight w:val="none"/>
          <w:lang w:val="en-US" w:eastAsia="zh-CN"/>
        </w:rPr>
        <w:t>[  ]</w:t>
      </w:r>
      <w:r>
        <w:rPr>
          <w:rFonts w:hint="eastAsia" w:ascii="仿宋" w:hAnsi="仿宋" w:eastAsia="仿宋" w:cs="仿宋"/>
          <w:sz w:val="24"/>
          <w:szCs w:val="24"/>
          <w:highlight w:val="none"/>
        </w:rPr>
        <w:t>元；</w:t>
      </w:r>
    </w:p>
    <w:p w14:paraId="4ED40DC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11.2.5</w:t>
      </w:r>
      <w:r>
        <w:rPr>
          <w:rFonts w:hint="eastAsia" w:ascii="仿宋" w:hAnsi="仿宋" w:eastAsia="仿宋" w:cs="仿宋"/>
          <w:sz w:val="24"/>
          <w:szCs w:val="24"/>
          <w:highlight w:val="none"/>
        </w:rPr>
        <w:t>解除本协议和/或终止双方基于业务合同的合作关系；</w:t>
      </w:r>
    </w:p>
    <w:p w14:paraId="7A3563EC">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11.2.6</w:t>
      </w:r>
      <w:r>
        <w:rPr>
          <w:rFonts w:hint="eastAsia" w:ascii="仿宋" w:hAnsi="仿宋" w:eastAsia="仿宋" w:cs="仿宋"/>
          <w:sz w:val="24"/>
          <w:szCs w:val="24"/>
          <w:highlight w:val="none"/>
        </w:rPr>
        <w:t>无论本协议是否终止或解除，甲方有权要求乙方删除、销毁或归还甲方已提供的数据，并提供其已删除、销毁相关数据的证明。</w:t>
      </w:r>
    </w:p>
    <w:p w14:paraId="249C3E1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11.2.7</w:t>
      </w:r>
      <w:r>
        <w:rPr>
          <w:rFonts w:hint="eastAsia" w:ascii="仿宋" w:hAnsi="仿宋" w:eastAsia="仿宋" w:cs="仿宋"/>
          <w:sz w:val="24"/>
          <w:szCs w:val="24"/>
          <w:highlight w:val="none"/>
        </w:rPr>
        <w:t>因乙方违反本协议项下任何约定、陈述或保证，导致甲方与任何第三方产生任何纠纷，或遭受监管部门处罚的，乙方应当协助甲方进行处理并妥善解决。由此导致甲方遭受任何损失（包括但不限于甲方因此支付的罚款、向第三方支付的赔偿金、和解金、律师费、鉴定费、诉讼费、差旅费以及其他合理开支），乙方应当予以全额赔偿。</w:t>
      </w:r>
    </w:p>
    <w:p w14:paraId="40882291">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除本协议另有约定外，任何一方违约，造成守约方损失的，违约方应当赔偿守约方遭受的直接损失。</w:t>
      </w:r>
    </w:p>
    <w:p w14:paraId="2EE4879E">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第十二条</w:t>
      </w:r>
      <w:r>
        <w:rPr>
          <w:rFonts w:hint="eastAsia" w:ascii="仿宋" w:hAnsi="仿宋" w:eastAsia="仿宋" w:cs="仿宋"/>
          <w:b/>
          <w:bCs/>
          <w:sz w:val="24"/>
          <w:szCs w:val="24"/>
          <w:highlight w:val="none"/>
        </w:rPr>
        <w:t>保密条款</w:t>
      </w:r>
    </w:p>
    <w:p w14:paraId="10EC0A69">
      <w:pPr>
        <w:keepNext w:val="0"/>
        <w:keepLines w:val="0"/>
        <w:pageBreakBefore w:val="0"/>
        <w:widowControl w:val="0"/>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12.1</w:t>
      </w:r>
      <w:r>
        <w:rPr>
          <w:rFonts w:hint="eastAsia" w:ascii="仿宋" w:hAnsi="仿宋" w:eastAsia="仿宋" w:cs="仿宋"/>
          <w:sz w:val="24"/>
          <w:szCs w:val="24"/>
          <w:highlight w:val="none"/>
        </w:rPr>
        <w:t>“保密信息”指与一方业务、经营、技术及权利等事项相关的，非公开的信息、资讯、数据、资料等，包括但不限于营业规划，商务资料，与技术有关之知识及信息、创意、设想、方案，提供的物品或厂商资料，用户信息，人事资料，商业计划，服务价格及折扣，财务状况等。该信息的表现形式可以为书面的、口头的、图形的、电磁的或其它任何形式。</w:t>
      </w:r>
    </w:p>
    <w:p w14:paraId="0FF07AA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12.2</w:t>
      </w:r>
      <w:r>
        <w:rPr>
          <w:rFonts w:hint="eastAsia" w:ascii="仿宋" w:hAnsi="仿宋" w:eastAsia="仿宋" w:cs="仿宋"/>
          <w:sz w:val="24"/>
          <w:szCs w:val="24"/>
          <w:highlight w:val="none"/>
        </w:rPr>
        <w:t>双方及双方的相关人员对因签订及履行本协议而获知的对方的保密信息、双方合作内容及本协议的具体内容负有保密责任。相关人员包括但不限于协议方关联企业、董事、监事、高级管理人员、雇员、咨询者、代理人、顾问。</w:t>
      </w:r>
    </w:p>
    <w:p w14:paraId="69AFB246">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12.3</w:t>
      </w:r>
      <w:r>
        <w:rPr>
          <w:rFonts w:hint="eastAsia" w:ascii="仿宋" w:hAnsi="仿宋" w:eastAsia="仿宋" w:cs="仿宋"/>
          <w:sz w:val="24"/>
          <w:szCs w:val="24"/>
          <w:highlight w:val="none"/>
        </w:rPr>
        <w:t>接收方应以对待自己同等重要的保密文件一样的谨慎态度（且不得低于合理审慎义务）并采取合理措施对待披露方提供的保密信息，接收方应要求其获悉保密信息的所有人员采取必要的措施对收到的保密信息进行存档和保密。未经披露方书面同意，不得以任何方式披露给第三方或用于本协议以外目的。尽管有前述约定，接收方基于法律法规、司法机关或监管机关的要求，在法律上被强制披露保密信息的，不视为违反本协议，但在该等强制披露之前，在适用法律允许的范围内，接受方将给予披露方任何此类披露的提前通知，并应当努力帮助披露方有效限制该保密信息的披露范围，保护披露方合法权益。</w:t>
      </w:r>
    </w:p>
    <w:p w14:paraId="3A2C65A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w:t>
      </w:r>
      <w:r>
        <w:rPr>
          <w:rFonts w:hint="eastAsia" w:ascii="仿宋" w:hAnsi="仿宋" w:eastAsia="仿宋" w:cs="仿宋"/>
          <w:sz w:val="24"/>
          <w:szCs w:val="24"/>
          <w:highlight w:val="none"/>
        </w:rPr>
        <w:t>尽管有前述约定，符合下列情形之一的，相关信息不被视为保密信息：</w:t>
      </w:r>
    </w:p>
    <w:p w14:paraId="598F8C3F">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12.4.1</w:t>
      </w:r>
      <w:r>
        <w:rPr>
          <w:rFonts w:hint="eastAsia" w:ascii="仿宋" w:hAnsi="仿宋" w:eastAsia="仿宋" w:cs="仿宋"/>
          <w:sz w:val="24"/>
          <w:szCs w:val="24"/>
          <w:highlight w:val="none"/>
        </w:rPr>
        <w:t>在披露给接收方之时，已经为接收方所知悉；披露之前已经通过合法的渠道或方式持有的信息；</w:t>
      </w:r>
    </w:p>
    <w:p w14:paraId="1321B6D4">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12.4.2</w:t>
      </w:r>
      <w:r>
        <w:rPr>
          <w:rFonts w:hint="eastAsia" w:ascii="仿宋" w:hAnsi="仿宋" w:eastAsia="仿宋" w:cs="仿宋"/>
          <w:sz w:val="24"/>
          <w:szCs w:val="24"/>
          <w:highlight w:val="none"/>
        </w:rPr>
        <w:t>非由接收方的不当行为而已经予以公开的信息；</w:t>
      </w:r>
    </w:p>
    <w:p w14:paraId="60DEDED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12.4.3</w:t>
      </w:r>
      <w:r>
        <w:rPr>
          <w:rFonts w:hint="eastAsia" w:ascii="仿宋" w:hAnsi="仿宋" w:eastAsia="仿宋" w:cs="仿宋"/>
          <w:sz w:val="24"/>
          <w:szCs w:val="24"/>
          <w:highlight w:val="none"/>
        </w:rPr>
        <w:t>接收方已经通过合法渠道从第三方获悉的信息；</w:t>
      </w:r>
    </w:p>
    <w:p w14:paraId="690AB7D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12.4.4</w:t>
      </w:r>
      <w:r>
        <w:rPr>
          <w:rFonts w:hint="eastAsia" w:ascii="仿宋" w:hAnsi="仿宋" w:eastAsia="仿宋" w:cs="仿宋"/>
          <w:sz w:val="24"/>
          <w:szCs w:val="24"/>
          <w:highlight w:val="none"/>
        </w:rPr>
        <w:t>接收方独立开发所取得的信息；</w:t>
      </w:r>
    </w:p>
    <w:p w14:paraId="2DAB572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12.4.5</w:t>
      </w:r>
      <w:r>
        <w:rPr>
          <w:rFonts w:hint="eastAsia" w:ascii="仿宋" w:hAnsi="仿宋" w:eastAsia="仿宋" w:cs="仿宋"/>
          <w:sz w:val="24"/>
          <w:szCs w:val="24"/>
          <w:highlight w:val="none"/>
        </w:rPr>
        <w:t>一般性的、观念性的或者类似的不具有特定性的信息。</w:t>
      </w:r>
    </w:p>
    <w:p w14:paraId="7CE3CEB5">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12.5</w:t>
      </w:r>
      <w:r>
        <w:rPr>
          <w:rFonts w:hint="eastAsia" w:ascii="仿宋" w:hAnsi="仿宋" w:eastAsia="仿宋" w:cs="仿宋"/>
          <w:sz w:val="24"/>
          <w:szCs w:val="24"/>
          <w:highlight w:val="none"/>
        </w:rPr>
        <w:t>本协议中甲、乙双方对保密信息所负的义务和责任始于本协议生效，并在双方合作关系终止或解除后持续有效，直至保密信息成为公共领域的信息。本协议如有任何部分或全部被视为无效或不可执行，或本协议终止或解除， 均不影响保密条款的有效性。</w:t>
      </w:r>
    </w:p>
    <w:p w14:paraId="0C268703">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12.6</w:t>
      </w:r>
      <w:r>
        <w:rPr>
          <w:rFonts w:hint="eastAsia" w:ascii="仿宋" w:hAnsi="仿宋" w:eastAsia="仿宋" w:cs="仿宋"/>
          <w:sz w:val="24"/>
          <w:szCs w:val="24"/>
          <w:highlight w:val="none"/>
        </w:rPr>
        <w:t>一旦发生保密信息泄露事件，双方应合作采取一切合理措施避免或者减轻损害后果的产生；如因接收方违反保密义务给披露方造成损失的，接收方应赔偿因此给披露方造成的直接经济损失。</w:t>
      </w:r>
    </w:p>
    <w:p w14:paraId="4581DC1F">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第十三条</w:t>
      </w:r>
      <w:r>
        <w:rPr>
          <w:rFonts w:hint="eastAsia" w:ascii="仿宋" w:hAnsi="仿宋" w:eastAsia="仿宋" w:cs="仿宋"/>
          <w:b/>
          <w:bCs/>
          <w:sz w:val="24"/>
          <w:szCs w:val="24"/>
          <w:highlight w:val="none"/>
        </w:rPr>
        <w:t>法律适用与争议解决</w:t>
      </w:r>
    </w:p>
    <w:p w14:paraId="1D58E6D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13.1</w:t>
      </w:r>
      <w:r>
        <w:rPr>
          <w:rFonts w:hint="eastAsia" w:ascii="仿宋" w:hAnsi="仿宋" w:eastAsia="仿宋" w:cs="仿宋"/>
          <w:sz w:val="24"/>
          <w:szCs w:val="24"/>
          <w:highlight w:val="none"/>
        </w:rPr>
        <w:t>法律适用与争议解决与原合同保持一致。</w:t>
      </w:r>
    </w:p>
    <w:p w14:paraId="453908B0">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第十四条</w:t>
      </w:r>
      <w:r>
        <w:rPr>
          <w:rFonts w:hint="eastAsia" w:ascii="仿宋" w:hAnsi="仿宋" w:eastAsia="仿宋" w:cs="仿宋"/>
          <w:b/>
          <w:bCs/>
          <w:sz w:val="24"/>
          <w:szCs w:val="24"/>
          <w:highlight w:val="none"/>
        </w:rPr>
        <w:t>协议的生效与终止</w:t>
      </w:r>
    </w:p>
    <w:p w14:paraId="07DEBE12">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14.1</w:t>
      </w:r>
      <w:r>
        <w:rPr>
          <w:rFonts w:hint="eastAsia" w:ascii="仿宋" w:hAnsi="仿宋" w:eastAsia="仿宋" w:cs="仿宋"/>
          <w:sz w:val="24"/>
          <w:szCs w:val="24"/>
          <w:highlight w:val="none"/>
        </w:rPr>
        <w:t>协议的生效与终止与原合同保持一致。</w:t>
      </w:r>
    </w:p>
    <w:p w14:paraId="04B4D6A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b/>
          <w:bCs/>
          <w:sz w:val="24"/>
          <w:szCs w:val="24"/>
          <w:highlight w:val="none"/>
          <w:lang w:val="en-US" w:eastAsia="zh-CN"/>
        </w:rPr>
        <w:t>第十五条</w:t>
      </w:r>
      <w:r>
        <w:rPr>
          <w:rFonts w:hint="eastAsia" w:ascii="仿宋" w:hAnsi="仿宋" w:eastAsia="仿宋" w:cs="仿宋"/>
          <w:b/>
          <w:bCs/>
          <w:sz w:val="24"/>
          <w:szCs w:val="24"/>
          <w:highlight w:val="none"/>
        </w:rPr>
        <w:t>其他</w:t>
      </w:r>
    </w:p>
    <w:p w14:paraId="587560CB">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15.1</w:t>
      </w:r>
      <w:r>
        <w:rPr>
          <w:rFonts w:hint="eastAsia" w:ascii="仿宋" w:hAnsi="仿宋" w:eastAsia="仿宋" w:cs="仿宋"/>
          <w:sz w:val="24"/>
          <w:szCs w:val="24"/>
          <w:highlight w:val="none"/>
        </w:rPr>
        <w:t>除本协议或双方另有约定外，任何通知、回复、要求或请求需以书面形式递交或做出，并通过本协议首部载明的联系人及其联系方式发送。任何一方变更首部载明的联系人及其联系方式的，应在决定变更前</w:t>
      </w:r>
      <w:r>
        <w:rPr>
          <w:rFonts w:hint="eastAsia" w:ascii="仿宋" w:hAnsi="仿宋" w:eastAsia="仿宋" w:cs="仿宋"/>
          <w:sz w:val="24"/>
          <w:szCs w:val="24"/>
          <w:highlight w:val="none"/>
          <w:lang w:val="en-US" w:eastAsia="zh-CN"/>
        </w:rPr>
        <w:t>[72]</w:t>
      </w:r>
      <w:r>
        <w:rPr>
          <w:rFonts w:hint="eastAsia" w:ascii="仿宋" w:hAnsi="仿宋" w:eastAsia="仿宋" w:cs="仿宋"/>
          <w:sz w:val="24"/>
          <w:szCs w:val="24"/>
          <w:highlight w:val="none"/>
        </w:rPr>
        <w:t>小时内书面通知对方，并按照本条规定送达及处理，否则由此导致其未收到通知、回复、要求或请求等文件的，由其自行承担相关责任。</w:t>
      </w:r>
    </w:p>
    <w:p w14:paraId="27721AF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15.2</w:t>
      </w:r>
      <w:r>
        <w:rPr>
          <w:rFonts w:hint="eastAsia" w:ascii="仿宋" w:hAnsi="仿宋" w:eastAsia="仿宋" w:cs="仿宋"/>
          <w:sz w:val="24"/>
          <w:szCs w:val="24"/>
          <w:highlight w:val="none"/>
        </w:rPr>
        <w:t>本协议为双方就本协议约定事宜达成的唯一的完整的协议和约定，并取代和废除双方在此之前口头或书面所做出的关于同一事宜的协议、商谈、承诺或声明。</w:t>
      </w:r>
    </w:p>
    <w:p w14:paraId="2D3B20F7">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15.3</w:t>
      </w:r>
      <w:r>
        <w:rPr>
          <w:rFonts w:hint="eastAsia" w:ascii="仿宋" w:hAnsi="仿宋" w:eastAsia="仿宋" w:cs="仿宋"/>
          <w:sz w:val="24"/>
          <w:szCs w:val="24"/>
          <w:highlight w:val="none"/>
        </w:rPr>
        <w:t>本协议中所有标题仅为方便阅读所列，并不影响本协议任何部分的含义或解释。</w:t>
      </w:r>
    </w:p>
    <w:p w14:paraId="1E61030D">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bookmarkStart w:id="721" w:name="h.e33c4aef3fda" w:colFirst="0" w:colLast="0"/>
      <w:bookmarkEnd w:id="721"/>
      <w:r>
        <w:rPr>
          <w:rFonts w:hint="eastAsia" w:ascii="仿宋" w:hAnsi="仿宋" w:eastAsia="仿宋" w:cs="仿宋"/>
          <w:sz w:val="24"/>
          <w:szCs w:val="24"/>
          <w:highlight w:val="none"/>
          <w:lang w:val="en-US" w:eastAsia="zh-CN"/>
        </w:rPr>
        <w:t>15.4</w:t>
      </w:r>
      <w:r>
        <w:rPr>
          <w:rFonts w:hint="eastAsia" w:ascii="仿宋" w:hAnsi="仿宋" w:eastAsia="仿宋" w:cs="仿宋"/>
          <w:sz w:val="24"/>
          <w:szCs w:val="24"/>
          <w:highlight w:val="none"/>
        </w:rPr>
        <w:t>本协议附件（如有）是本协议不可分割的一部分，与本协议具有同等法律效力。</w:t>
      </w:r>
    </w:p>
    <w:p w14:paraId="3E13BABF">
      <w:pPr>
        <w:keepNext w:val="0"/>
        <w:keepLines w:val="0"/>
        <w:pageBreakBefore w:val="0"/>
        <w:widowControl/>
        <w:shd w:val="clear"/>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15.5</w:t>
      </w:r>
      <w:r>
        <w:rPr>
          <w:rFonts w:hint="eastAsia" w:ascii="仿宋" w:hAnsi="仿宋" w:eastAsia="仿宋" w:cs="仿宋"/>
          <w:sz w:val="24"/>
          <w:szCs w:val="24"/>
          <w:highlight w:val="none"/>
        </w:rPr>
        <w:t>本协议一式</w:t>
      </w:r>
      <w:r>
        <w:rPr>
          <w:rFonts w:hint="eastAsia" w:ascii="仿宋" w:hAnsi="仿宋" w:eastAsia="仿宋" w:cs="仿宋"/>
          <w:sz w:val="24"/>
          <w:szCs w:val="24"/>
          <w:highlight w:val="none"/>
          <w:lang w:val="en-US" w:eastAsia="zh-CN"/>
        </w:rPr>
        <w:t>[肆]</w:t>
      </w:r>
      <w:r>
        <w:rPr>
          <w:rFonts w:hint="eastAsia" w:ascii="仿宋" w:hAnsi="仿宋" w:eastAsia="仿宋" w:cs="仿宋"/>
          <w:sz w:val="24"/>
          <w:szCs w:val="24"/>
          <w:highlight w:val="none"/>
        </w:rPr>
        <w:t>份，双方各执</w:t>
      </w:r>
      <w:r>
        <w:rPr>
          <w:rFonts w:hint="eastAsia" w:ascii="仿宋" w:hAnsi="仿宋" w:eastAsia="仿宋" w:cs="仿宋"/>
          <w:sz w:val="24"/>
          <w:szCs w:val="24"/>
          <w:highlight w:val="none"/>
          <w:lang w:val="en-US" w:eastAsia="zh-CN"/>
        </w:rPr>
        <w:t>[贰]</w:t>
      </w:r>
      <w:r>
        <w:rPr>
          <w:rFonts w:hint="eastAsia" w:ascii="仿宋" w:hAnsi="仿宋" w:eastAsia="仿宋" w:cs="仿宋"/>
          <w:sz w:val="24"/>
          <w:szCs w:val="24"/>
          <w:highlight w:val="none"/>
        </w:rPr>
        <w:t>份，具有同等法律效力。</w:t>
      </w:r>
    </w:p>
    <w:p w14:paraId="1F875A59">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452E0322">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1BC76869">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63E75206">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574F6CBB">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2CD60D0C">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甲方（盖章）：                         乙方（盖章）：</w:t>
      </w:r>
    </w:p>
    <w:p w14:paraId="6FA75855">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p>
    <w:p w14:paraId="2E163FE9">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法定代表人/授权代表（签字）：          法定代表人/授权代表（签字）：</w:t>
      </w:r>
    </w:p>
    <w:p w14:paraId="2D9667B9">
      <w:pPr>
        <w:keepNext w:val="0"/>
        <w:keepLines w:val="0"/>
        <w:pageBreakBefore w:val="0"/>
        <w:widowControl/>
        <w:shd w:val="clear"/>
        <w:kinsoku/>
        <w:wordWrap/>
        <w:overflowPunct/>
        <w:topLinePunct w:val="0"/>
        <w:autoSpaceDE/>
        <w:autoSpaceDN/>
        <w:bidi w:val="0"/>
        <w:adjustRightInd/>
        <w:snapToGrid/>
        <w:spacing w:line="400" w:lineRule="exac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日期：                                 日期：</w:t>
      </w:r>
    </w:p>
    <w:p w14:paraId="0CDBF9DA">
      <w:pPr>
        <w:keepNext w:val="0"/>
        <w:keepLines w:val="0"/>
        <w:pageBreakBefore w:val="0"/>
        <w:widowControl/>
        <w:shd w:val="clear"/>
        <w:kinsoku/>
        <w:wordWrap/>
        <w:overflowPunct/>
        <w:topLinePunct w:val="0"/>
        <w:autoSpaceDE/>
        <w:autoSpaceDN/>
        <w:bidi w:val="0"/>
        <w:adjustRightInd/>
        <w:snapToGrid/>
        <w:spacing w:line="400" w:lineRule="exact"/>
        <w:textAlignment w:val="auto"/>
        <w:rPr>
          <w:highlight w:val="none"/>
        </w:rPr>
      </w:pPr>
      <w:r>
        <w:rPr>
          <w:highlight w:val="none"/>
        </w:rPr>
        <w:br w:type="page"/>
      </w:r>
    </w:p>
    <w:p w14:paraId="6705BBB7">
      <w:pPr>
        <w:shd w:val="clear"/>
        <w:rPr>
          <w:highlight w:val="none"/>
        </w:rPr>
      </w:pPr>
    </w:p>
    <w:p w14:paraId="2D3234FE">
      <w:pPr>
        <w:shd w:val="clear"/>
        <w:rPr>
          <w:rFonts w:hint="eastAsia" w:eastAsia="宋体"/>
          <w:highlight w:val="none"/>
          <w:lang w:eastAsia="zh-CN"/>
        </w:rPr>
      </w:pPr>
      <w:r>
        <w:rPr>
          <w:rFonts w:hint="eastAsia" w:ascii="仿宋" w:hAnsi="仿宋" w:eastAsia="仿宋" w:cs="仿宋"/>
          <w:sz w:val="24"/>
          <w:szCs w:val="24"/>
          <w:highlight w:val="none"/>
          <w:lang w:val="en-US" w:eastAsia="zh-CN"/>
        </w:rPr>
        <w:t>附件</w:t>
      </w:r>
    </w:p>
    <w:p w14:paraId="4AEAF688">
      <w:pPr>
        <w:shd w:val="clear"/>
        <w:rPr>
          <w:highlight w:val="none"/>
        </w:rPr>
      </w:pPr>
    </w:p>
    <w:p w14:paraId="516627A8">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1、甲方提供数据的授权范围</w:t>
      </w:r>
    </w:p>
    <w:p w14:paraId="25F0E4F7">
      <w:pPr>
        <w:shd w:val="clear"/>
        <w:rPr>
          <w:rFonts w:hint="eastAsia" w:ascii="微软雅黑" w:hAnsi="微软雅黑" w:eastAsia="微软雅黑" w:cs="微软雅黑"/>
          <w:highlight w:val="none"/>
        </w:rPr>
      </w:pPr>
    </w:p>
    <w:tbl>
      <w:tblPr>
        <w:tblStyle w:val="121"/>
        <w:tblW w:w="864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0"/>
        <w:gridCol w:w="1128"/>
        <w:gridCol w:w="2285"/>
        <w:gridCol w:w="1843"/>
        <w:gridCol w:w="849"/>
        <w:gridCol w:w="854"/>
      </w:tblGrid>
      <w:tr w14:paraId="3CBA5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0" w:type="dxa"/>
            <w:vMerge w:val="restart"/>
          </w:tcPr>
          <w:p w14:paraId="38437B51">
            <w:pPr>
              <w:shd w:val="clear"/>
              <w:rPr>
                <w:rFonts w:hint="eastAsia" w:ascii="微软雅黑" w:hAnsi="微软雅黑" w:eastAsia="微软雅黑" w:cs="微软雅黑"/>
                <w:highlight w:val="none"/>
              </w:rPr>
            </w:pPr>
          </w:p>
          <w:p w14:paraId="0767789B">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个人信息类型</w:t>
            </w:r>
          </w:p>
        </w:tc>
        <w:tc>
          <w:tcPr>
            <w:tcW w:w="1128" w:type="dxa"/>
            <w:vMerge w:val="restart"/>
          </w:tcPr>
          <w:p w14:paraId="0888A331">
            <w:pPr>
              <w:shd w:val="clear"/>
              <w:rPr>
                <w:rFonts w:hint="eastAsia" w:ascii="微软雅黑" w:hAnsi="微软雅黑" w:eastAsia="微软雅黑" w:cs="微软雅黑"/>
                <w:highlight w:val="none"/>
              </w:rPr>
            </w:pPr>
          </w:p>
          <w:p w14:paraId="4EC322EF">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来源</w:t>
            </w:r>
          </w:p>
        </w:tc>
        <w:tc>
          <w:tcPr>
            <w:tcW w:w="5831" w:type="dxa"/>
            <w:gridSpan w:val="4"/>
          </w:tcPr>
          <w:p w14:paraId="4B35C654">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甲方已获得的个人信息处理的授权同意范围</w:t>
            </w:r>
          </w:p>
        </w:tc>
      </w:tr>
      <w:tr w14:paraId="351C4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1690" w:type="dxa"/>
            <w:vMerge w:val="continue"/>
            <w:tcBorders>
              <w:top w:val="nil"/>
            </w:tcBorders>
          </w:tcPr>
          <w:p w14:paraId="38E27F8A">
            <w:pPr>
              <w:shd w:val="clear"/>
              <w:rPr>
                <w:rFonts w:hint="eastAsia" w:ascii="微软雅黑" w:hAnsi="微软雅黑" w:eastAsia="微软雅黑" w:cs="微软雅黑"/>
                <w:highlight w:val="none"/>
              </w:rPr>
            </w:pPr>
          </w:p>
        </w:tc>
        <w:tc>
          <w:tcPr>
            <w:tcW w:w="1128" w:type="dxa"/>
            <w:vMerge w:val="continue"/>
            <w:tcBorders>
              <w:top w:val="nil"/>
            </w:tcBorders>
          </w:tcPr>
          <w:p w14:paraId="5863A261">
            <w:pPr>
              <w:shd w:val="clear"/>
              <w:rPr>
                <w:rFonts w:hint="eastAsia" w:ascii="微软雅黑" w:hAnsi="微软雅黑" w:eastAsia="微软雅黑" w:cs="微软雅黑"/>
                <w:highlight w:val="none"/>
              </w:rPr>
            </w:pPr>
          </w:p>
        </w:tc>
        <w:tc>
          <w:tcPr>
            <w:tcW w:w="2285" w:type="dxa"/>
          </w:tcPr>
          <w:p w14:paraId="1891AEC7">
            <w:pPr>
              <w:shd w:val="clear"/>
              <w:rPr>
                <w:rFonts w:hint="eastAsia" w:ascii="微软雅黑" w:hAnsi="微软雅黑" w:eastAsia="微软雅黑" w:cs="微软雅黑"/>
                <w:highlight w:val="none"/>
              </w:rPr>
            </w:pPr>
          </w:p>
          <w:p w14:paraId="7216F067">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使用/处理目的</w:t>
            </w:r>
          </w:p>
        </w:tc>
        <w:tc>
          <w:tcPr>
            <w:tcW w:w="1843" w:type="dxa"/>
            <w:vAlign w:val="center"/>
          </w:tcPr>
          <w:p w14:paraId="3B4ED69C">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允许乙方</w:t>
            </w:r>
          </w:p>
          <w:p w14:paraId="2011C1DE">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处理方式</w:t>
            </w:r>
          </w:p>
        </w:tc>
        <w:tc>
          <w:tcPr>
            <w:tcW w:w="849" w:type="dxa"/>
          </w:tcPr>
          <w:p w14:paraId="36AE138F">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存储</w:t>
            </w:r>
          </w:p>
          <w:p w14:paraId="5593C648">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地点</w:t>
            </w:r>
          </w:p>
        </w:tc>
        <w:tc>
          <w:tcPr>
            <w:tcW w:w="854" w:type="dxa"/>
          </w:tcPr>
          <w:p w14:paraId="7721A86F">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存储</w:t>
            </w:r>
          </w:p>
          <w:p w14:paraId="4EE7C8C2">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期限</w:t>
            </w:r>
          </w:p>
        </w:tc>
      </w:tr>
      <w:tr w14:paraId="613B1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0" w:type="dxa"/>
          </w:tcPr>
          <w:p w14:paraId="165E314C">
            <w:pPr>
              <w:shd w:val="clear"/>
              <w:rPr>
                <w:rFonts w:hint="eastAsia" w:ascii="微软雅黑" w:hAnsi="微软雅黑" w:eastAsia="微软雅黑" w:cs="微软雅黑"/>
                <w:highlight w:val="none"/>
              </w:rPr>
            </w:pPr>
          </w:p>
        </w:tc>
        <w:tc>
          <w:tcPr>
            <w:tcW w:w="1128" w:type="dxa"/>
          </w:tcPr>
          <w:p w14:paraId="6F95E06F">
            <w:pPr>
              <w:shd w:val="clear"/>
              <w:rPr>
                <w:rFonts w:hint="eastAsia" w:ascii="微软雅黑" w:hAnsi="微软雅黑" w:eastAsia="微软雅黑" w:cs="微软雅黑"/>
                <w:highlight w:val="none"/>
              </w:rPr>
            </w:pPr>
          </w:p>
        </w:tc>
        <w:tc>
          <w:tcPr>
            <w:tcW w:w="2285" w:type="dxa"/>
          </w:tcPr>
          <w:p w14:paraId="5E894E08">
            <w:pPr>
              <w:shd w:val="clear"/>
              <w:rPr>
                <w:rFonts w:hint="eastAsia" w:ascii="微软雅黑" w:hAnsi="微软雅黑" w:eastAsia="微软雅黑" w:cs="微软雅黑"/>
                <w:highlight w:val="none"/>
              </w:rPr>
            </w:pPr>
          </w:p>
        </w:tc>
        <w:tc>
          <w:tcPr>
            <w:tcW w:w="1843" w:type="dxa"/>
          </w:tcPr>
          <w:p w14:paraId="6E366A9F">
            <w:pPr>
              <w:shd w:val="clear"/>
              <w:rPr>
                <w:rFonts w:hint="eastAsia" w:ascii="微软雅黑" w:hAnsi="微软雅黑" w:eastAsia="微软雅黑" w:cs="微软雅黑"/>
                <w:highlight w:val="none"/>
              </w:rPr>
            </w:pPr>
          </w:p>
        </w:tc>
        <w:tc>
          <w:tcPr>
            <w:tcW w:w="849" w:type="dxa"/>
          </w:tcPr>
          <w:p w14:paraId="2A7AB960">
            <w:pPr>
              <w:shd w:val="clear"/>
              <w:rPr>
                <w:rFonts w:hint="eastAsia" w:ascii="微软雅黑" w:hAnsi="微软雅黑" w:eastAsia="微软雅黑" w:cs="微软雅黑"/>
                <w:highlight w:val="none"/>
              </w:rPr>
            </w:pPr>
          </w:p>
        </w:tc>
        <w:tc>
          <w:tcPr>
            <w:tcW w:w="854" w:type="dxa"/>
          </w:tcPr>
          <w:p w14:paraId="0135CABE">
            <w:pPr>
              <w:shd w:val="clear"/>
              <w:rPr>
                <w:rFonts w:hint="eastAsia" w:ascii="微软雅黑" w:hAnsi="微软雅黑" w:eastAsia="微软雅黑" w:cs="微软雅黑"/>
                <w:highlight w:val="none"/>
              </w:rPr>
            </w:pPr>
          </w:p>
        </w:tc>
      </w:tr>
      <w:tr w14:paraId="3D6E6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hRule="atLeast"/>
        </w:trPr>
        <w:tc>
          <w:tcPr>
            <w:tcW w:w="1690" w:type="dxa"/>
          </w:tcPr>
          <w:p w14:paraId="2A14CC6F">
            <w:pPr>
              <w:shd w:val="clear"/>
              <w:rPr>
                <w:rFonts w:hint="eastAsia" w:ascii="微软雅黑" w:hAnsi="微软雅黑" w:eastAsia="微软雅黑" w:cs="微软雅黑"/>
                <w:highlight w:val="none"/>
              </w:rPr>
            </w:pPr>
          </w:p>
        </w:tc>
        <w:tc>
          <w:tcPr>
            <w:tcW w:w="1128" w:type="dxa"/>
          </w:tcPr>
          <w:p w14:paraId="212FDC46">
            <w:pPr>
              <w:shd w:val="clear"/>
              <w:rPr>
                <w:rFonts w:hint="eastAsia" w:ascii="微软雅黑" w:hAnsi="微软雅黑" w:eastAsia="微软雅黑" w:cs="微软雅黑"/>
                <w:highlight w:val="none"/>
              </w:rPr>
            </w:pPr>
          </w:p>
        </w:tc>
        <w:tc>
          <w:tcPr>
            <w:tcW w:w="2285" w:type="dxa"/>
          </w:tcPr>
          <w:p w14:paraId="3511AD92">
            <w:pPr>
              <w:shd w:val="clear"/>
              <w:rPr>
                <w:rFonts w:hint="eastAsia" w:ascii="微软雅黑" w:hAnsi="微软雅黑" w:eastAsia="微软雅黑" w:cs="微软雅黑"/>
                <w:highlight w:val="none"/>
              </w:rPr>
            </w:pPr>
          </w:p>
        </w:tc>
        <w:tc>
          <w:tcPr>
            <w:tcW w:w="1843" w:type="dxa"/>
          </w:tcPr>
          <w:p w14:paraId="35919095">
            <w:pPr>
              <w:shd w:val="clear"/>
              <w:rPr>
                <w:rFonts w:hint="eastAsia" w:ascii="微软雅黑" w:hAnsi="微软雅黑" w:eastAsia="微软雅黑" w:cs="微软雅黑"/>
                <w:highlight w:val="none"/>
              </w:rPr>
            </w:pPr>
          </w:p>
        </w:tc>
        <w:tc>
          <w:tcPr>
            <w:tcW w:w="849" w:type="dxa"/>
          </w:tcPr>
          <w:p w14:paraId="3C9B8AF6">
            <w:pPr>
              <w:shd w:val="clear"/>
              <w:rPr>
                <w:rFonts w:hint="eastAsia" w:ascii="微软雅黑" w:hAnsi="微软雅黑" w:eastAsia="微软雅黑" w:cs="微软雅黑"/>
                <w:highlight w:val="none"/>
              </w:rPr>
            </w:pPr>
          </w:p>
        </w:tc>
        <w:tc>
          <w:tcPr>
            <w:tcW w:w="854" w:type="dxa"/>
          </w:tcPr>
          <w:p w14:paraId="32C0996A">
            <w:pPr>
              <w:shd w:val="clear"/>
              <w:rPr>
                <w:rFonts w:hint="eastAsia" w:ascii="微软雅黑" w:hAnsi="微软雅黑" w:eastAsia="微软雅黑" w:cs="微软雅黑"/>
                <w:highlight w:val="none"/>
              </w:rPr>
            </w:pPr>
          </w:p>
        </w:tc>
      </w:tr>
      <w:tr w14:paraId="343F6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0" w:type="dxa"/>
          </w:tcPr>
          <w:p w14:paraId="22B0AEEA">
            <w:pPr>
              <w:shd w:val="clear"/>
              <w:rPr>
                <w:rFonts w:hint="eastAsia" w:ascii="微软雅黑" w:hAnsi="微软雅黑" w:eastAsia="微软雅黑" w:cs="微软雅黑"/>
                <w:highlight w:val="none"/>
              </w:rPr>
            </w:pPr>
          </w:p>
        </w:tc>
        <w:tc>
          <w:tcPr>
            <w:tcW w:w="1128" w:type="dxa"/>
          </w:tcPr>
          <w:p w14:paraId="484D2CCB">
            <w:pPr>
              <w:shd w:val="clear"/>
              <w:rPr>
                <w:rFonts w:hint="eastAsia" w:ascii="微软雅黑" w:hAnsi="微软雅黑" w:eastAsia="微软雅黑" w:cs="微软雅黑"/>
                <w:highlight w:val="none"/>
              </w:rPr>
            </w:pPr>
          </w:p>
        </w:tc>
        <w:tc>
          <w:tcPr>
            <w:tcW w:w="2285" w:type="dxa"/>
          </w:tcPr>
          <w:p w14:paraId="113BB8F7">
            <w:pPr>
              <w:shd w:val="clear"/>
              <w:rPr>
                <w:rFonts w:hint="eastAsia" w:ascii="微软雅黑" w:hAnsi="微软雅黑" w:eastAsia="微软雅黑" w:cs="微软雅黑"/>
                <w:highlight w:val="none"/>
              </w:rPr>
            </w:pPr>
          </w:p>
        </w:tc>
        <w:tc>
          <w:tcPr>
            <w:tcW w:w="1843" w:type="dxa"/>
          </w:tcPr>
          <w:p w14:paraId="0E843438">
            <w:pPr>
              <w:shd w:val="clear"/>
              <w:rPr>
                <w:rFonts w:hint="eastAsia" w:ascii="微软雅黑" w:hAnsi="微软雅黑" w:eastAsia="微软雅黑" w:cs="微软雅黑"/>
                <w:highlight w:val="none"/>
              </w:rPr>
            </w:pPr>
          </w:p>
        </w:tc>
        <w:tc>
          <w:tcPr>
            <w:tcW w:w="849" w:type="dxa"/>
          </w:tcPr>
          <w:p w14:paraId="2F6E75A2">
            <w:pPr>
              <w:shd w:val="clear"/>
              <w:rPr>
                <w:rFonts w:hint="eastAsia" w:ascii="微软雅黑" w:hAnsi="微软雅黑" w:eastAsia="微软雅黑" w:cs="微软雅黑"/>
                <w:highlight w:val="none"/>
              </w:rPr>
            </w:pPr>
          </w:p>
        </w:tc>
        <w:tc>
          <w:tcPr>
            <w:tcW w:w="854" w:type="dxa"/>
          </w:tcPr>
          <w:p w14:paraId="2C91BB30">
            <w:pPr>
              <w:shd w:val="clear"/>
              <w:rPr>
                <w:rFonts w:hint="eastAsia" w:ascii="微软雅黑" w:hAnsi="微软雅黑" w:eastAsia="微软雅黑" w:cs="微软雅黑"/>
                <w:highlight w:val="none"/>
              </w:rPr>
            </w:pPr>
          </w:p>
        </w:tc>
      </w:tr>
      <w:tr w14:paraId="23270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hRule="atLeast"/>
        </w:trPr>
        <w:tc>
          <w:tcPr>
            <w:tcW w:w="1690" w:type="dxa"/>
          </w:tcPr>
          <w:p w14:paraId="68E8393E">
            <w:pPr>
              <w:shd w:val="clear"/>
              <w:rPr>
                <w:rFonts w:hint="eastAsia" w:ascii="微软雅黑" w:hAnsi="微软雅黑" w:eastAsia="微软雅黑" w:cs="微软雅黑"/>
                <w:highlight w:val="none"/>
              </w:rPr>
            </w:pPr>
          </w:p>
        </w:tc>
        <w:tc>
          <w:tcPr>
            <w:tcW w:w="1128" w:type="dxa"/>
          </w:tcPr>
          <w:p w14:paraId="621217C6">
            <w:pPr>
              <w:shd w:val="clear"/>
              <w:rPr>
                <w:rFonts w:hint="eastAsia" w:ascii="微软雅黑" w:hAnsi="微软雅黑" w:eastAsia="微软雅黑" w:cs="微软雅黑"/>
                <w:highlight w:val="none"/>
              </w:rPr>
            </w:pPr>
          </w:p>
        </w:tc>
        <w:tc>
          <w:tcPr>
            <w:tcW w:w="2285" w:type="dxa"/>
          </w:tcPr>
          <w:p w14:paraId="032276BE">
            <w:pPr>
              <w:shd w:val="clear"/>
              <w:rPr>
                <w:rFonts w:hint="eastAsia" w:ascii="微软雅黑" w:hAnsi="微软雅黑" w:eastAsia="微软雅黑" w:cs="微软雅黑"/>
                <w:highlight w:val="none"/>
              </w:rPr>
            </w:pPr>
          </w:p>
        </w:tc>
        <w:tc>
          <w:tcPr>
            <w:tcW w:w="1843" w:type="dxa"/>
          </w:tcPr>
          <w:p w14:paraId="103DF0F3">
            <w:pPr>
              <w:shd w:val="clear"/>
              <w:rPr>
                <w:rFonts w:hint="eastAsia" w:ascii="微软雅黑" w:hAnsi="微软雅黑" w:eastAsia="微软雅黑" w:cs="微软雅黑"/>
                <w:highlight w:val="none"/>
              </w:rPr>
            </w:pPr>
          </w:p>
        </w:tc>
        <w:tc>
          <w:tcPr>
            <w:tcW w:w="849" w:type="dxa"/>
          </w:tcPr>
          <w:p w14:paraId="4998DC45">
            <w:pPr>
              <w:shd w:val="clear"/>
              <w:rPr>
                <w:rFonts w:hint="eastAsia" w:ascii="微软雅黑" w:hAnsi="微软雅黑" w:eastAsia="微软雅黑" w:cs="微软雅黑"/>
                <w:highlight w:val="none"/>
              </w:rPr>
            </w:pPr>
          </w:p>
        </w:tc>
        <w:tc>
          <w:tcPr>
            <w:tcW w:w="854" w:type="dxa"/>
          </w:tcPr>
          <w:p w14:paraId="06A36BDE">
            <w:pPr>
              <w:shd w:val="clear"/>
              <w:rPr>
                <w:rFonts w:hint="eastAsia" w:ascii="微软雅黑" w:hAnsi="微软雅黑" w:eastAsia="微软雅黑" w:cs="微软雅黑"/>
                <w:highlight w:val="none"/>
              </w:rPr>
            </w:pPr>
          </w:p>
        </w:tc>
      </w:tr>
      <w:tr w14:paraId="729E6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hRule="atLeast"/>
        </w:trPr>
        <w:tc>
          <w:tcPr>
            <w:tcW w:w="1690" w:type="dxa"/>
          </w:tcPr>
          <w:p w14:paraId="2B0E42C7">
            <w:pPr>
              <w:shd w:val="clear"/>
              <w:rPr>
                <w:rFonts w:hint="eastAsia" w:ascii="微软雅黑" w:hAnsi="微软雅黑" w:eastAsia="微软雅黑" w:cs="微软雅黑"/>
                <w:highlight w:val="none"/>
              </w:rPr>
            </w:pPr>
          </w:p>
        </w:tc>
        <w:tc>
          <w:tcPr>
            <w:tcW w:w="1128" w:type="dxa"/>
          </w:tcPr>
          <w:p w14:paraId="265B249F">
            <w:pPr>
              <w:shd w:val="clear"/>
              <w:rPr>
                <w:rFonts w:hint="eastAsia" w:ascii="微软雅黑" w:hAnsi="微软雅黑" w:eastAsia="微软雅黑" w:cs="微软雅黑"/>
                <w:highlight w:val="none"/>
              </w:rPr>
            </w:pPr>
          </w:p>
        </w:tc>
        <w:tc>
          <w:tcPr>
            <w:tcW w:w="2285" w:type="dxa"/>
          </w:tcPr>
          <w:p w14:paraId="459E010A">
            <w:pPr>
              <w:shd w:val="clear"/>
              <w:rPr>
                <w:rFonts w:hint="eastAsia" w:ascii="微软雅黑" w:hAnsi="微软雅黑" w:eastAsia="微软雅黑" w:cs="微软雅黑"/>
                <w:highlight w:val="none"/>
              </w:rPr>
            </w:pPr>
          </w:p>
        </w:tc>
        <w:tc>
          <w:tcPr>
            <w:tcW w:w="1843" w:type="dxa"/>
          </w:tcPr>
          <w:p w14:paraId="5E3974AF">
            <w:pPr>
              <w:shd w:val="clear"/>
              <w:rPr>
                <w:rFonts w:hint="eastAsia" w:ascii="微软雅黑" w:hAnsi="微软雅黑" w:eastAsia="微软雅黑" w:cs="微软雅黑"/>
                <w:highlight w:val="none"/>
              </w:rPr>
            </w:pPr>
          </w:p>
        </w:tc>
        <w:tc>
          <w:tcPr>
            <w:tcW w:w="849" w:type="dxa"/>
          </w:tcPr>
          <w:p w14:paraId="7406EB81">
            <w:pPr>
              <w:shd w:val="clear"/>
              <w:rPr>
                <w:rFonts w:hint="eastAsia" w:ascii="微软雅黑" w:hAnsi="微软雅黑" w:eastAsia="微软雅黑" w:cs="微软雅黑"/>
                <w:highlight w:val="none"/>
              </w:rPr>
            </w:pPr>
          </w:p>
        </w:tc>
        <w:tc>
          <w:tcPr>
            <w:tcW w:w="854" w:type="dxa"/>
          </w:tcPr>
          <w:p w14:paraId="7647CA19">
            <w:pPr>
              <w:shd w:val="clear"/>
              <w:rPr>
                <w:rFonts w:hint="eastAsia" w:ascii="微软雅黑" w:hAnsi="微软雅黑" w:eastAsia="微软雅黑" w:cs="微软雅黑"/>
                <w:highlight w:val="none"/>
              </w:rPr>
            </w:pPr>
          </w:p>
        </w:tc>
      </w:tr>
    </w:tbl>
    <w:p w14:paraId="4EDE37E1">
      <w:pPr>
        <w:shd w:val="clear"/>
        <w:rPr>
          <w:rFonts w:hint="eastAsia" w:ascii="微软雅黑" w:hAnsi="微软雅黑" w:eastAsia="微软雅黑" w:cs="微软雅黑"/>
          <w:highlight w:val="none"/>
        </w:rPr>
      </w:pPr>
    </w:p>
    <w:p w14:paraId="14F6ACF4">
      <w:pPr>
        <w:shd w:val="clear"/>
        <w:rPr>
          <w:rFonts w:hint="eastAsia" w:ascii="微软雅黑" w:hAnsi="微软雅黑" w:eastAsia="微软雅黑" w:cs="微软雅黑"/>
          <w:highlight w:val="none"/>
        </w:rPr>
      </w:pPr>
    </w:p>
    <w:tbl>
      <w:tblPr>
        <w:tblStyle w:val="123"/>
        <w:tblW w:w="88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9"/>
        <w:gridCol w:w="845"/>
        <w:gridCol w:w="2986"/>
        <w:gridCol w:w="1277"/>
        <w:gridCol w:w="2079"/>
      </w:tblGrid>
      <w:tr w14:paraId="0923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hRule="atLeast"/>
        </w:trPr>
        <w:tc>
          <w:tcPr>
            <w:tcW w:w="1699" w:type="dxa"/>
            <w:vMerge w:val="restart"/>
          </w:tcPr>
          <w:p w14:paraId="31C39A3F">
            <w:pPr>
              <w:shd w:val="clear"/>
              <w:rPr>
                <w:rFonts w:hint="eastAsia" w:ascii="微软雅黑" w:hAnsi="微软雅黑" w:eastAsia="微软雅黑" w:cs="微软雅黑"/>
                <w:highlight w:val="none"/>
              </w:rPr>
            </w:pPr>
          </w:p>
          <w:p w14:paraId="5C7CA8DA">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其他数据类型</w:t>
            </w:r>
          </w:p>
        </w:tc>
        <w:tc>
          <w:tcPr>
            <w:tcW w:w="845" w:type="dxa"/>
            <w:vMerge w:val="restart"/>
          </w:tcPr>
          <w:p w14:paraId="11ED0676">
            <w:pPr>
              <w:shd w:val="clear"/>
              <w:rPr>
                <w:rFonts w:hint="eastAsia" w:ascii="微软雅黑" w:hAnsi="微软雅黑" w:eastAsia="微软雅黑" w:cs="微软雅黑"/>
                <w:highlight w:val="none"/>
              </w:rPr>
            </w:pPr>
          </w:p>
          <w:p w14:paraId="3862CC8D">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来源</w:t>
            </w:r>
          </w:p>
        </w:tc>
        <w:tc>
          <w:tcPr>
            <w:tcW w:w="6342" w:type="dxa"/>
            <w:gridSpan w:val="3"/>
          </w:tcPr>
          <w:p w14:paraId="573DA560">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甲方授权合作范围</w:t>
            </w:r>
          </w:p>
        </w:tc>
      </w:tr>
      <w:tr w14:paraId="50512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0" w:hRule="atLeast"/>
        </w:trPr>
        <w:tc>
          <w:tcPr>
            <w:tcW w:w="1699" w:type="dxa"/>
            <w:vMerge w:val="continue"/>
            <w:tcBorders>
              <w:top w:val="nil"/>
            </w:tcBorders>
          </w:tcPr>
          <w:p w14:paraId="1480432C">
            <w:pPr>
              <w:shd w:val="clear"/>
              <w:rPr>
                <w:rFonts w:hint="eastAsia" w:ascii="微软雅黑" w:hAnsi="微软雅黑" w:eastAsia="微软雅黑" w:cs="微软雅黑"/>
                <w:highlight w:val="none"/>
              </w:rPr>
            </w:pPr>
          </w:p>
        </w:tc>
        <w:tc>
          <w:tcPr>
            <w:tcW w:w="845" w:type="dxa"/>
            <w:vMerge w:val="continue"/>
            <w:tcBorders>
              <w:top w:val="nil"/>
            </w:tcBorders>
          </w:tcPr>
          <w:p w14:paraId="27A9216E">
            <w:pPr>
              <w:shd w:val="clear"/>
              <w:rPr>
                <w:rFonts w:hint="eastAsia" w:ascii="微软雅黑" w:hAnsi="微软雅黑" w:eastAsia="微软雅黑" w:cs="微软雅黑"/>
                <w:highlight w:val="none"/>
              </w:rPr>
            </w:pPr>
          </w:p>
        </w:tc>
        <w:tc>
          <w:tcPr>
            <w:tcW w:w="2986" w:type="dxa"/>
          </w:tcPr>
          <w:p w14:paraId="6A88D6DD">
            <w:pPr>
              <w:shd w:val="clear"/>
              <w:rPr>
                <w:rFonts w:hint="eastAsia" w:ascii="微软雅黑" w:hAnsi="微软雅黑" w:eastAsia="微软雅黑" w:cs="微软雅黑"/>
                <w:highlight w:val="none"/>
              </w:rPr>
            </w:pPr>
          </w:p>
          <w:p w14:paraId="408C37C5">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权利种类</w:t>
            </w:r>
          </w:p>
        </w:tc>
        <w:tc>
          <w:tcPr>
            <w:tcW w:w="1277" w:type="dxa"/>
          </w:tcPr>
          <w:p w14:paraId="1FB4E24E">
            <w:pPr>
              <w:shd w:val="clear"/>
              <w:rPr>
                <w:rFonts w:hint="eastAsia" w:ascii="微软雅黑" w:hAnsi="微软雅黑" w:eastAsia="微软雅黑" w:cs="微软雅黑"/>
                <w:highlight w:val="none"/>
              </w:rPr>
            </w:pPr>
          </w:p>
          <w:p w14:paraId="6D1D91CD">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地域</w:t>
            </w:r>
          </w:p>
        </w:tc>
        <w:tc>
          <w:tcPr>
            <w:tcW w:w="2079" w:type="dxa"/>
          </w:tcPr>
          <w:p w14:paraId="352152BD">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乙方是否有权对</w:t>
            </w:r>
          </w:p>
          <w:p w14:paraId="176DD501">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外提供/转让/共享</w:t>
            </w:r>
          </w:p>
        </w:tc>
      </w:tr>
      <w:tr w14:paraId="604AA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9" w:type="dxa"/>
          </w:tcPr>
          <w:p w14:paraId="74B2565A">
            <w:pPr>
              <w:shd w:val="clear"/>
              <w:rPr>
                <w:rFonts w:hint="eastAsia" w:ascii="微软雅黑" w:hAnsi="微软雅黑" w:eastAsia="微软雅黑" w:cs="微软雅黑"/>
                <w:highlight w:val="none"/>
              </w:rPr>
            </w:pPr>
          </w:p>
        </w:tc>
        <w:tc>
          <w:tcPr>
            <w:tcW w:w="845" w:type="dxa"/>
          </w:tcPr>
          <w:p w14:paraId="72788589">
            <w:pPr>
              <w:shd w:val="clear"/>
              <w:rPr>
                <w:rFonts w:hint="eastAsia" w:ascii="微软雅黑" w:hAnsi="微软雅黑" w:eastAsia="微软雅黑" w:cs="微软雅黑"/>
                <w:highlight w:val="none"/>
              </w:rPr>
            </w:pPr>
          </w:p>
        </w:tc>
        <w:tc>
          <w:tcPr>
            <w:tcW w:w="2986" w:type="dxa"/>
          </w:tcPr>
          <w:p w14:paraId="7C39EC12">
            <w:pPr>
              <w:shd w:val="clear"/>
              <w:rPr>
                <w:rFonts w:hint="eastAsia" w:ascii="微软雅黑" w:hAnsi="微软雅黑" w:eastAsia="微软雅黑" w:cs="微软雅黑"/>
                <w:highlight w:val="none"/>
              </w:rPr>
            </w:pPr>
          </w:p>
        </w:tc>
        <w:tc>
          <w:tcPr>
            <w:tcW w:w="1277" w:type="dxa"/>
          </w:tcPr>
          <w:p w14:paraId="5D50A121">
            <w:pPr>
              <w:shd w:val="clear"/>
              <w:rPr>
                <w:rFonts w:hint="eastAsia" w:ascii="微软雅黑" w:hAnsi="微软雅黑" w:eastAsia="微软雅黑" w:cs="微软雅黑"/>
                <w:highlight w:val="none"/>
              </w:rPr>
            </w:pPr>
          </w:p>
        </w:tc>
        <w:tc>
          <w:tcPr>
            <w:tcW w:w="2079" w:type="dxa"/>
          </w:tcPr>
          <w:p w14:paraId="6A8BA78D">
            <w:pPr>
              <w:shd w:val="clear"/>
              <w:rPr>
                <w:rFonts w:hint="eastAsia" w:ascii="微软雅黑" w:hAnsi="微软雅黑" w:eastAsia="微软雅黑" w:cs="微软雅黑"/>
                <w:highlight w:val="none"/>
              </w:rPr>
            </w:pPr>
          </w:p>
        </w:tc>
      </w:tr>
      <w:tr w14:paraId="08C73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9" w:type="dxa"/>
          </w:tcPr>
          <w:p w14:paraId="56BFE93F">
            <w:pPr>
              <w:shd w:val="clear"/>
              <w:rPr>
                <w:rFonts w:hint="eastAsia" w:ascii="微软雅黑" w:hAnsi="微软雅黑" w:eastAsia="微软雅黑" w:cs="微软雅黑"/>
                <w:highlight w:val="none"/>
              </w:rPr>
            </w:pPr>
          </w:p>
        </w:tc>
        <w:tc>
          <w:tcPr>
            <w:tcW w:w="845" w:type="dxa"/>
          </w:tcPr>
          <w:p w14:paraId="1E930504">
            <w:pPr>
              <w:shd w:val="clear"/>
              <w:rPr>
                <w:rFonts w:hint="eastAsia" w:ascii="微软雅黑" w:hAnsi="微软雅黑" w:eastAsia="微软雅黑" w:cs="微软雅黑"/>
                <w:highlight w:val="none"/>
              </w:rPr>
            </w:pPr>
          </w:p>
        </w:tc>
        <w:tc>
          <w:tcPr>
            <w:tcW w:w="2986" w:type="dxa"/>
          </w:tcPr>
          <w:p w14:paraId="44020E27">
            <w:pPr>
              <w:shd w:val="clear"/>
              <w:rPr>
                <w:rFonts w:hint="eastAsia" w:ascii="微软雅黑" w:hAnsi="微软雅黑" w:eastAsia="微软雅黑" w:cs="微软雅黑"/>
                <w:highlight w:val="none"/>
              </w:rPr>
            </w:pPr>
          </w:p>
        </w:tc>
        <w:tc>
          <w:tcPr>
            <w:tcW w:w="1277" w:type="dxa"/>
          </w:tcPr>
          <w:p w14:paraId="163F370A">
            <w:pPr>
              <w:shd w:val="clear"/>
              <w:rPr>
                <w:rFonts w:hint="eastAsia" w:ascii="微软雅黑" w:hAnsi="微软雅黑" w:eastAsia="微软雅黑" w:cs="微软雅黑"/>
                <w:highlight w:val="none"/>
              </w:rPr>
            </w:pPr>
          </w:p>
        </w:tc>
        <w:tc>
          <w:tcPr>
            <w:tcW w:w="2079" w:type="dxa"/>
          </w:tcPr>
          <w:p w14:paraId="5AB6627C">
            <w:pPr>
              <w:shd w:val="clear"/>
              <w:rPr>
                <w:rFonts w:hint="eastAsia" w:ascii="微软雅黑" w:hAnsi="微软雅黑" w:eastAsia="微软雅黑" w:cs="微软雅黑"/>
                <w:highlight w:val="none"/>
              </w:rPr>
            </w:pPr>
          </w:p>
        </w:tc>
      </w:tr>
      <w:tr w14:paraId="03D66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9" w:type="dxa"/>
          </w:tcPr>
          <w:p w14:paraId="349DD1E6">
            <w:pPr>
              <w:shd w:val="clear"/>
              <w:rPr>
                <w:rFonts w:hint="eastAsia" w:ascii="微软雅黑" w:hAnsi="微软雅黑" w:eastAsia="微软雅黑" w:cs="微软雅黑"/>
                <w:highlight w:val="none"/>
              </w:rPr>
            </w:pPr>
          </w:p>
        </w:tc>
        <w:tc>
          <w:tcPr>
            <w:tcW w:w="845" w:type="dxa"/>
          </w:tcPr>
          <w:p w14:paraId="7B961EB0">
            <w:pPr>
              <w:shd w:val="clear"/>
              <w:rPr>
                <w:rFonts w:hint="eastAsia" w:ascii="微软雅黑" w:hAnsi="微软雅黑" w:eastAsia="微软雅黑" w:cs="微软雅黑"/>
                <w:highlight w:val="none"/>
              </w:rPr>
            </w:pPr>
          </w:p>
        </w:tc>
        <w:tc>
          <w:tcPr>
            <w:tcW w:w="2986" w:type="dxa"/>
          </w:tcPr>
          <w:p w14:paraId="03236ABD">
            <w:pPr>
              <w:shd w:val="clear"/>
              <w:rPr>
                <w:rFonts w:hint="eastAsia" w:ascii="微软雅黑" w:hAnsi="微软雅黑" w:eastAsia="微软雅黑" w:cs="微软雅黑"/>
                <w:highlight w:val="none"/>
              </w:rPr>
            </w:pPr>
          </w:p>
        </w:tc>
        <w:tc>
          <w:tcPr>
            <w:tcW w:w="1277" w:type="dxa"/>
          </w:tcPr>
          <w:p w14:paraId="43C4C1F5">
            <w:pPr>
              <w:shd w:val="clear"/>
              <w:rPr>
                <w:rFonts w:hint="eastAsia" w:ascii="微软雅黑" w:hAnsi="微软雅黑" w:eastAsia="微软雅黑" w:cs="微软雅黑"/>
                <w:highlight w:val="none"/>
              </w:rPr>
            </w:pPr>
          </w:p>
        </w:tc>
        <w:tc>
          <w:tcPr>
            <w:tcW w:w="2079" w:type="dxa"/>
          </w:tcPr>
          <w:p w14:paraId="05702920">
            <w:pPr>
              <w:shd w:val="clear"/>
              <w:rPr>
                <w:rFonts w:hint="eastAsia" w:ascii="微软雅黑" w:hAnsi="微软雅黑" w:eastAsia="微软雅黑" w:cs="微软雅黑"/>
                <w:highlight w:val="none"/>
              </w:rPr>
            </w:pPr>
          </w:p>
        </w:tc>
      </w:tr>
      <w:tr w14:paraId="645B2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9" w:type="dxa"/>
          </w:tcPr>
          <w:p w14:paraId="26288A9D">
            <w:pPr>
              <w:shd w:val="clear"/>
              <w:rPr>
                <w:rFonts w:hint="eastAsia" w:ascii="微软雅黑" w:hAnsi="微软雅黑" w:eastAsia="微软雅黑" w:cs="微软雅黑"/>
                <w:highlight w:val="none"/>
              </w:rPr>
            </w:pPr>
          </w:p>
        </w:tc>
        <w:tc>
          <w:tcPr>
            <w:tcW w:w="845" w:type="dxa"/>
          </w:tcPr>
          <w:p w14:paraId="109C9A4B">
            <w:pPr>
              <w:shd w:val="clear"/>
              <w:rPr>
                <w:rFonts w:hint="eastAsia" w:ascii="微软雅黑" w:hAnsi="微软雅黑" w:eastAsia="微软雅黑" w:cs="微软雅黑"/>
                <w:highlight w:val="none"/>
              </w:rPr>
            </w:pPr>
          </w:p>
        </w:tc>
        <w:tc>
          <w:tcPr>
            <w:tcW w:w="2986" w:type="dxa"/>
          </w:tcPr>
          <w:p w14:paraId="425B0BA7">
            <w:pPr>
              <w:shd w:val="clear"/>
              <w:rPr>
                <w:rFonts w:hint="eastAsia" w:ascii="微软雅黑" w:hAnsi="微软雅黑" w:eastAsia="微软雅黑" w:cs="微软雅黑"/>
                <w:highlight w:val="none"/>
              </w:rPr>
            </w:pPr>
          </w:p>
        </w:tc>
        <w:tc>
          <w:tcPr>
            <w:tcW w:w="1277" w:type="dxa"/>
          </w:tcPr>
          <w:p w14:paraId="3219DB36">
            <w:pPr>
              <w:shd w:val="clear"/>
              <w:rPr>
                <w:rFonts w:hint="eastAsia" w:ascii="微软雅黑" w:hAnsi="微软雅黑" w:eastAsia="微软雅黑" w:cs="微软雅黑"/>
                <w:highlight w:val="none"/>
              </w:rPr>
            </w:pPr>
          </w:p>
        </w:tc>
        <w:tc>
          <w:tcPr>
            <w:tcW w:w="2079" w:type="dxa"/>
          </w:tcPr>
          <w:p w14:paraId="6646A22A">
            <w:pPr>
              <w:shd w:val="clear"/>
              <w:rPr>
                <w:rFonts w:hint="eastAsia" w:ascii="微软雅黑" w:hAnsi="微软雅黑" w:eastAsia="微软雅黑" w:cs="微软雅黑"/>
                <w:highlight w:val="none"/>
              </w:rPr>
            </w:pPr>
          </w:p>
        </w:tc>
      </w:tr>
      <w:tr w14:paraId="3C6AD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99" w:type="dxa"/>
          </w:tcPr>
          <w:p w14:paraId="6CB24200">
            <w:pPr>
              <w:shd w:val="clear"/>
              <w:rPr>
                <w:rFonts w:hint="eastAsia" w:ascii="微软雅黑" w:hAnsi="微软雅黑" w:eastAsia="微软雅黑" w:cs="微软雅黑"/>
                <w:highlight w:val="none"/>
              </w:rPr>
            </w:pPr>
          </w:p>
        </w:tc>
        <w:tc>
          <w:tcPr>
            <w:tcW w:w="845" w:type="dxa"/>
          </w:tcPr>
          <w:p w14:paraId="72FE340F">
            <w:pPr>
              <w:shd w:val="clear"/>
              <w:rPr>
                <w:rFonts w:hint="eastAsia" w:ascii="微软雅黑" w:hAnsi="微软雅黑" w:eastAsia="微软雅黑" w:cs="微软雅黑"/>
                <w:highlight w:val="none"/>
              </w:rPr>
            </w:pPr>
          </w:p>
        </w:tc>
        <w:tc>
          <w:tcPr>
            <w:tcW w:w="2986" w:type="dxa"/>
          </w:tcPr>
          <w:p w14:paraId="7F9E7529">
            <w:pPr>
              <w:shd w:val="clear"/>
              <w:rPr>
                <w:rFonts w:hint="eastAsia" w:ascii="微软雅黑" w:hAnsi="微软雅黑" w:eastAsia="微软雅黑" w:cs="微软雅黑"/>
                <w:highlight w:val="none"/>
              </w:rPr>
            </w:pPr>
          </w:p>
        </w:tc>
        <w:tc>
          <w:tcPr>
            <w:tcW w:w="1277" w:type="dxa"/>
          </w:tcPr>
          <w:p w14:paraId="52D850D3">
            <w:pPr>
              <w:shd w:val="clear"/>
              <w:rPr>
                <w:rFonts w:hint="eastAsia" w:ascii="微软雅黑" w:hAnsi="微软雅黑" w:eastAsia="微软雅黑" w:cs="微软雅黑"/>
                <w:highlight w:val="none"/>
              </w:rPr>
            </w:pPr>
          </w:p>
        </w:tc>
        <w:tc>
          <w:tcPr>
            <w:tcW w:w="2079" w:type="dxa"/>
          </w:tcPr>
          <w:p w14:paraId="6D1D0799">
            <w:pPr>
              <w:shd w:val="clear"/>
              <w:rPr>
                <w:rFonts w:hint="eastAsia" w:ascii="微软雅黑" w:hAnsi="微软雅黑" w:eastAsia="微软雅黑" w:cs="微软雅黑"/>
                <w:highlight w:val="none"/>
              </w:rPr>
            </w:pPr>
          </w:p>
        </w:tc>
      </w:tr>
    </w:tbl>
    <w:p w14:paraId="1955964C">
      <w:pPr>
        <w:shd w:val="clear"/>
        <w:rPr>
          <w:rFonts w:hint="eastAsia" w:ascii="微软雅黑" w:hAnsi="微软雅黑" w:eastAsia="微软雅黑" w:cs="微软雅黑"/>
          <w:highlight w:val="none"/>
        </w:rPr>
      </w:pPr>
    </w:p>
    <w:p w14:paraId="6B6F0E7F">
      <w:pPr>
        <w:shd w:val="clear"/>
        <w:rPr>
          <w:rFonts w:hint="eastAsia" w:ascii="微软雅黑" w:hAnsi="微软雅黑" w:eastAsia="微软雅黑" w:cs="微软雅黑"/>
          <w:highlight w:val="none"/>
        </w:rPr>
      </w:pPr>
    </w:p>
    <w:p w14:paraId="25AB8678">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2、甲方对其提供数据的合作具体要求</w:t>
      </w:r>
    </w:p>
    <w:p w14:paraId="3E243057">
      <w:pPr>
        <w:shd w:val="clear"/>
        <w:rPr>
          <w:rFonts w:hint="eastAsia" w:ascii="微软雅黑" w:hAnsi="微软雅黑" w:eastAsia="微软雅黑" w:cs="微软雅黑"/>
          <w:highlight w:val="none"/>
        </w:rPr>
      </w:pPr>
    </w:p>
    <w:tbl>
      <w:tblPr>
        <w:tblStyle w:val="124"/>
        <w:tblW w:w="82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8"/>
        <w:gridCol w:w="1843"/>
        <w:gridCol w:w="1363"/>
        <w:gridCol w:w="2203"/>
        <w:gridCol w:w="1157"/>
      </w:tblGrid>
      <w:tr w14:paraId="70A94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tcPr>
          <w:p w14:paraId="5F791DE7">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数据类型</w:t>
            </w:r>
          </w:p>
        </w:tc>
        <w:tc>
          <w:tcPr>
            <w:tcW w:w="1843" w:type="dxa"/>
          </w:tcPr>
          <w:p w14:paraId="41678482">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合作事项</w:t>
            </w:r>
          </w:p>
        </w:tc>
        <w:tc>
          <w:tcPr>
            <w:tcW w:w="1363" w:type="dxa"/>
          </w:tcPr>
          <w:p w14:paraId="07A9CB64">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合作期限</w:t>
            </w:r>
          </w:p>
        </w:tc>
        <w:tc>
          <w:tcPr>
            <w:tcW w:w="2203" w:type="dxa"/>
          </w:tcPr>
          <w:p w14:paraId="6B2B8F4D">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合作性质和目的</w:t>
            </w:r>
          </w:p>
        </w:tc>
        <w:tc>
          <w:tcPr>
            <w:tcW w:w="1157" w:type="dxa"/>
          </w:tcPr>
          <w:p w14:paraId="24414190">
            <w:pPr>
              <w:shd w:val="clear"/>
              <w:rPr>
                <w:rFonts w:hint="eastAsia" w:ascii="微软雅黑" w:hAnsi="微软雅黑" w:eastAsia="微软雅黑" w:cs="微软雅黑"/>
                <w:highlight w:val="none"/>
              </w:rPr>
            </w:pPr>
            <w:r>
              <w:rPr>
                <w:rFonts w:hint="eastAsia" w:ascii="微软雅黑" w:hAnsi="微软雅黑" w:eastAsia="微软雅黑" w:cs="微软雅黑"/>
                <w:highlight w:val="none"/>
              </w:rPr>
              <w:t>其他</w:t>
            </w:r>
          </w:p>
        </w:tc>
      </w:tr>
      <w:tr w14:paraId="7FE87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tcPr>
          <w:p w14:paraId="606A32A4">
            <w:pPr>
              <w:shd w:val="clear"/>
              <w:rPr>
                <w:rFonts w:hint="eastAsia" w:ascii="微软雅黑" w:hAnsi="微软雅黑" w:eastAsia="微软雅黑" w:cs="微软雅黑"/>
                <w:highlight w:val="none"/>
              </w:rPr>
            </w:pPr>
          </w:p>
        </w:tc>
        <w:tc>
          <w:tcPr>
            <w:tcW w:w="1843" w:type="dxa"/>
          </w:tcPr>
          <w:p w14:paraId="15B01B9E">
            <w:pPr>
              <w:shd w:val="clear"/>
              <w:rPr>
                <w:rFonts w:hint="eastAsia" w:ascii="微软雅黑" w:hAnsi="微软雅黑" w:eastAsia="微软雅黑" w:cs="微软雅黑"/>
                <w:highlight w:val="none"/>
              </w:rPr>
            </w:pPr>
          </w:p>
        </w:tc>
        <w:tc>
          <w:tcPr>
            <w:tcW w:w="1363" w:type="dxa"/>
          </w:tcPr>
          <w:p w14:paraId="244BC496">
            <w:pPr>
              <w:shd w:val="clear"/>
              <w:rPr>
                <w:rFonts w:hint="eastAsia" w:ascii="微软雅黑" w:hAnsi="微软雅黑" w:eastAsia="微软雅黑" w:cs="微软雅黑"/>
                <w:highlight w:val="none"/>
              </w:rPr>
            </w:pPr>
          </w:p>
        </w:tc>
        <w:tc>
          <w:tcPr>
            <w:tcW w:w="2203" w:type="dxa"/>
          </w:tcPr>
          <w:p w14:paraId="320D842A">
            <w:pPr>
              <w:shd w:val="clear"/>
              <w:rPr>
                <w:rFonts w:hint="eastAsia" w:ascii="微软雅黑" w:hAnsi="微软雅黑" w:eastAsia="微软雅黑" w:cs="微软雅黑"/>
                <w:highlight w:val="none"/>
              </w:rPr>
            </w:pPr>
          </w:p>
        </w:tc>
        <w:tc>
          <w:tcPr>
            <w:tcW w:w="1157" w:type="dxa"/>
          </w:tcPr>
          <w:p w14:paraId="51599269">
            <w:pPr>
              <w:shd w:val="clear"/>
              <w:rPr>
                <w:rFonts w:hint="eastAsia" w:ascii="微软雅黑" w:hAnsi="微软雅黑" w:eastAsia="微软雅黑" w:cs="微软雅黑"/>
                <w:highlight w:val="none"/>
              </w:rPr>
            </w:pPr>
          </w:p>
        </w:tc>
      </w:tr>
      <w:tr w14:paraId="61D10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tcPr>
          <w:p w14:paraId="56C02035">
            <w:pPr>
              <w:shd w:val="clear"/>
              <w:rPr>
                <w:rFonts w:hint="eastAsia" w:ascii="微软雅黑" w:hAnsi="微软雅黑" w:eastAsia="微软雅黑" w:cs="微软雅黑"/>
                <w:highlight w:val="none"/>
              </w:rPr>
            </w:pPr>
          </w:p>
        </w:tc>
        <w:tc>
          <w:tcPr>
            <w:tcW w:w="1843" w:type="dxa"/>
          </w:tcPr>
          <w:p w14:paraId="5C4BD12B">
            <w:pPr>
              <w:shd w:val="clear"/>
              <w:rPr>
                <w:rFonts w:hint="eastAsia" w:ascii="微软雅黑" w:hAnsi="微软雅黑" w:eastAsia="微软雅黑" w:cs="微软雅黑"/>
                <w:highlight w:val="none"/>
              </w:rPr>
            </w:pPr>
          </w:p>
        </w:tc>
        <w:tc>
          <w:tcPr>
            <w:tcW w:w="1363" w:type="dxa"/>
          </w:tcPr>
          <w:p w14:paraId="175A17D9">
            <w:pPr>
              <w:shd w:val="clear"/>
              <w:rPr>
                <w:rFonts w:hint="eastAsia" w:ascii="微软雅黑" w:hAnsi="微软雅黑" w:eastAsia="微软雅黑" w:cs="微软雅黑"/>
                <w:highlight w:val="none"/>
              </w:rPr>
            </w:pPr>
          </w:p>
        </w:tc>
        <w:tc>
          <w:tcPr>
            <w:tcW w:w="2203" w:type="dxa"/>
          </w:tcPr>
          <w:p w14:paraId="1D9ADAD8">
            <w:pPr>
              <w:shd w:val="clear"/>
              <w:rPr>
                <w:rFonts w:hint="eastAsia" w:ascii="微软雅黑" w:hAnsi="微软雅黑" w:eastAsia="微软雅黑" w:cs="微软雅黑"/>
                <w:highlight w:val="none"/>
              </w:rPr>
            </w:pPr>
          </w:p>
        </w:tc>
        <w:tc>
          <w:tcPr>
            <w:tcW w:w="1157" w:type="dxa"/>
          </w:tcPr>
          <w:p w14:paraId="2B20F99E">
            <w:pPr>
              <w:shd w:val="clear"/>
              <w:rPr>
                <w:rFonts w:hint="eastAsia" w:ascii="微软雅黑" w:hAnsi="微软雅黑" w:eastAsia="微软雅黑" w:cs="微软雅黑"/>
                <w:highlight w:val="none"/>
              </w:rPr>
            </w:pPr>
          </w:p>
        </w:tc>
      </w:tr>
      <w:tr w14:paraId="4FBF3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tcPr>
          <w:p w14:paraId="1FF249EE">
            <w:pPr>
              <w:shd w:val="clear"/>
              <w:rPr>
                <w:rFonts w:hint="eastAsia" w:ascii="微软雅黑" w:hAnsi="微软雅黑" w:eastAsia="微软雅黑" w:cs="微软雅黑"/>
                <w:highlight w:val="none"/>
              </w:rPr>
            </w:pPr>
          </w:p>
        </w:tc>
        <w:tc>
          <w:tcPr>
            <w:tcW w:w="1843" w:type="dxa"/>
          </w:tcPr>
          <w:p w14:paraId="215E776A">
            <w:pPr>
              <w:shd w:val="clear"/>
              <w:rPr>
                <w:rFonts w:hint="eastAsia" w:ascii="微软雅黑" w:hAnsi="微软雅黑" w:eastAsia="微软雅黑" w:cs="微软雅黑"/>
                <w:highlight w:val="none"/>
              </w:rPr>
            </w:pPr>
          </w:p>
        </w:tc>
        <w:tc>
          <w:tcPr>
            <w:tcW w:w="1363" w:type="dxa"/>
          </w:tcPr>
          <w:p w14:paraId="68EC8FB7">
            <w:pPr>
              <w:shd w:val="clear"/>
              <w:rPr>
                <w:rFonts w:hint="eastAsia" w:ascii="微软雅黑" w:hAnsi="微软雅黑" w:eastAsia="微软雅黑" w:cs="微软雅黑"/>
                <w:highlight w:val="none"/>
              </w:rPr>
            </w:pPr>
          </w:p>
        </w:tc>
        <w:tc>
          <w:tcPr>
            <w:tcW w:w="2203" w:type="dxa"/>
          </w:tcPr>
          <w:p w14:paraId="3F34C1E5">
            <w:pPr>
              <w:shd w:val="clear"/>
              <w:rPr>
                <w:rFonts w:hint="eastAsia" w:ascii="微软雅黑" w:hAnsi="微软雅黑" w:eastAsia="微软雅黑" w:cs="微软雅黑"/>
                <w:highlight w:val="none"/>
              </w:rPr>
            </w:pPr>
          </w:p>
        </w:tc>
        <w:tc>
          <w:tcPr>
            <w:tcW w:w="1157" w:type="dxa"/>
          </w:tcPr>
          <w:p w14:paraId="1C9CB929">
            <w:pPr>
              <w:shd w:val="clear"/>
              <w:rPr>
                <w:rFonts w:hint="eastAsia" w:ascii="微软雅黑" w:hAnsi="微软雅黑" w:eastAsia="微软雅黑" w:cs="微软雅黑"/>
                <w:highlight w:val="none"/>
              </w:rPr>
            </w:pPr>
          </w:p>
        </w:tc>
      </w:tr>
      <w:tr w14:paraId="10729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tcPr>
          <w:p w14:paraId="3449E940">
            <w:pPr>
              <w:shd w:val="clear"/>
              <w:rPr>
                <w:rFonts w:hint="eastAsia" w:ascii="微软雅黑" w:hAnsi="微软雅黑" w:eastAsia="微软雅黑" w:cs="微软雅黑"/>
                <w:highlight w:val="none"/>
              </w:rPr>
            </w:pPr>
          </w:p>
        </w:tc>
        <w:tc>
          <w:tcPr>
            <w:tcW w:w="1843" w:type="dxa"/>
          </w:tcPr>
          <w:p w14:paraId="7B470010">
            <w:pPr>
              <w:shd w:val="clear"/>
              <w:rPr>
                <w:rFonts w:hint="eastAsia" w:ascii="微软雅黑" w:hAnsi="微软雅黑" w:eastAsia="微软雅黑" w:cs="微软雅黑"/>
                <w:highlight w:val="none"/>
              </w:rPr>
            </w:pPr>
          </w:p>
        </w:tc>
        <w:tc>
          <w:tcPr>
            <w:tcW w:w="1363" w:type="dxa"/>
          </w:tcPr>
          <w:p w14:paraId="3F73DC3A">
            <w:pPr>
              <w:shd w:val="clear"/>
              <w:rPr>
                <w:rFonts w:hint="eastAsia" w:ascii="微软雅黑" w:hAnsi="微软雅黑" w:eastAsia="微软雅黑" w:cs="微软雅黑"/>
                <w:highlight w:val="none"/>
              </w:rPr>
            </w:pPr>
          </w:p>
        </w:tc>
        <w:tc>
          <w:tcPr>
            <w:tcW w:w="2203" w:type="dxa"/>
          </w:tcPr>
          <w:p w14:paraId="18D1DFF9">
            <w:pPr>
              <w:shd w:val="clear"/>
              <w:rPr>
                <w:rFonts w:hint="eastAsia" w:ascii="微软雅黑" w:hAnsi="微软雅黑" w:eastAsia="微软雅黑" w:cs="微软雅黑"/>
                <w:highlight w:val="none"/>
              </w:rPr>
            </w:pPr>
          </w:p>
        </w:tc>
        <w:tc>
          <w:tcPr>
            <w:tcW w:w="1157" w:type="dxa"/>
          </w:tcPr>
          <w:p w14:paraId="4108DAC4">
            <w:pPr>
              <w:shd w:val="clear"/>
              <w:rPr>
                <w:rFonts w:hint="eastAsia" w:ascii="微软雅黑" w:hAnsi="微软雅黑" w:eastAsia="微软雅黑" w:cs="微软雅黑"/>
                <w:highlight w:val="none"/>
              </w:rPr>
            </w:pPr>
          </w:p>
        </w:tc>
      </w:tr>
    </w:tbl>
    <w:p w14:paraId="6D09BD7F">
      <w:pPr>
        <w:shd w:val="clear"/>
        <w:spacing w:line="360" w:lineRule="exact"/>
        <w:rPr>
          <w:rFonts w:hint="default" w:ascii="仿宋" w:hAnsi="仿宋" w:eastAsia="仿宋"/>
          <w:sz w:val="24"/>
          <w:highlight w:val="none"/>
          <w:lang w:val="en-US" w:eastAsia="zh-CN"/>
        </w:rPr>
      </w:pPr>
    </w:p>
    <w:p w14:paraId="23C25D5E">
      <w:pPr>
        <w:pStyle w:val="32"/>
        <w:shd w:val="clear"/>
        <w:tabs>
          <w:tab w:val="left" w:pos="426"/>
          <w:tab w:val="clear" w:pos="567"/>
        </w:tabs>
        <w:rPr>
          <w:highlight w:val="none"/>
        </w:rPr>
        <w:sectPr>
          <w:pgSz w:w="11906" w:h="16838"/>
          <w:pgMar w:top="1418" w:right="1797" w:bottom="1440" w:left="1797" w:header="851" w:footer="992" w:gutter="0"/>
          <w:cols w:space="720" w:num="1"/>
          <w:docGrid w:type="linesAndChars" w:linePitch="312" w:charSpace="0"/>
        </w:sectPr>
      </w:pPr>
    </w:p>
    <w:p w14:paraId="1D273796">
      <w:pPr>
        <w:widowControl/>
        <w:spacing w:line="360" w:lineRule="exact"/>
        <w:jc w:val="left"/>
        <w:rPr>
          <w:rFonts w:ascii="仿宋" w:hAnsi="仿宋" w:eastAsia="仿宋"/>
          <w:color w:val="000000"/>
          <w:sz w:val="24"/>
          <w:highlight w:val="none"/>
        </w:rPr>
      </w:pPr>
    </w:p>
    <w:bookmarkEnd w:id="621"/>
    <w:bookmarkEnd w:id="622"/>
    <w:p w14:paraId="6BEAF2D2">
      <w:pPr>
        <w:pStyle w:val="55"/>
        <w:pageBreakBefore w:val="0"/>
        <w:widowControl w:val="0"/>
        <w:numPr>
          <w:ilvl w:val="0"/>
          <w:numId w:val="30"/>
        </w:numPr>
        <w:kinsoku/>
        <w:wordWrap/>
        <w:overflowPunct/>
        <w:topLinePunct w:val="0"/>
        <w:autoSpaceDE/>
        <w:autoSpaceDN/>
        <w:bidi w:val="0"/>
        <w:adjustRightInd/>
        <w:snapToGrid/>
        <w:spacing w:before="240" w:after="120" w:line="360" w:lineRule="auto"/>
        <w:textAlignment w:val="auto"/>
        <w:rPr>
          <w:rFonts w:hint="eastAsia" w:ascii="宋体" w:hAnsi="宋体" w:eastAsia="宋体" w:cs="宋体"/>
          <w:b/>
          <w:bCs w:val="0"/>
          <w:kern w:val="0"/>
          <w:sz w:val="28"/>
          <w:szCs w:val="28"/>
          <w:highlight w:val="none"/>
        </w:rPr>
      </w:pPr>
      <w:bookmarkStart w:id="722" w:name="_Toc24812"/>
      <w:bookmarkStart w:id="723" w:name="_Toc38008075"/>
      <w:r>
        <w:rPr>
          <w:rFonts w:hint="eastAsia" w:ascii="宋体" w:hAnsi="宋体" w:eastAsia="宋体" w:cs="宋体"/>
          <w:b/>
          <w:bCs w:val="0"/>
          <w:kern w:val="0"/>
          <w:sz w:val="28"/>
          <w:szCs w:val="28"/>
          <w:highlight w:val="none"/>
        </w:rPr>
        <w:t>技术规范书</w:t>
      </w:r>
      <w:bookmarkEnd w:id="722"/>
      <w:bookmarkStart w:id="724" w:name="_Toc162873214"/>
      <w:bookmarkStart w:id="725" w:name="_Toc399332887"/>
      <w:bookmarkStart w:id="726" w:name="_Toc338677610"/>
      <w:bookmarkStart w:id="727" w:name="_Toc135124234"/>
    </w:p>
    <w:bookmarkEnd w:id="724"/>
    <w:bookmarkEnd w:id="725"/>
    <w:bookmarkEnd w:id="726"/>
    <w:bookmarkEnd w:id="727"/>
    <w:p w14:paraId="5A7A6FB1">
      <w:pPr>
        <w:keepNext/>
        <w:keepLines/>
        <w:pageBreakBefore w:val="0"/>
        <w:widowControl w:val="0"/>
        <w:numPr>
          <w:ilvl w:val="1"/>
          <w:numId w:val="31"/>
        </w:numPr>
        <w:kinsoku/>
        <w:wordWrap/>
        <w:overflowPunct/>
        <w:topLinePunct w:val="0"/>
        <w:autoSpaceDE/>
        <w:autoSpaceDN/>
        <w:bidi w:val="0"/>
        <w:adjustRightInd w:val="0"/>
        <w:snapToGrid w:val="0"/>
        <w:spacing w:before="180" w:after="120" w:line="240" w:lineRule="auto"/>
        <w:ind w:left="0" w:firstLine="0" w:firstLineChars="0"/>
        <w:jc w:val="left"/>
        <w:textAlignment w:val="bottom"/>
        <w:outlineLvl w:val="1"/>
        <w:rPr>
          <w:rFonts w:hint="eastAsia" w:ascii="宋体" w:hAnsi="宋体" w:eastAsia="宋体" w:cs="宋体"/>
          <w:b/>
          <w:bCs/>
          <w:sz w:val="28"/>
          <w:szCs w:val="28"/>
          <w:lang w:val="en-US" w:eastAsia="zh-CN" w:bidi="ar-SA"/>
        </w:rPr>
      </w:pPr>
      <w:bookmarkStart w:id="728" w:name="_Toc27319"/>
      <w:bookmarkStart w:id="729" w:name="_Toc10457"/>
      <w:bookmarkStart w:id="730" w:name="_Toc30445"/>
      <w:bookmarkStart w:id="731" w:name="_Toc516059036"/>
      <w:bookmarkStart w:id="732" w:name="_Toc11677"/>
      <w:bookmarkStart w:id="733" w:name="_Toc6172"/>
      <w:bookmarkStart w:id="734" w:name="_Toc466036648"/>
      <w:bookmarkStart w:id="735" w:name="_Toc8068"/>
      <w:r>
        <w:rPr>
          <w:rFonts w:hint="eastAsia" w:ascii="宋体" w:hAnsi="宋体" w:eastAsia="宋体" w:cs="宋体"/>
          <w:b/>
          <w:bCs/>
          <w:sz w:val="28"/>
          <w:szCs w:val="28"/>
          <w:lang w:val="en-US" w:eastAsia="zh-CN" w:bidi="ar-SA"/>
        </w:rPr>
        <w:t>总则</w:t>
      </w:r>
      <w:bookmarkEnd w:id="728"/>
      <w:bookmarkEnd w:id="729"/>
      <w:bookmarkEnd w:id="730"/>
      <w:bookmarkEnd w:id="731"/>
      <w:bookmarkEnd w:id="732"/>
      <w:bookmarkEnd w:id="733"/>
      <w:bookmarkEnd w:id="734"/>
      <w:bookmarkEnd w:id="735"/>
    </w:p>
    <w:p w14:paraId="576CD780">
      <w:pPr>
        <w:spacing w:line="360" w:lineRule="auto"/>
        <w:ind w:firstLine="480" w:firstLineChars="200"/>
        <w:rPr>
          <w:rFonts w:hint="eastAsia" w:ascii="宋体" w:hAnsi="宋体" w:eastAsia="宋体" w:cs="宋体"/>
          <w:kern w:val="0"/>
          <w:sz w:val="24"/>
        </w:rPr>
      </w:pPr>
      <w:bookmarkStart w:id="736" w:name="_Toc215489229"/>
      <w:bookmarkStart w:id="737" w:name="_Toc202149494"/>
      <w:bookmarkStart w:id="738" w:name="_Toc175460369"/>
      <w:r>
        <w:rPr>
          <w:rFonts w:hint="eastAsia" w:ascii="宋体" w:hAnsi="宋体" w:eastAsia="宋体" w:cs="宋体"/>
          <w:kern w:val="0"/>
          <w:sz w:val="24"/>
        </w:rPr>
        <w:t>为推进采控中心聚焦云网运行数据采集质量及云网操作能力全面标准化开放工作，支撑云网自治水平总体达到L3.5的目标，遵照2024年云网运营数字化平台建设总体规划中关于提升采控能力的深度和广度的建设要求。本期建设内容包括：</w:t>
      </w:r>
    </w:p>
    <w:bookmarkEnd w:id="736"/>
    <w:bookmarkEnd w:id="737"/>
    <w:bookmarkEnd w:id="738"/>
    <w:p w14:paraId="45136A03">
      <w:pPr>
        <w:spacing w:line="360" w:lineRule="auto"/>
        <w:ind w:firstLine="482" w:firstLineChars="200"/>
        <w:rPr>
          <w:rFonts w:hint="eastAsia" w:ascii="宋体" w:hAnsi="宋体" w:eastAsia="宋体" w:cs="宋体"/>
          <w:b/>
          <w:bCs/>
          <w:kern w:val="0"/>
          <w:sz w:val="24"/>
        </w:rPr>
      </w:pPr>
      <w:r>
        <w:rPr>
          <w:rFonts w:hint="eastAsia" w:ascii="宋体" w:hAnsi="宋体" w:eastAsia="宋体" w:cs="宋体"/>
          <w:b/>
          <w:bCs/>
          <w:kern w:val="0"/>
          <w:sz w:val="24"/>
        </w:rPr>
        <w:t>（一）集团重点专项工作</w:t>
      </w:r>
    </w:p>
    <w:p w14:paraId="6908E831">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1.两级质检重传，实现两级协同</w:t>
      </w:r>
    </w:p>
    <w:p w14:paraId="1E1E2A98">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两级采控中心为打造一体化运营体系，实现两级协同，落地新一代解耦目标，需要实现两级数据互享，实现省级数据重传，满足集团两级数据质检要求，集团一点融数，监控运营分析，实现自动化考核评估。</w:t>
      </w:r>
    </w:p>
    <w:p w14:paraId="060F3EA7">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2.全场景统一指令库，赋能全网能力快速就绪</w:t>
      </w:r>
    </w:p>
    <w:p w14:paraId="2D1D0359">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聚焦集团/省、CT/IT协同解决底层厂家指令适配工作繁杂、重复的问题。统筹分工落库，结合效能评估，识别高价值场景应用能力推广全网快速加载复制。</w:t>
      </w:r>
    </w:p>
    <w:p w14:paraId="770D9A8F">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3.构建集约能力设计台，实现天级能力上架</w:t>
      </w:r>
    </w:p>
    <w:p w14:paraId="0034990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以天级能力上架为目标，针对集约业务和省级重点业务，引入AI大模型简化API设计，提供一键API转换能力。形成一点设计、省级加载、实时验证、自动开放的端到端管控能力。</w:t>
      </w:r>
    </w:p>
    <w:p w14:paraId="1ACDD410">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4.网元孪生库工作台，指引全网数据标准化处理</w:t>
      </w:r>
    </w:p>
    <w:p w14:paraId="5618CA45">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基于自智及解耦要求梳理IP/IPRAN/PON网络数据指标形成网元孪生模型标准和网资模型转换标准，汇聚网元孪生工作台，一点对省开放，实现省级快速加载，敏捷应用。</w:t>
      </w:r>
    </w:p>
    <w:p w14:paraId="417FCFB6">
      <w:pPr>
        <w:spacing w:line="360" w:lineRule="auto"/>
        <w:ind w:firstLine="482" w:firstLineChars="200"/>
        <w:rPr>
          <w:rFonts w:hint="eastAsia" w:ascii="宋体" w:hAnsi="宋体" w:eastAsia="宋体" w:cs="宋体"/>
          <w:b/>
          <w:bCs/>
          <w:kern w:val="0"/>
          <w:sz w:val="24"/>
        </w:rPr>
      </w:pPr>
      <w:r>
        <w:rPr>
          <w:rFonts w:hint="eastAsia" w:ascii="宋体" w:hAnsi="宋体" w:eastAsia="宋体" w:cs="宋体"/>
          <w:b/>
          <w:bCs/>
          <w:kern w:val="0"/>
          <w:sz w:val="24"/>
        </w:rPr>
        <w:t>（二）提升省内业务纳管能力</w:t>
      </w:r>
    </w:p>
    <w:p w14:paraId="3E16E64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1.直连集团翼支付，减少故障隐患</w:t>
      </w:r>
    </w:p>
    <w:p w14:paraId="39ED5B22">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之前移动网业务中，翼支付业务的开通是通过采控中心调用省内翼支付平台，省内翼支付平台再调用集团翼支付平台；现省内翼支付平台缺乏维护，经常成为移网业务开通的故障点，现将省内翼支付平台下线，由采控中心直接对接集团翼支付平台减少故障隐患点。</w:t>
      </w:r>
    </w:p>
    <w:p w14:paraId="4C37E3E4">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2.扩充逻辑资源采集，支撑PSR业务开通快速上线</w:t>
      </w:r>
    </w:p>
    <w:p w14:paraId="4080A55E">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新增三大专业逻辑资源数据采集、孪生(模转)处理，提升采控设备纳管的范围与设备的广度，扩充逻辑资源采集，加大采控采集深度。逻辑资源采集需包括但不限于：逻辑端口、VLAN、子网掩码、聚合口等。</w:t>
      </w:r>
    </w:p>
    <w:p w14:paraId="63251FD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3.新一代承接政企业务开通，实现网管解耦</w:t>
      </w:r>
    </w:p>
    <w:p w14:paraId="1995DBE7">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随着省内新一代云网运营系统建设的推进，各网管系统即将进行解耦，原网管系统承接的政企业务，例如互联网专线、本地/跨域专线、入云专线、组网专线等业等，将由采控中心直连设备进行业务开通。</w:t>
      </w:r>
    </w:p>
    <w:p w14:paraId="2431A88B">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4.云业务纳管，助力云网数据融合</w:t>
      </w:r>
    </w:p>
    <w:p w14:paraId="70456FC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新增CT云和南湖行业云数据采集与能力下发功能，包括CT云和南湖行业云下交换机、服务器、云资源池等网元类型，将其整合至采控中心进行统一管控，完成配置、性能、流量、告警、日志数据的全面采集，并实现控制能力的下发，为专业网管解耦和云网自智场景提供有力支撑。</w:t>
      </w:r>
    </w:p>
    <w:p w14:paraId="7872423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5.扩展新城插件纳管，实现网管解耦</w:t>
      </w:r>
    </w:p>
    <w:p w14:paraId="66757D48">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对接北研新城插件和华思新城插件并行，新城插件逐步使用自研产品对第三方的全替代与割接；</w:t>
      </w:r>
    </w:p>
    <w:p w14:paraId="3B4D8B1C">
      <w:pPr>
        <w:numPr>
          <w:ilvl w:val="0"/>
          <w:numId w:val="32"/>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支撑北研新城插件的控制/采集模块</w:t>
      </w:r>
    </w:p>
    <w:p w14:paraId="5C208038">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对接北研新城插件控制相关业务提供API的相关能力，针对指标采集。</w:t>
      </w:r>
    </w:p>
    <w:p w14:paraId="22640E15">
      <w:pPr>
        <w:numPr>
          <w:ilvl w:val="0"/>
          <w:numId w:val="32"/>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支撑华思新城插件的采集模块</w:t>
      </w:r>
    </w:p>
    <w:p w14:paraId="7C78FF3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对接华思新城插件采集基础接口对接、指标采集、数据模型转换、网元孪生等能力。</w:t>
      </w:r>
    </w:p>
    <w:p w14:paraId="283652E8">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6.对接移动核心网插件，满足云网自智需求</w:t>
      </w:r>
    </w:p>
    <w:p w14:paraId="39E6F812">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与新建移动核心网采控插件对接，纳入采控中心框架管理，完成底层数据采集以支撑专业网管解耦和云网自智场景；同时加快推动规模应用落地，以应用为牵引充分发挥新一代的架构优势，促进客户体验和运营效率有效提升。</w:t>
      </w:r>
    </w:p>
    <w:p w14:paraId="53934076">
      <w:pPr>
        <w:spacing w:line="360" w:lineRule="auto"/>
        <w:ind w:firstLine="482" w:firstLineChars="200"/>
        <w:rPr>
          <w:rFonts w:hint="eastAsia" w:ascii="宋体" w:hAnsi="宋体" w:eastAsia="宋体" w:cs="宋体"/>
          <w:b/>
          <w:bCs/>
          <w:kern w:val="0"/>
          <w:sz w:val="24"/>
        </w:rPr>
      </w:pPr>
      <w:r>
        <w:rPr>
          <w:rFonts w:hint="eastAsia" w:ascii="宋体" w:hAnsi="宋体" w:eastAsia="宋体" w:cs="宋体"/>
          <w:b/>
          <w:bCs/>
          <w:kern w:val="2"/>
          <w:sz w:val="24"/>
        </w:rPr>
        <w:t>（三）</w:t>
      </w:r>
      <w:r>
        <w:rPr>
          <w:rFonts w:hint="eastAsia" w:ascii="宋体" w:hAnsi="宋体" w:eastAsia="宋体" w:cs="宋体"/>
          <w:b/>
          <w:bCs/>
          <w:kern w:val="0"/>
          <w:sz w:val="24"/>
        </w:rPr>
        <w:t>采控性能及安全能力提升</w:t>
      </w:r>
    </w:p>
    <w:p w14:paraId="0CE39A4C">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1.优化网元全生命周期管理，提升采控设备纳管效率</w:t>
      </w:r>
    </w:p>
    <w:p w14:paraId="2C77313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提升网元上线和下线管理能力，实时同步网元信息，网元更新记录留痕，进行网元监控，保障网元数据采集和控制下发的稳定性。</w:t>
      </w:r>
    </w:p>
    <w:p w14:paraId="312857B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2.提升系统运行监控能力，增强系统健壮性</w:t>
      </w:r>
    </w:p>
    <w:p w14:paraId="536A6F7B">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1）提升与外围系统交互告警能力，及时发现异常</w:t>
      </w:r>
    </w:p>
    <w:p w14:paraId="610255D2">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采控平台要与上游的编排、网管进行网络通讯，还需要与下游的各系统和网元通讯，在通讯中难免出现网络连接超时、网络响应超时、对端服务不可用等异常情况，因此需要一套规范的异常检测及恢复机制。</w:t>
      </w:r>
    </w:p>
    <w:p w14:paraId="7720B907">
      <w:pPr>
        <w:numPr>
          <w:ilvl w:val="0"/>
          <w:numId w:val="33"/>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实现系统内部业务调用链监控，提升系统运行稳定性</w:t>
      </w:r>
    </w:p>
    <w:p w14:paraId="6E61AEE7">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 xml:space="preserve"> 对系统中各个模块服务的运行状况和性能进行链路监控。通过对监控数据的分析，提高系统的性能、稳定性、可靠性及用户体验。</w:t>
      </w:r>
    </w:p>
    <w:p w14:paraId="0BDB31A5">
      <w:pPr>
        <w:numPr>
          <w:ilvl w:val="0"/>
          <w:numId w:val="33"/>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实现网元/平台异常自愈，提升故障自动恢复能力</w:t>
      </w:r>
    </w:p>
    <w:p w14:paraId="4C6EEA1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实时监控网元连接超时以及连接异常的工单，对其进行拦截，进行周期性网络连接性测试，待网络恢复后，自动恢复业务流程。</w:t>
      </w:r>
    </w:p>
    <w:p w14:paraId="71E513DF">
      <w:pPr>
        <w:numPr>
          <w:ilvl w:val="0"/>
          <w:numId w:val="33"/>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实现PAAS组件异常自愈，提升故障恢复能力</w:t>
      </w:r>
    </w:p>
    <w:p w14:paraId="03C889F5">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时感知采控平台各个模块与组件的异常情况，对平台组件出现连接超时以及连接异常的工单进行拦截，进行一定周期内重试，避免因为网络波动导致的工单故障，重试一定次数后，故障还未恢复，则发送告警进行人工干预。</w:t>
      </w:r>
    </w:p>
    <w:p w14:paraId="0D3422BF">
      <w:pPr>
        <w:numPr>
          <w:ilvl w:val="0"/>
          <w:numId w:val="33"/>
        </w:num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强化权限管控，保障系统的稳定运行</w:t>
      </w:r>
    </w:p>
    <w:p w14:paraId="40C376EF">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对系统成员所拥有的权限进行灵活的控制，确保每个成员只能访问和操作其被授权或临时授权的资源和指令，从而保护系统的敏感信息、保障系统的稳定运行。</w:t>
      </w:r>
    </w:p>
    <w:p w14:paraId="1CC1E0A3">
      <w:pPr>
        <w:spacing w:line="360" w:lineRule="auto"/>
        <w:ind w:firstLine="482" w:firstLineChars="200"/>
        <w:rPr>
          <w:rFonts w:hint="eastAsia" w:ascii="宋体" w:hAnsi="宋体" w:eastAsia="宋体" w:cs="宋体"/>
          <w:b/>
          <w:bCs/>
          <w:kern w:val="0"/>
          <w:sz w:val="24"/>
        </w:rPr>
      </w:pPr>
      <w:r>
        <w:rPr>
          <w:rFonts w:hint="eastAsia" w:ascii="宋体" w:hAnsi="宋体" w:eastAsia="宋体" w:cs="宋体"/>
          <w:b/>
          <w:bCs/>
          <w:kern w:val="0"/>
          <w:sz w:val="24"/>
        </w:rPr>
        <w:t>（四）日常需求建设内容：支撑日常需求</w:t>
      </w:r>
    </w:p>
    <w:p w14:paraId="5CE4FF74">
      <w:pPr>
        <w:spacing w:line="360" w:lineRule="auto"/>
        <w:ind w:left="210" w:leftChars="100" w:firstLine="240" w:firstLineChars="100"/>
        <w:rPr>
          <w:rFonts w:hint="eastAsia" w:ascii="宋体" w:hAnsi="宋体" w:eastAsia="宋体" w:cs="宋体"/>
          <w:kern w:val="0"/>
          <w:sz w:val="24"/>
        </w:rPr>
      </w:pPr>
      <w:r>
        <w:rPr>
          <w:rFonts w:hint="eastAsia" w:ascii="宋体" w:hAnsi="宋体" w:eastAsia="宋体" w:cs="宋体"/>
          <w:kern w:val="0"/>
          <w:sz w:val="24"/>
        </w:rPr>
        <w:t>1.配合集团日常指标考核及两级采控运营工作。</w:t>
      </w:r>
    </w:p>
    <w:p w14:paraId="06BCE633">
      <w:pPr>
        <w:spacing w:line="360" w:lineRule="auto"/>
        <w:ind w:left="210" w:leftChars="100" w:firstLine="240" w:firstLineChars="100"/>
        <w:rPr>
          <w:rFonts w:hint="eastAsia" w:ascii="宋体" w:hAnsi="宋体" w:eastAsia="宋体" w:cs="宋体"/>
          <w:kern w:val="0"/>
          <w:sz w:val="24"/>
        </w:rPr>
      </w:pPr>
      <w:r>
        <w:rPr>
          <w:rFonts w:hint="eastAsia" w:ascii="宋体" w:hAnsi="宋体" w:eastAsia="宋体" w:cs="宋体"/>
          <w:kern w:val="0"/>
          <w:sz w:val="24"/>
        </w:rPr>
        <w:t>2.配合编排中心、资源能力中心、各专业能力调度系统的接口联调及日常数据维护。</w:t>
      </w:r>
    </w:p>
    <w:p w14:paraId="66EF3369">
      <w:pPr>
        <w:spacing w:line="360" w:lineRule="auto"/>
        <w:ind w:left="210" w:leftChars="100" w:firstLine="240" w:firstLineChars="100"/>
        <w:rPr>
          <w:rFonts w:hint="eastAsia" w:ascii="宋体" w:hAnsi="宋体" w:eastAsia="宋体" w:cs="宋体"/>
          <w:kern w:val="0"/>
          <w:sz w:val="24"/>
        </w:rPr>
      </w:pPr>
      <w:r>
        <w:rPr>
          <w:rFonts w:hint="eastAsia" w:ascii="宋体" w:hAnsi="宋体" w:eastAsia="宋体" w:cs="宋体"/>
          <w:kern w:val="0"/>
          <w:sz w:val="24"/>
        </w:rPr>
        <w:t>3.配合各专业做好自智场景应用支撑。</w:t>
      </w:r>
    </w:p>
    <w:p w14:paraId="11CDA262">
      <w:pPr>
        <w:spacing w:line="360" w:lineRule="auto"/>
        <w:ind w:left="210" w:leftChars="100" w:firstLine="240" w:firstLineChars="100"/>
        <w:rPr>
          <w:rFonts w:hint="eastAsia" w:ascii="宋体" w:hAnsi="宋体" w:eastAsia="宋体" w:cs="宋体"/>
          <w:kern w:val="0"/>
          <w:sz w:val="24"/>
        </w:rPr>
      </w:pPr>
      <w:r>
        <w:rPr>
          <w:rFonts w:hint="eastAsia" w:ascii="宋体" w:hAnsi="宋体" w:eastAsia="宋体" w:cs="宋体"/>
          <w:kern w:val="0"/>
          <w:sz w:val="24"/>
        </w:rPr>
        <w:t>4.配合资源中心完成资源数实一致率提升。</w:t>
      </w:r>
    </w:p>
    <w:p w14:paraId="60DFECFD">
      <w:pPr>
        <w:spacing w:line="360" w:lineRule="auto"/>
        <w:ind w:left="210" w:leftChars="100" w:firstLine="240" w:firstLineChars="100"/>
        <w:rPr>
          <w:rFonts w:hint="eastAsia" w:ascii="宋体" w:hAnsi="宋体" w:eastAsia="宋体" w:cs="宋体"/>
          <w:kern w:val="0"/>
          <w:sz w:val="24"/>
        </w:rPr>
      </w:pPr>
      <w:r>
        <w:rPr>
          <w:rFonts w:hint="eastAsia" w:ascii="宋体" w:hAnsi="宋体" w:eastAsia="宋体" w:cs="宋体"/>
          <w:kern w:val="0"/>
          <w:sz w:val="24"/>
        </w:rPr>
        <w:t>5.配合IP/IPRAN/PON专业网管解耦。</w:t>
      </w:r>
    </w:p>
    <w:p w14:paraId="3E1263E7">
      <w:pPr>
        <w:pStyle w:val="4"/>
        <w:autoSpaceDE/>
        <w:autoSpaceDN/>
        <w:rPr>
          <w:rFonts w:ascii="Times New Roman" w:eastAsia="宋体" w:cs="Times New Roman"/>
        </w:rPr>
      </w:pPr>
    </w:p>
    <w:p w14:paraId="58849CCB">
      <w:pPr>
        <w:pStyle w:val="125"/>
        <w:ind w:firstLine="480"/>
        <w:rPr>
          <w:rFonts w:hint="eastAsia" w:eastAsia="宋体" w:cs="Times New Roman"/>
          <w:b w:val="0"/>
          <w:kern w:val="0"/>
          <w:szCs w:val="24"/>
          <w:highlight w:val="none"/>
        </w:rPr>
      </w:pPr>
      <w:r>
        <w:rPr>
          <w:rFonts w:hint="eastAsia" w:eastAsia="宋体" w:cs="Times New Roman"/>
          <w:b w:val="0"/>
          <w:kern w:val="0"/>
          <w:szCs w:val="24"/>
        </w:rPr>
        <w:t>本</w:t>
      </w:r>
      <w:r>
        <w:rPr>
          <w:rFonts w:hint="eastAsia" w:eastAsia="宋体" w:cs="Times New Roman"/>
          <w:b w:val="0"/>
          <w:kern w:val="0"/>
          <w:szCs w:val="24"/>
          <w:highlight w:val="none"/>
        </w:rPr>
        <w:t>文件是</w:t>
      </w:r>
      <w:r>
        <w:rPr>
          <w:rFonts w:hint="eastAsia" w:eastAsia="宋体" w:cs="Times New Roman"/>
          <w:b w:val="0"/>
          <w:color w:val="auto"/>
          <w:kern w:val="0"/>
          <w:szCs w:val="24"/>
          <w:highlight w:val="none"/>
        </w:rPr>
        <w:t>中国电信</w:t>
      </w:r>
      <w:r>
        <w:rPr>
          <w:rFonts w:hint="eastAsia" w:cs="Times New Roman"/>
          <w:b w:val="0"/>
          <w:color w:val="auto"/>
          <w:kern w:val="0"/>
          <w:szCs w:val="24"/>
          <w:highlight w:val="none"/>
          <w:lang w:val="en-US" w:eastAsia="zh-CN"/>
        </w:rPr>
        <w:t>股份</w:t>
      </w:r>
      <w:r>
        <w:rPr>
          <w:rFonts w:eastAsia="宋体" w:cs="Times New Roman"/>
          <w:b w:val="0"/>
          <w:color w:val="auto"/>
          <w:kern w:val="0"/>
          <w:szCs w:val="24"/>
          <w:highlight w:val="none"/>
        </w:rPr>
        <w:t>有限</w:t>
      </w:r>
      <w:r>
        <w:rPr>
          <w:rFonts w:hint="eastAsia" w:eastAsia="宋体" w:cs="Times New Roman"/>
          <w:b w:val="0"/>
          <w:color w:val="auto"/>
          <w:kern w:val="0"/>
          <w:szCs w:val="24"/>
          <w:highlight w:val="none"/>
        </w:rPr>
        <w:t>公司湖北</w:t>
      </w:r>
      <w:r>
        <w:rPr>
          <w:rFonts w:eastAsia="宋体" w:cs="Times New Roman"/>
          <w:b w:val="0"/>
          <w:color w:val="auto"/>
          <w:kern w:val="0"/>
          <w:szCs w:val="24"/>
          <w:highlight w:val="none"/>
        </w:rPr>
        <w:t>分公司</w:t>
      </w:r>
      <w:r>
        <w:rPr>
          <w:rFonts w:hint="eastAsia" w:eastAsia="宋体" w:cs="Times New Roman"/>
          <w:b w:val="0"/>
          <w:kern w:val="0"/>
          <w:szCs w:val="24"/>
          <w:highlight w:val="none"/>
        </w:rPr>
        <w:t xml:space="preserve"> (以下简称买方)向为拟建的中国电信湖北公司2024年湖北公司采控中心改造项目（以下简称卖方)提出的技术规范书。根据此文件，卖方应做出详细的应答和提交具体的技术建议书和报价书。</w:t>
      </w:r>
      <w:r>
        <w:rPr>
          <w:rFonts w:eastAsia="宋体" w:cs="Times New Roman"/>
          <w:b w:val="0"/>
          <w:kern w:val="0"/>
          <w:szCs w:val="24"/>
          <w:highlight w:val="none"/>
        </w:rPr>
        <w:t>中国电信湖北分公司拥有本技术规范书的最终解释权</w:t>
      </w:r>
      <w:r>
        <w:rPr>
          <w:rFonts w:hint="eastAsia" w:eastAsia="宋体" w:cs="Times New Roman"/>
          <w:b w:val="0"/>
          <w:kern w:val="0"/>
          <w:szCs w:val="24"/>
          <w:highlight w:val="none"/>
        </w:rPr>
        <w:t>。</w:t>
      </w:r>
    </w:p>
    <w:p w14:paraId="03991687">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hint="eastAsia" w:ascii="宋体" w:hAnsi="宋体" w:eastAsia="宋体" w:cs="宋体"/>
          <w:b/>
          <w:bCs/>
          <w:sz w:val="24"/>
          <w:szCs w:val="24"/>
          <w:highlight w:val="none"/>
          <w:lang w:val="en-US" w:eastAsia="zh-CN" w:bidi="ar-SA"/>
        </w:rPr>
      </w:pPr>
      <w:bookmarkStart w:id="739" w:name="_Toc16527"/>
      <w:bookmarkStart w:id="740" w:name="_Toc16176"/>
      <w:bookmarkStart w:id="741" w:name="_Toc3001"/>
      <w:bookmarkStart w:id="742" w:name="_Toc8077"/>
      <w:bookmarkStart w:id="743" w:name="_Toc466036649"/>
      <w:bookmarkStart w:id="744" w:name="_Toc10748"/>
      <w:bookmarkStart w:id="745" w:name="_Toc11773"/>
      <w:bookmarkStart w:id="746" w:name="_Toc516059037"/>
      <w:r>
        <w:rPr>
          <w:rFonts w:hint="eastAsia" w:ascii="宋体" w:hAnsi="宋体" w:eastAsia="宋体" w:cs="宋体"/>
          <w:b/>
          <w:bCs/>
          <w:sz w:val="24"/>
          <w:szCs w:val="24"/>
          <w:highlight w:val="none"/>
          <w:lang w:val="en-US" w:eastAsia="zh-CN" w:bidi="ar-SA"/>
        </w:rPr>
        <w:t>卖方提供的文件的要求</w:t>
      </w:r>
      <w:bookmarkEnd w:id="739"/>
      <w:bookmarkEnd w:id="740"/>
      <w:bookmarkEnd w:id="741"/>
      <w:bookmarkEnd w:id="742"/>
      <w:bookmarkEnd w:id="743"/>
      <w:bookmarkEnd w:id="744"/>
      <w:bookmarkEnd w:id="745"/>
      <w:bookmarkEnd w:id="746"/>
    </w:p>
    <w:p w14:paraId="7E0E8D41">
      <w:pPr>
        <w:pStyle w:val="125"/>
        <w:ind w:right="0" w:firstLine="496" w:firstLineChars="200"/>
        <w:rPr>
          <w:rFonts w:eastAsia="宋体" w:cs="Times New Roman"/>
          <w:b w:val="0"/>
          <w:kern w:val="0"/>
          <w:szCs w:val="24"/>
          <w:highlight w:val="none"/>
        </w:rPr>
      </w:pPr>
      <w:r>
        <w:rPr>
          <w:rFonts w:eastAsia="宋体" w:cs="Times New Roman"/>
          <w:b w:val="0"/>
          <w:kern w:val="0"/>
          <w:szCs w:val="24"/>
          <w:highlight w:val="none"/>
        </w:rPr>
        <w:t>1.</w:t>
      </w:r>
      <w:r>
        <w:rPr>
          <w:rFonts w:hint="eastAsia" w:eastAsia="宋体" w:cs="Times New Roman"/>
          <w:b w:val="0"/>
          <w:kern w:val="0"/>
          <w:szCs w:val="24"/>
          <w:highlight w:val="none"/>
        </w:rPr>
        <w:t>1</w:t>
      </w:r>
      <w:r>
        <w:rPr>
          <w:rFonts w:eastAsia="宋体" w:cs="Times New Roman"/>
          <w:b w:val="0"/>
          <w:kern w:val="0"/>
          <w:szCs w:val="24"/>
          <w:highlight w:val="none"/>
        </w:rPr>
        <w:t>.</w:t>
      </w:r>
      <w:r>
        <w:rPr>
          <w:rFonts w:hint="eastAsia" w:eastAsia="宋体" w:cs="Times New Roman"/>
          <w:b w:val="0"/>
          <w:kern w:val="0"/>
          <w:szCs w:val="24"/>
          <w:highlight w:val="none"/>
        </w:rPr>
        <w:t>1</w:t>
      </w:r>
      <w:r>
        <w:rPr>
          <w:rFonts w:eastAsia="宋体" w:cs="Times New Roman"/>
          <w:b w:val="0"/>
          <w:kern w:val="0"/>
          <w:szCs w:val="24"/>
          <w:highlight w:val="none"/>
        </w:rPr>
        <w:t xml:space="preserve"> 卖方必须按照本规范书的要求提供以下文件：</w:t>
      </w:r>
    </w:p>
    <w:p w14:paraId="188079B2">
      <w:pPr>
        <w:pStyle w:val="127"/>
        <w:numPr>
          <w:ilvl w:val="0"/>
          <w:numId w:val="0"/>
        </w:numPr>
        <w:spacing w:line="360" w:lineRule="auto"/>
        <w:ind w:left="482" w:leftChars="0"/>
        <w:rPr>
          <w:rFonts w:hint="eastAsia" w:eastAsia="宋体" w:cs="Times New Roman"/>
          <w:b w:val="0"/>
          <w:kern w:val="0"/>
          <w:szCs w:val="24"/>
          <w:highlight w:val="none"/>
        </w:rPr>
      </w:pPr>
      <w:r>
        <w:rPr>
          <w:rFonts w:hint="eastAsia" w:cs="Times New Roman"/>
          <w:b w:val="0"/>
          <w:kern w:val="0"/>
          <w:szCs w:val="24"/>
          <w:highlight w:val="none"/>
          <w:lang w:eastAsia="zh-CN"/>
        </w:rPr>
        <w:t>（</w:t>
      </w:r>
      <w:r>
        <w:rPr>
          <w:rFonts w:hint="eastAsia" w:cs="Times New Roman"/>
          <w:b w:val="0"/>
          <w:kern w:val="0"/>
          <w:szCs w:val="24"/>
          <w:highlight w:val="none"/>
          <w:lang w:val="en-US" w:eastAsia="zh-CN"/>
        </w:rPr>
        <w:t>1）</w:t>
      </w:r>
      <w:r>
        <w:rPr>
          <w:rFonts w:eastAsia="宋体" w:cs="Times New Roman"/>
          <w:b w:val="0"/>
          <w:kern w:val="0"/>
          <w:szCs w:val="24"/>
          <w:highlight w:val="none"/>
        </w:rPr>
        <w:t>针对本技术规范书的点对点应答</w:t>
      </w:r>
      <w:r>
        <w:rPr>
          <w:rFonts w:hint="eastAsia" w:eastAsia="宋体" w:cs="Times New Roman"/>
          <w:b w:val="0"/>
          <w:kern w:val="0"/>
          <w:szCs w:val="24"/>
          <w:highlight w:val="none"/>
        </w:rPr>
        <w:t>及偏离表。</w:t>
      </w:r>
    </w:p>
    <w:p w14:paraId="2D555A05">
      <w:pPr>
        <w:pStyle w:val="127"/>
        <w:numPr>
          <w:ilvl w:val="0"/>
          <w:numId w:val="0"/>
        </w:numPr>
        <w:spacing w:line="360" w:lineRule="auto"/>
        <w:ind w:left="482" w:leftChars="0"/>
        <w:rPr>
          <w:rFonts w:hint="eastAsia" w:eastAsia="宋体" w:cs="Times New Roman"/>
          <w:b w:val="0"/>
          <w:kern w:val="0"/>
          <w:szCs w:val="24"/>
          <w:highlight w:val="none"/>
        </w:rPr>
      </w:pPr>
      <w:r>
        <w:rPr>
          <w:rFonts w:hint="eastAsia" w:cs="Times New Roman"/>
          <w:b w:val="0"/>
          <w:kern w:val="0"/>
          <w:szCs w:val="24"/>
          <w:highlight w:val="none"/>
          <w:lang w:eastAsia="zh-CN"/>
        </w:rPr>
        <w:t>（</w:t>
      </w:r>
      <w:r>
        <w:rPr>
          <w:rFonts w:hint="eastAsia" w:cs="Times New Roman"/>
          <w:b w:val="0"/>
          <w:kern w:val="0"/>
          <w:szCs w:val="24"/>
          <w:highlight w:val="none"/>
          <w:lang w:val="en-US" w:eastAsia="zh-CN"/>
        </w:rPr>
        <w:t>2）</w:t>
      </w:r>
      <w:r>
        <w:rPr>
          <w:rFonts w:eastAsia="宋体" w:cs="Times New Roman"/>
          <w:b w:val="0"/>
          <w:kern w:val="0"/>
          <w:szCs w:val="24"/>
          <w:highlight w:val="none"/>
        </w:rPr>
        <w:t>按照本技术规范书的要求提出的技术建议书</w:t>
      </w:r>
      <w:r>
        <w:rPr>
          <w:rFonts w:hint="eastAsia" w:eastAsia="宋体" w:cs="Times New Roman"/>
          <w:b w:val="0"/>
          <w:kern w:val="0"/>
          <w:szCs w:val="24"/>
          <w:highlight w:val="none"/>
        </w:rPr>
        <w:t>。</w:t>
      </w:r>
    </w:p>
    <w:p w14:paraId="3E68DD00">
      <w:pPr>
        <w:pStyle w:val="127"/>
        <w:numPr>
          <w:ilvl w:val="0"/>
          <w:numId w:val="0"/>
        </w:numPr>
        <w:spacing w:line="360" w:lineRule="auto"/>
        <w:ind w:left="482" w:leftChars="0"/>
        <w:rPr>
          <w:rFonts w:hint="eastAsia" w:eastAsia="宋体" w:cs="Times New Roman"/>
          <w:b w:val="0"/>
          <w:kern w:val="0"/>
          <w:szCs w:val="24"/>
          <w:highlight w:val="none"/>
        </w:rPr>
      </w:pPr>
      <w:r>
        <w:rPr>
          <w:rFonts w:hint="eastAsia" w:cs="Times New Roman"/>
          <w:b w:val="0"/>
          <w:kern w:val="0"/>
          <w:szCs w:val="24"/>
          <w:highlight w:val="none"/>
          <w:lang w:eastAsia="zh-CN"/>
        </w:rPr>
        <w:t>（</w:t>
      </w:r>
      <w:r>
        <w:rPr>
          <w:rFonts w:hint="eastAsia" w:cs="Times New Roman"/>
          <w:b w:val="0"/>
          <w:kern w:val="0"/>
          <w:szCs w:val="24"/>
          <w:highlight w:val="none"/>
          <w:lang w:val="en-US" w:eastAsia="zh-CN"/>
        </w:rPr>
        <w:t>3）</w:t>
      </w:r>
      <w:r>
        <w:rPr>
          <w:rFonts w:hint="eastAsia" w:eastAsia="宋体" w:cs="Times New Roman"/>
          <w:b w:val="0"/>
          <w:kern w:val="0"/>
          <w:szCs w:val="24"/>
          <w:highlight w:val="none"/>
        </w:rPr>
        <w:t>软件功能</w:t>
      </w:r>
      <w:r>
        <w:rPr>
          <w:rFonts w:eastAsia="宋体" w:cs="Times New Roman"/>
          <w:b w:val="0"/>
          <w:kern w:val="0"/>
          <w:szCs w:val="24"/>
          <w:highlight w:val="none"/>
        </w:rPr>
        <w:t>说明及清单</w:t>
      </w:r>
      <w:r>
        <w:rPr>
          <w:rFonts w:hint="eastAsia" w:eastAsia="宋体" w:cs="Times New Roman"/>
          <w:b w:val="0"/>
          <w:kern w:val="0"/>
          <w:szCs w:val="24"/>
          <w:highlight w:val="none"/>
        </w:rPr>
        <w:t>。</w:t>
      </w:r>
    </w:p>
    <w:p w14:paraId="265B529C">
      <w:pPr>
        <w:pStyle w:val="127"/>
        <w:numPr>
          <w:ilvl w:val="0"/>
          <w:numId w:val="0"/>
        </w:numPr>
        <w:spacing w:line="360" w:lineRule="auto"/>
        <w:ind w:left="482" w:leftChars="0"/>
        <w:rPr>
          <w:rFonts w:hint="eastAsia" w:eastAsia="宋体" w:cs="Times New Roman"/>
          <w:b w:val="0"/>
          <w:kern w:val="0"/>
          <w:szCs w:val="24"/>
        </w:rPr>
      </w:pPr>
      <w:r>
        <w:rPr>
          <w:rFonts w:hint="eastAsia" w:cs="Times New Roman"/>
          <w:b w:val="0"/>
          <w:kern w:val="0"/>
          <w:szCs w:val="24"/>
          <w:lang w:eastAsia="zh-CN"/>
        </w:rPr>
        <w:t>（</w:t>
      </w:r>
      <w:r>
        <w:rPr>
          <w:rFonts w:hint="eastAsia" w:cs="Times New Roman"/>
          <w:b w:val="0"/>
          <w:kern w:val="0"/>
          <w:szCs w:val="24"/>
          <w:lang w:val="en-US" w:eastAsia="zh-CN"/>
        </w:rPr>
        <w:t>4）</w:t>
      </w:r>
      <w:r>
        <w:rPr>
          <w:rFonts w:eastAsia="宋体" w:cs="Times New Roman"/>
          <w:b w:val="0"/>
          <w:kern w:val="0"/>
          <w:szCs w:val="24"/>
        </w:rPr>
        <w:t>卖方承诺</w:t>
      </w:r>
      <w:r>
        <w:rPr>
          <w:rFonts w:hint="eastAsia" w:eastAsia="宋体" w:cs="Times New Roman"/>
          <w:b w:val="0"/>
          <w:kern w:val="0"/>
          <w:szCs w:val="24"/>
        </w:rPr>
        <w:t>。</w:t>
      </w:r>
    </w:p>
    <w:p w14:paraId="2F433217">
      <w:pPr>
        <w:pStyle w:val="127"/>
        <w:numPr>
          <w:ilvl w:val="0"/>
          <w:numId w:val="0"/>
        </w:numPr>
        <w:spacing w:line="360" w:lineRule="auto"/>
        <w:ind w:left="482" w:leftChars="0"/>
        <w:rPr>
          <w:rFonts w:hint="eastAsia" w:eastAsia="宋体" w:cs="Times New Roman"/>
          <w:b w:val="0"/>
          <w:kern w:val="0"/>
          <w:szCs w:val="24"/>
          <w:highlight w:val="none"/>
        </w:rPr>
      </w:pPr>
      <w:r>
        <w:rPr>
          <w:rFonts w:hint="eastAsia" w:cs="Times New Roman"/>
          <w:b w:val="0"/>
          <w:kern w:val="0"/>
          <w:szCs w:val="24"/>
          <w:lang w:eastAsia="zh-CN"/>
        </w:rPr>
        <w:t>（</w:t>
      </w:r>
      <w:r>
        <w:rPr>
          <w:rFonts w:hint="eastAsia" w:cs="Times New Roman"/>
          <w:b w:val="0"/>
          <w:kern w:val="0"/>
          <w:szCs w:val="24"/>
          <w:lang w:val="en-US" w:eastAsia="zh-CN"/>
        </w:rPr>
        <w:t>5）</w:t>
      </w:r>
      <w:r>
        <w:rPr>
          <w:rFonts w:hint="eastAsia" w:eastAsia="宋体" w:cs="Times New Roman"/>
          <w:b w:val="0"/>
          <w:kern w:val="0"/>
          <w:szCs w:val="24"/>
        </w:rPr>
        <w:t>卖</w:t>
      </w:r>
      <w:r>
        <w:rPr>
          <w:rFonts w:hint="eastAsia" w:eastAsia="宋体" w:cs="Times New Roman"/>
          <w:b w:val="0"/>
          <w:kern w:val="0"/>
          <w:szCs w:val="24"/>
          <w:highlight w:val="none"/>
        </w:rPr>
        <w:t>方向买方提供产品的详细技术资料（例如软件架构、系统性能等）。</w:t>
      </w:r>
    </w:p>
    <w:p w14:paraId="01AC83BC">
      <w:pPr>
        <w:pStyle w:val="125"/>
        <w:ind w:right="0" w:firstLine="496" w:firstLineChars="200"/>
        <w:rPr>
          <w:rFonts w:eastAsia="宋体" w:cs="Times New Roman"/>
          <w:b w:val="0"/>
          <w:kern w:val="0"/>
          <w:szCs w:val="24"/>
          <w:highlight w:val="none"/>
        </w:rPr>
      </w:pPr>
      <w:r>
        <w:rPr>
          <w:rFonts w:eastAsia="宋体" w:cs="Times New Roman"/>
          <w:b w:val="0"/>
          <w:kern w:val="0"/>
          <w:szCs w:val="24"/>
          <w:highlight w:val="none"/>
        </w:rPr>
        <w:t>1.</w:t>
      </w:r>
      <w:r>
        <w:rPr>
          <w:rFonts w:hint="eastAsia" w:eastAsia="宋体" w:cs="Times New Roman"/>
          <w:b w:val="0"/>
          <w:kern w:val="0"/>
          <w:szCs w:val="24"/>
          <w:highlight w:val="none"/>
        </w:rPr>
        <w:t>1</w:t>
      </w:r>
      <w:r>
        <w:rPr>
          <w:rFonts w:eastAsia="宋体" w:cs="Times New Roman"/>
          <w:b w:val="0"/>
          <w:kern w:val="0"/>
          <w:szCs w:val="24"/>
          <w:highlight w:val="none"/>
        </w:rPr>
        <w:t>.</w:t>
      </w:r>
      <w:r>
        <w:rPr>
          <w:rFonts w:hint="eastAsia" w:eastAsia="宋体" w:cs="Times New Roman"/>
          <w:b w:val="0"/>
          <w:kern w:val="0"/>
          <w:szCs w:val="24"/>
          <w:highlight w:val="none"/>
        </w:rPr>
        <w:t>2卖</w:t>
      </w:r>
      <w:r>
        <w:rPr>
          <w:rFonts w:eastAsia="宋体" w:cs="Times New Roman"/>
          <w:b w:val="0"/>
          <w:kern w:val="0"/>
          <w:szCs w:val="24"/>
          <w:highlight w:val="none"/>
        </w:rPr>
        <w:t>方所提供的文件必须符合以下要求：</w:t>
      </w:r>
    </w:p>
    <w:p w14:paraId="247C782E">
      <w:pPr>
        <w:pStyle w:val="125"/>
        <w:ind w:firstLine="480"/>
        <w:rPr>
          <w:rFonts w:hint="eastAsia" w:eastAsia="宋体" w:cs="Times New Roman"/>
          <w:b w:val="0"/>
          <w:kern w:val="0"/>
          <w:szCs w:val="24"/>
          <w:highlight w:val="none"/>
        </w:rPr>
      </w:pPr>
      <w:r>
        <w:rPr>
          <w:rFonts w:hint="eastAsia" w:cs="Times New Roman"/>
          <w:b w:val="0"/>
          <w:kern w:val="0"/>
          <w:szCs w:val="24"/>
          <w:highlight w:val="none"/>
          <w:lang w:eastAsia="zh-CN"/>
        </w:rPr>
        <w:t>（</w:t>
      </w:r>
      <w:r>
        <w:rPr>
          <w:rFonts w:hint="eastAsia" w:cs="Times New Roman"/>
          <w:b w:val="0"/>
          <w:kern w:val="0"/>
          <w:szCs w:val="24"/>
          <w:highlight w:val="none"/>
          <w:lang w:val="en-US" w:eastAsia="zh-CN"/>
        </w:rPr>
        <w:t>1）</w:t>
      </w:r>
      <w:r>
        <w:rPr>
          <w:rFonts w:eastAsia="宋体" w:cs="Times New Roman"/>
          <w:b w:val="0"/>
          <w:kern w:val="0"/>
          <w:szCs w:val="24"/>
          <w:highlight w:val="none"/>
        </w:rPr>
        <w:t>技术规范书的点对点应答</w:t>
      </w:r>
      <w:r>
        <w:rPr>
          <w:rFonts w:hint="eastAsia" w:eastAsia="宋体" w:cs="Times New Roman"/>
          <w:b w:val="0"/>
          <w:kern w:val="0"/>
          <w:szCs w:val="24"/>
          <w:highlight w:val="none"/>
        </w:rPr>
        <w:t xml:space="preserve">书 </w:t>
      </w:r>
    </w:p>
    <w:p w14:paraId="1A071285">
      <w:pPr>
        <w:pStyle w:val="125"/>
        <w:ind w:firstLine="480"/>
        <w:rPr>
          <w:rFonts w:hint="eastAsia" w:eastAsia="宋体" w:cs="Times New Roman"/>
          <w:b w:val="0"/>
          <w:kern w:val="0"/>
          <w:szCs w:val="24"/>
          <w:highlight w:val="none"/>
        </w:rPr>
      </w:pPr>
      <w:r>
        <w:rPr>
          <w:rFonts w:hint="eastAsia" w:cs="Times New Roman"/>
          <w:b w:val="0"/>
          <w:kern w:val="0"/>
          <w:szCs w:val="24"/>
          <w:highlight w:val="none"/>
          <w:lang w:eastAsia="zh-CN"/>
        </w:rPr>
        <w:t>（</w:t>
      </w:r>
      <w:r>
        <w:rPr>
          <w:rFonts w:hint="eastAsia" w:cs="Times New Roman"/>
          <w:b w:val="0"/>
          <w:kern w:val="0"/>
          <w:szCs w:val="24"/>
          <w:highlight w:val="none"/>
          <w:lang w:val="en-US" w:eastAsia="zh-CN"/>
        </w:rPr>
        <w:t>2）</w:t>
      </w:r>
      <w:r>
        <w:rPr>
          <w:rFonts w:eastAsia="宋体" w:cs="Times New Roman"/>
          <w:b w:val="0"/>
          <w:kern w:val="0"/>
          <w:szCs w:val="24"/>
          <w:highlight w:val="none"/>
        </w:rPr>
        <w:t>技术建议书：卖方须根据本技术规范书的要求提出详细具体的技术建议书，技术建议书必须包括</w:t>
      </w:r>
      <w:r>
        <w:rPr>
          <w:rFonts w:hint="eastAsia" w:eastAsia="宋体" w:cs="Times New Roman"/>
          <w:b w:val="0"/>
          <w:kern w:val="0"/>
          <w:szCs w:val="24"/>
          <w:highlight w:val="none"/>
        </w:rPr>
        <w:t>软件架构</w:t>
      </w:r>
      <w:r>
        <w:rPr>
          <w:rFonts w:eastAsia="宋体" w:cs="Times New Roman"/>
          <w:b w:val="0"/>
          <w:kern w:val="0"/>
          <w:szCs w:val="24"/>
          <w:highlight w:val="none"/>
        </w:rPr>
        <w:t>、</w:t>
      </w:r>
      <w:r>
        <w:rPr>
          <w:rFonts w:hint="eastAsia" w:eastAsia="宋体" w:cs="Times New Roman"/>
          <w:b w:val="0"/>
          <w:kern w:val="0"/>
          <w:szCs w:val="24"/>
          <w:highlight w:val="none"/>
        </w:rPr>
        <w:t>设计方案</w:t>
      </w:r>
      <w:r>
        <w:rPr>
          <w:rFonts w:eastAsia="宋体" w:cs="Times New Roman"/>
          <w:b w:val="0"/>
          <w:kern w:val="0"/>
          <w:szCs w:val="24"/>
          <w:highlight w:val="none"/>
        </w:rPr>
        <w:t>、</w:t>
      </w:r>
      <w:r>
        <w:rPr>
          <w:rFonts w:hint="eastAsia" w:eastAsia="宋体" w:cs="Times New Roman"/>
          <w:b w:val="0"/>
          <w:kern w:val="0"/>
          <w:szCs w:val="24"/>
          <w:highlight w:val="none"/>
        </w:rPr>
        <w:t>备份方案、</w:t>
      </w:r>
      <w:r>
        <w:rPr>
          <w:rFonts w:eastAsia="宋体" w:cs="Times New Roman"/>
          <w:b w:val="0"/>
          <w:kern w:val="0"/>
          <w:szCs w:val="24"/>
          <w:highlight w:val="none"/>
        </w:rPr>
        <w:t>工程实施方案、测试验收方案、技术服务方案、技术培训方案等内容。具体说明如下：</w:t>
      </w:r>
    </w:p>
    <w:p w14:paraId="42B2EB43">
      <w:pPr>
        <w:pStyle w:val="125"/>
        <w:ind w:firstLine="480"/>
        <w:rPr>
          <w:rFonts w:hint="eastAsia" w:eastAsia="宋体" w:cs="Times New Roman"/>
          <w:b w:val="0"/>
          <w:kern w:val="0"/>
          <w:szCs w:val="24"/>
          <w:highlight w:val="none"/>
        </w:rPr>
      </w:pPr>
      <w:r>
        <w:rPr>
          <w:rFonts w:hint="eastAsia" w:eastAsia="宋体" w:cs="Times New Roman"/>
          <w:b w:val="0"/>
          <w:kern w:val="0"/>
          <w:szCs w:val="24"/>
          <w:highlight w:val="none"/>
        </w:rPr>
        <w:t>软件架构：卖方须详细说明本系统的软件架构，包括整体架构、逻辑架构、功能架构、数据流向等。</w:t>
      </w:r>
    </w:p>
    <w:p w14:paraId="2742325E">
      <w:pPr>
        <w:pStyle w:val="125"/>
        <w:ind w:firstLine="480"/>
        <w:rPr>
          <w:rFonts w:eastAsia="宋体" w:cs="Times New Roman"/>
          <w:b w:val="0"/>
          <w:kern w:val="0"/>
          <w:szCs w:val="24"/>
          <w:highlight w:val="none"/>
        </w:rPr>
      </w:pPr>
      <w:r>
        <w:rPr>
          <w:rFonts w:hint="eastAsia" w:eastAsia="宋体" w:cs="Times New Roman"/>
          <w:b w:val="0"/>
          <w:kern w:val="0"/>
          <w:szCs w:val="24"/>
          <w:highlight w:val="none"/>
        </w:rPr>
        <w:t>设计方案：根据业务需求，提供功能实现设计方案。</w:t>
      </w:r>
    </w:p>
    <w:p w14:paraId="3CE9BA99">
      <w:pPr>
        <w:pStyle w:val="125"/>
        <w:ind w:firstLine="480"/>
        <w:rPr>
          <w:rFonts w:hint="eastAsia" w:eastAsia="宋体" w:cs="Times New Roman"/>
          <w:b w:val="0"/>
          <w:kern w:val="0"/>
          <w:szCs w:val="24"/>
        </w:rPr>
      </w:pPr>
      <w:r>
        <w:rPr>
          <w:rFonts w:hint="eastAsia" w:eastAsia="宋体" w:cs="Times New Roman"/>
          <w:b w:val="0"/>
          <w:kern w:val="0"/>
          <w:szCs w:val="24"/>
          <w:highlight w:val="none"/>
        </w:rPr>
        <w:t>备份方案：卖方负责结合买方需求制定出系统</w:t>
      </w:r>
      <w:r>
        <w:rPr>
          <w:rFonts w:hint="eastAsia" w:eastAsia="宋体" w:cs="Times New Roman"/>
          <w:b w:val="0"/>
          <w:kern w:val="0"/>
          <w:szCs w:val="24"/>
        </w:rPr>
        <w:t>备份策略，并且配合和督促备份设备提供商作好备份策略的设定。</w:t>
      </w:r>
    </w:p>
    <w:p w14:paraId="3D86CE2E">
      <w:pPr>
        <w:pStyle w:val="125"/>
        <w:ind w:firstLine="480"/>
        <w:rPr>
          <w:rFonts w:hint="eastAsia" w:eastAsia="宋体" w:cs="Times New Roman"/>
          <w:b w:val="0"/>
          <w:kern w:val="0"/>
          <w:szCs w:val="24"/>
        </w:rPr>
      </w:pPr>
      <w:r>
        <w:rPr>
          <w:rFonts w:eastAsia="宋体" w:cs="Times New Roman"/>
          <w:b w:val="0"/>
          <w:kern w:val="0"/>
          <w:szCs w:val="24"/>
        </w:rPr>
        <w:t>工程实施方案：包括详细的</w:t>
      </w:r>
      <w:r>
        <w:rPr>
          <w:rFonts w:hint="eastAsia" w:eastAsia="宋体" w:cs="Times New Roman"/>
          <w:b w:val="0"/>
          <w:kern w:val="0"/>
          <w:szCs w:val="24"/>
        </w:rPr>
        <w:t>实施</w:t>
      </w:r>
      <w:r>
        <w:rPr>
          <w:rFonts w:eastAsia="宋体" w:cs="Times New Roman"/>
          <w:b w:val="0"/>
          <w:kern w:val="0"/>
          <w:szCs w:val="24"/>
        </w:rPr>
        <w:t>方案、工程进度计划、工程人员的组成、工程分工界面、质量保证计划，并且详细列出需中国电信湖北分公司提供的条件</w:t>
      </w:r>
      <w:r>
        <w:rPr>
          <w:rFonts w:hint="eastAsia" w:eastAsia="宋体" w:cs="Times New Roman"/>
          <w:b w:val="0"/>
          <w:kern w:val="0"/>
          <w:szCs w:val="24"/>
        </w:rPr>
        <w:t>。</w:t>
      </w:r>
    </w:p>
    <w:p w14:paraId="5182CE3B">
      <w:pPr>
        <w:pStyle w:val="125"/>
        <w:ind w:firstLine="480"/>
        <w:rPr>
          <w:rFonts w:hint="eastAsia" w:eastAsia="宋体" w:cs="Times New Roman"/>
          <w:b w:val="0"/>
          <w:kern w:val="0"/>
          <w:szCs w:val="24"/>
        </w:rPr>
      </w:pPr>
      <w:r>
        <w:rPr>
          <w:rFonts w:eastAsia="宋体" w:cs="Times New Roman"/>
          <w:b w:val="0"/>
          <w:kern w:val="0"/>
          <w:szCs w:val="24"/>
        </w:rPr>
        <w:t>测试验收方案：包括所</w:t>
      </w:r>
      <w:r>
        <w:rPr>
          <w:rFonts w:hint="eastAsia" w:eastAsia="宋体" w:cs="Times New Roman"/>
          <w:b w:val="0"/>
          <w:kern w:val="0"/>
          <w:szCs w:val="24"/>
        </w:rPr>
        <w:t>部署的系统</w:t>
      </w:r>
      <w:r>
        <w:rPr>
          <w:rFonts w:eastAsia="宋体" w:cs="Times New Roman"/>
          <w:b w:val="0"/>
          <w:kern w:val="0"/>
          <w:szCs w:val="24"/>
        </w:rPr>
        <w:t>的</w:t>
      </w:r>
      <w:r>
        <w:rPr>
          <w:rFonts w:hint="eastAsia" w:eastAsia="宋体" w:cs="Times New Roman"/>
          <w:b w:val="0"/>
          <w:kern w:val="0"/>
          <w:szCs w:val="24"/>
        </w:rPr>
        <w:t>功能</w:t>
      </w:r>
      <w:r>
        <w:rPr>
          <w:rFonts w:eastAsia="宋体" w:cs="Times New Roman"/>
          <w:b w:val="0"/>
          <w:kern w:val="0"/>
          <w:szCs w:val="24"/>
        </w:rPr>
        <w:t>测试、系统测试及与其它</w:t>
      </w:r>
      <w:r>
        <w:rPr>
          <w:rFonts w:hint="eastAsia" w:eastAsia="宋体" w:cs="Times New Roman"/>
          <w:b w:val="0"/>
          <w:kern w:val="0"/>
          <w:szCs w:val="24"/>
        </w:rPr>
        <w:t>系统</w:t>
      </w:r>
      <w:r>
        <w:rPr>
          <w:rFonts w:eastAsia="宋体" w:cs="Times New Roman"/>
          <w:b w:val="0"/>
          <w:kern w:val="0"/>
          <w:szCs w:val="24"/>
        </w:rPr>
        <w:t>之间的联网测试验收方案</w:t>
      </w:r>
      <w:r>
        <w:rPr>
          <w:rFonts w:hint="eastAsia" w:eastAsia="宋体" w:cs="Times New Roman"/>
          <w:b w:val="0"/>
          <w:kern w:val="0"/>
          <w:szCs w:val="24"/>
        </w:rPr>
        <w:t>，</w:t>
      </w:r>
      <w:r>
        <w:rPr>
          <w:rFonts w:eastAsia="宋体" w:cs="Times New Roman"/>
          <w:b w:val="0"/>
          <w:kern w:val="0"/>
          <w:szCs w:val="24"/>
        </w:rPr>
        <w:t>并列出测试工具、测试的参数指标以及依据的标准</w:t>
      </w:r>
      <w:r>
        <w:rPr>
          <w:rFonts w:hint="eastAsia" w:eastAsia="宋体" w:cs="Times New Roman"/>
          <w:b w:val="0"/>
          <w:kern w:val="0"/>
          <w:szCs w:val="24"/>
        </w:rPr>
        <w:t>。</w:t>
      </w:r>
    </w:p>
    <w:p w14:paraId="27C44393">
      <w:pPr>
        <w:pStyle w:val="125"/>
        <w:ind w:firstLine="480"/>
        <w:rPr>
          <w:rFonts w:hint="eastAsia" w:eastAsia="宋体" w:cs="Times New Roman"/>
          <w:b w:val="0"/>
          <w:kern w:val="0"/>
          <w:szCs w:val="24"/>
        </w:rPr>
      </w:pPr>
      <w:r>
        <w:rPr>
          <w:rFonts w:eastAsia="宋体" w:cs="Times New Roman"/>
          <w:b w:val="0"/>
          <w:kern w:val="0"/>
          <w:szCs w:val="24"/>
        </w:rPr>
        <w:t>技术服务方案：技术服务方案必须包括工程技术服务、保修服务、维修服务、技术支持服务、软件升级更新服务方案</w:t>
      </w:r>
      <w:r>
        <w:rPr>
          <w:rFonts w:hint="eastAsia" w:eastAsia="宋体" w:cs="Times New Roman"/>
          <w:b w:val="0"/>
          <w:kern w:val="0"/>
          <w:szCs w:val="24"/>
        </w:rPr>
        <w:t>。</w:t>
      </w:r>
    </w:p>
    <w:p w14:paraId="75CC22B4">
      <w:pPr>
        <w:pStyle w:val="125"/>
        <w:ind w:firstLine="480"/>
        <w:rPr>
          <w:rFonts w:eastAsia="宋体" w:cs="Times New Roman"/>
          <w:b w:val="0"/>
          <w:kern w:val="0"/>
          <w:szCs w:val="24"/>
        </w:rPr>
      </w:pPr>
      <w:r>
        <w:rPr>
          <w:rFonts w:eastAsia="宋体" w:cs="Times New Roman"/>
          <w:b w:val="0"/>
          <w:kern w:val="0"/>
          <w:szCs w:val="24"/>
        </w:rPr>
        <w:t>技术培训方案：包括现场培训和常规培训方案，方案中必须给出培训的人数、内容、时间、地点、方式、达到的目标等</w:t>
      </w:r>
      <w:r>
        <w:rPr>
          <w:rFonts w:hint="eastAsia" w:eastAsia="宋体" w:cs="Times New Roman"/>
          <w:b w:val="0"/>
          <w:kern w:val="0"/>
          <w:szCs w:val="24"/>
        </w:rPr>
        <w:t>。</w:t>
      </w:r>
    </w:p>
    <w:p w14:paraId="72EB2062">
      <w:pPr>
        <w:pStyle w:val="125"/>
        <w:ind w:firstLine="480"/>
        <w:rPr>
          <w:rFonts w:hint="eastAsia" w:eastAsia="宋体" w:cs="Times New Roman"/>
          <w:b w:val="0"/>
          <w:kern w:val="0"/>
          <w:szCs w:val="24"/>
        </w:rPr>
      </w:pPr>
      <w:r>
        <w:rPr>
          <w:rFonts w:eastAsia="宋体" w:cs="Times New Roman"/>
          <w:b w:val="0"/>
          <w:kern w:val="0"/>
          <w:szCs w:val="24"/>
        </w:rPr>
        <w:t>卖方</w:t>
      </w:r>
      <w:r>
        <w:rPr>
          <w:rFonts w:hint="eastAsia" w:eastAsia="宋体" w:cs="Times New Roman"/>
          <w:b w:val="0"/>
          <w:kern w:val="0"/>
          <w:szCs w:val="24"/>
        </w:rPr>
        <w:t>所提供软件应为最新且成熟稳定的商用版本，必须涵盖本技术规范书所列出的所有功能，并要保证安全可靠及未来扩容和版本升级方便，在建议书中要详细列出所提供的软件清单、发布日期和升级说明。</w:t>
      </w:r>
      <w:r>
        <w:rPr>
          <w:rFonts w:eastAsia="宋体" w:cs="Times New Roman"/>
          <w:b w:val="0"/>
          <w:kern w:val="0"/>
          <w:szCs w:val="24"/>
        </w:rPr>
        <w:t>若卖方的系统包含</w:t>
      </w:r>
      <w:r>
        <w:rPr>
          <w:rFonts w:hint="eastAsia" w:eastAsia="宋体" w:cs="Times New Roman"/>
          <w:b w:val="0"/>
          <w:kern w:val="0"/>
          <w:szCs w:val="24"/>
        </w:rPr>
        <w:t>第三方软件或专有硬件</w:t>
      </w:r>
      <w:r>
        <w:rPr>
          <w:rFonts w:eastAsia="宋体" w:cs="Times New Roman"/>
          <w:b w:val="0"/>
          <w:kern w:val="0"/>
          <w:szCs w:val="24"/>
        </w:rPr>
        <w:t>，应在建议书中具体说明</w:t>
      </w:r>
      <w:r>
        <w:rPr>
          <w:rFonts w:hint="eastAsia" w:eastAsia="宋体" w:cs="Times New Roman"/>
          <w:b w:val="0"/>
          <w:kern w:val="0"/>
          <w:szCs w:val="24"/>
        </w:rPr>
        <w:t>。</w:t>
      </w:r>
    </w:p>
    <w:p w14:paraId="47B9396A">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ascii="Arial" w:hAnsi="Arial" w:eastAsia="黑体" w:cs="Times New Roman"/>
          <w:b/>
          <w:bCs/>
          <w:sz w:val="24"/>
          <w:szCs w:val="24"/>
          <w:lang w:val="en-US" w:eastAsia="zh-CN" w:bidi="ar-SA"/>
        </w:rPr>
      </w:pPr>
      <w:bookmarkStart w:id="747" w:name="_Toc23100"/>
      <w:bookmarkStart w:id="748" w:name="_Toc466036650"/>
      <w:bookmarkStart w:id="749" w:name="_Toc516059038"/>
      <w:bookmarkStart w:id="750" w:name="_Toc24445"/>
      <w:bookmarkStart w:id="751" w:name="_Toc19437"/>
      <w:bookmarkStart w:id="752" w:name="_Toc9285"/>
      <w:bookmarkStart w:id="753" w:name="_Toc19142"/>
      <w:bookmarkStart w:id="754" w:name="_Toc16869"/>
      <w:r>
        <w:rPr>
          <w:rFonts w:ascii="Arial" w:hAnsi="Arial" w:eastAsia="黑体" w:cs="Times New Roman"/>
          <w:b/>
          <w:bCs/>
          <w:sz w:val="24"/>
          <w:szCs w:val="24"/>
          <w:lang w:val="en-US" w:eastAsia="zh-CN" w:bidi="ar-SA"/>
        </w:rPr>
        <w:t>必须满足的技术标准/规范</w:t>
      </w:r>
      <w:bookmarkEnd w:id="747"/>
      <w:bookmarkEnd w:id="748"/>
      <w:bookmarkEnd w:id="749"/>
      <w:bookmarkEnd w:id="750"/>
      <w:bookmarkEnd w:id="751"/>
      <w:bookmarkEnd w:id="752"/>
      <w:bookmarkEnd w:id="753"/>
      <w:bookmarkEnd w:id="754"/>
    </w:p>
    <w:p w14:paraId="6C45AD3B">
      <w:pPr>
        <w:pStyle w:val="125"/>
        <w:ind w:right="0" w:firstLine="0"/>
        <w:rPr>
          <w:rFonts w:hint="eastAsia" w:eastAsia="宋体" w:cs="Times New Roman"/>
          <w:b w:val="0"/>
          <w:kern w:val="0"/>
          <w:szCs w:val="24"/>
        </w:rPr>
      </w:pPr>
      <w:r>
        <w:rPr>
          <w:rFonts w:eastAsia="宋体" w:cs="Times New Roman"/>
          <w:b w:val="0"/>
          <w:kern w:val="0"/>
          <w:szCs w:val="24"/>
        </w:rPr>
        <w:t>1.</w:t>
      </w:r>
      <w:r>
        <w:rPr>
          <w:rFonts w:hint="eastAsia" w:eastAsia="宋体" w:cs="Times New Roman"/>
          <w:b w:val="0"/>
          <w:kern w:val="0"/>
          <w:szCs w:val="24"/>
        </w:rPr>
        <w:t>2</w:t>
      </w:r>
      <w:r>
        <w:rPr>
          <w:rFonts w:eastAsia="宋体" w:cs="Times New Roman"/>
          <w:b w:val="0"/>
          <w:kern w:val="0"/>
          <w:szCs w:val="24"/>
        </w:rPr>
        <w:t>.1卖方的</w:t>
      </w:r>
      <w:r>
        <w:rPr>
          <w:rFonts w:hint="eastAsia" w:eastAsia="宋体" w:cs="Times New Roman"/>
          <w:b w:val="0"/>
          <w:kern w:val="0"/>
          <w:szCs w:val="24"/>
        </w:rPr>
        <w:t>系统</w:t>
      </w:r>
      <w:r>
        <w:rPr>
          <w:rFonts w:eastAsia="宋体" w:cs="Times New Roman"/>
          <w:b w:val="0"/>
          <w:kern w:val="0"/>
          <w:szCs w:val="24"/>
        </w:rPr>
        <w:t>应符合以下技术标准</w:t>
      </w:r>
      <w:r>
        <w:rPr>
          <w:rFonts w:hint="eastAsia" w:eastAsia="宋体" w:cs="Times New Roman"/>
          <w:b w:val="0"/>
          <w:kern w:val="0"/>
          <w:szCs w:val="24"/>
        </w:rPr>
        <w:t>：</w:t>
      </w:r>
    </w:p>
    <w:p w14:paraId="670ABBC4">
      <w:pPr>
        <w:pStyle w:val="125"/>
        <w:ind w:firstLine="480"/>
        <w:rPr>
          <w:rFonts w:hint="eastAsia" w:eastAsia="宋体" w:cs="Times New Roman"/>
          <w:b w:val="0"/>
          <w:kern w:val="0"/>
          <w:szCs w:val="24"/>
        </w:rPr>
      </w:pPr>
      <w:r>
        <w:rPr>
          <w:rFonts w:hint="eastAsia" w:eastAsia="宋体" w:cs="Times New Roman"/>
          <w:b w:val="0"/>
          <w:kern w:val="0"/>
          <w:szCs w:val="24"/>
        </w:rPr>
        <w:t>卖方的系统应符合以下技术标准，对于以下标准及规范未涵盖的内容应符合相应的国际标准，待买方新的标准(中华人民共和国通信行业标准、中国电信公司制定的相关规范等)制定出来后，卖方应免费修改其系统以满足要求；中国电信企业标准与中国行业标准不一致的地方，以电信企业标准为准；本文件提出的具体技术要求如与下述文件及补充规范不一致的地方，以本文件为准。</w:t>
      </w:r>
    </w:p>
    <w:p w14:paraId="3DD10401">
      <w:pPr>
        <w:pStyle w:val="125"/>
        <w:ind w:firstLine="480"/>
        <w:rPr>
          <w:rFonts w:hint="eastAsia" w:eastAsia="宋体" w:cs="Times New Roman"/>
          <w:b w:val="0"/>
          <w:kern w:val="0"/>
          <w:szCs w:val="24"/>
        </w:rPr>
      </w:pPr>
      <w:bookmarkStart w:id="755" w:name="_Toc162403194"/>
      <w:r>
        <w:rPr>
          <w:rFonts w:hint="eastAsia" w:eastAsia="宋体" w:cs="Times New Roman"/>
          <w:b w:val="0"/>
          <w:kern w:val="0"/>
          <w:szCs w:val="24"/>
        </w:rPr>
        <w:t>卖方提供系统的功能、业务、接口、性能等应符合或高于中国电信集团公司所颁布的规范。</w:t>
      </w:r>
    </w:p>
    <w:p w14:paraId="00F6D187">
      <w:pPr>
        <w:pStyle w:val="125"/>
        <w:ind w:firstLine="480"/>
        <w:rPr>
          <w:rFonts w:hint="eastAsia" w:eastAsia="宋体" w:cs="Times New Roman"/>
          <w:b w:val="0"/>
          <w:kern w:val="0"/>
          <w:szCs w:val="24"/>
        </w:rPr>
      </w:pPr>
      <w:r>
        <w:rPr>
          <w:rFonts w:hint="eastAsia" w:eastAsia="宋体" w:cs="Times New Roman"/>
          <w:b w:val="0"/>
          <w:kern w:val="0"/>
          <w:szCs w:val="24"/>
        </w:rPr>
        <w:t>对于本技术规范书中涉及的需求和以上规范不同的部分以上述规范最新版的要求为准，对于本标书中未涵盖的所有内容以上述规范最新版为准。</w:t>
      </w:r>
    </w:p>
    <w:p w14:paraId="4D07ECF0">
      <w:pPr>
        <w:pStyle w:val="125"/>
        <w:ind w:firstLine="480"/>
        <w:rPr>
          <w:rFonts w:hint="eastAsia" w:eastAsia="宋体" w:cs="Times New Roman"/>
          <w:b w:val="0"/>
          <w:kern w:val="0"/>
          <w:szCs w:val="24"/>
        </w:rPr>
      </w:pPr>
      <w:r>
        <w:rPr>
          <w:rFonts w:hint="eastAsia" w:eastAsia="宋体" w:cs="Times New Roman"/>
          <w:b w:val="0"/>
          <w:kern w:val="0"/>
          <w:szCs w:val="24"/>
        </w:rPr>
        <w:t>卖方应同时说明系统所支持的其它国际标准化组织的标准（例如3GPP标准、ITU-T标准、IETF建议等）及我国国家标准、工业和信息化部部颁标准。若卖方的系统包含自己专用标准，也应在建议书中具体说明，并附上相应的详细技术资料。</w:t>
      </w:r>
    </w:p>
    <w:p w14:paraId="36102908">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ascii="Arial" w:hAnsi="Arial" w:eastAsia="黑体" w:cs="Times New Roman"/>
          <w:b/>
          <w:bCs/>
          <w:sz w:val="24"/>
          <w:szCs w:val="24"/>
          <w:lang w:val="en-US" w:eastAsia="zh-CN" w:bidi="ar-SA"/>
        </w:rPr>
      </w:pPr>
      <w:bookmarkStart w:id="756" w:name="_Toc13175"/>
      <w:bookmarkStart w:id="757" w:name="_Toc12754"/>
      <w:bookmarkStart w:id="758" w:name="_Toc23610"/>
      <w:bookmarkStart w:id="759" w:name="_Toc8938"/>
      <w:bookmarkStart w:id="760" w:name="_Toc9789"/>
      <w:bookmarkStart w:id="761" w:name="_Toc22153"/>
      <w:bookmarkStart w:id="762" w:name="_Toc516059039"/>
      <w:bookmarkStart w:id="763" w:name="_Toc466036651"/>
      <w:r>
        <w:rPr>
          <w:rFonts w:ascii="Arial" w:hAnsi="Arial" w:eastAsia="黑体" w:cs="Times New Roman"/>
          <w:b/>
          <w:bCs/>
          <w:sz w:val="24"/>
          <w:szCs w:val="24"/>
          <w:lang w:val="en-US" w:eastAsia="zh-CN" w:bidi="ar-SA"/>
        </w:rPr>
        <w:t>总体要求</w:t>
      </w:r>
      <w:bookmarkEnd w:id="755"/>
      <w:bookmarkEnd w:id="756"/>
      <w:bookmarkEnd w:id="757"/>
      <w:bookmarkEnd w:id="758"/>
      <w:bookmarkEnd w:id="759"/>
      <w:bookmarkEnd w:id="760"/>
      <w:bookmarkEnd w:id="761"/>
      <w:bookmarkEnd w:id="762"/>
      <w:bookmarkEnd w:id="763"/>
    </w:p>
    <w:p w14:paraId="382243C1">
      <w:pPr>
        <w:pStyle w:val="125"/>
        <w:ind w:firstLine="480"/>
        <w:rPr>
          <w:rFonts w:hint="eastAsia" w:eastAsia="宋体" w:cs="Times New Roman"/>
          <w:b w:val="0"/>
          <w:kern w:val="0"/>
          <w:szCs w:val="24"/>
        </w:rPr>
      </w:pPr>
      <w:r>
        <w:rPr>
          <w:rFonts w:eastAsia="宋体" w:cs="Times New Roman"/>
          <w:b w:val="0"/>
          <w:kern w:val="0"/>
          <w:szCs w:val="24"/>
        </w:rPr>
        <w:t>1.3.1 卖方必须按中国电信湖北分公司的需求进行</w:t>
      </w:r>
      <w:r>
        <w:rPr>
          <w:rFonts w:hint="eastAsia" w:eastAsia="宋体" w:cs="Times New Roman"/>
          <w:b w:val="0"/>
          <w:kern w:val="0"/>
          <w:szCs w:val="24"/>
        </w:rPr>
        <w:t>系统功能开发</w:t>
      </w:r>
      <w:r>
        <w:rPr>
          <w:rFonts w:eastAsia="宋体" w:cs="Times New Roman"/>
          <w:b w:val="0"/>
          <w:kern w:val="0"/>
          <w:szCs w:val="24"/>
        </w:rPr>
        <w:t>，如果有遗漏，则必须由卖方无条件补足，且不得另外收取任何费用；如果</w:t>
      </w:r>
      <w:r>
        <w:rPr>
          <w:rFonts w:hint="eastAsia" w:eastAsia="宋体" w:cs="Times New Roman"/>
          <w:b w:val="0"/>
          <w:kern w:val="0"/>
          <w:szCs w:val="24"/>
        </w:rPr>
        <w:t>功能</w:t>
      </w:r>
      <w:r>
        <w:rPr>
          <w:rFonts w:eastAsia="宋体" w:cs="Times New Roman"/>
          <w:b w:val="0"/>
          <w:kern w:val="0"/>
          <w:szCs w:val="24"/>
        </w:rPr>
        <w:t>超过实际需求，卖方必须将多出部分的费用退还给中国电信湖北分公司，</w:t>
      </w:r>
      <w:r>
        <w:rPr>
          <w:rFonts w:hint="eastAsia" w:eastAsia="宋体" w:cs="Times New Roman"/>
          <w:b w:val="0"/>
          <w:kern w:val="0"/>
          <w:szCs w:val="24"/>
        </w:rPr>
        <w:t>软件</w:t>
      </w:r>
      <w:r>
        <w:rPr>
          <w:rFonts w:eastAsia="宋体" w:cs="Times New Roman"/>
          <w:b w:val="0"/>
          <w:kern w:val="0"/>
          <w:szCs w:val="24"/>
        </w:rPr>
        <w:t>则不予退还。</w:t>
      </w:r>
    </w:p>
    <w:p w14:paraId="1AF98F54">
      <w:pPr>
        <w:pStyle w:val="125"/>
        <w:ind w:firstLine="480"/>
        <w:rPr>
          <w:rFonts w:hint="eastAsia" w:eastAsia="宋体" w:cs="Times New Roman"/>
          <w:b w:val="0"/>
          <w:kern w:val="0"/>
          <w:szCs w:val="24"/>
        </w:rPr>
      </w:pPr>
      <w:r>
        <w:rPr>
          <w:rFonts w:eastAsia="宋体" w:cs="Times New Roman"/>
          <w:b w:val="0"/>
          <w:kern w:val="0"/>
          <w:szCs w:val="24"/>
        </w:rPr>
        <w:t>1.3.2 卖方必须在保修期内免费提供</w:t>
      </w:r>
      <w:r>
        <w:rPr>
          <w:rFonts w:hint="eastAsia" w:eastAsia="宋体" w:cs="Times New Roman"/>
          <w:b w:val="0"/>
          <w:kern w:val="0"/>
          <w:szCs w:val="24"/>
        </w:rPr>
        <w:t>软件版本升级</w:t>
      </w:r>
      <w:r>
        <w:rPr>
          <w:rFonts w:eastAsia="宋体" w:cs="Times New Roman"/>
          <w:b w:val="0"/>
          <w:kern w:val="0"/>
          <w:szCs w:val="24"/>
        </w:rPr>
        <w:t>。</w:t>
      </w:r>
    </w:p>
    <w:p w14:paraId="77F20CB7">
      <w:pPr>
        <w:pStyle w:val="125"/>
        <w:ind w:firstLine="480"/>
        <w:rPr>
          <w:rFonts w:hint="eastAsia" w:eastAsia="宋体" w:cs="Times New Roman"/>
          <w:b w:val="0"/>
          <w:kern w:val="0"/>
          <w:szCs w:val="24"/>
        </w:rPr>
      </w:pPr>
      <w:r>
        <w:rPr>
          <w:rFonts w:eastAsia="宋体" w:cs="Times New Roman"/>
          <w:b w:val="0"/>
          <w:kern w:val="0"/>
          <w:szCs w:val="24"/>
        </w:rPr>
        <w:t>1.3.3 在产品生命期内，由于卖方的软件的缺陷或不完善等原因造成需要软件打补丁、软件更新或升级，卖方不得收取任何费用</w:t>
      </w:r>
      <w:r>
        <w:rPr>
          <w:rFonts w:hint="eastAsia" w:eastAsia="宋体" w:cs="Times New Roman"/>
          <w:b w:val="0"/>
          <w:kern w:val="0"/>
          <w:szCs w:val="24"/>
        </w:rPr>
        <w:t>。若因卖方软件更新、升级等原因引起且给买方造成经济损失的情况，则卖方需就损失部分进行赔偿</w:t>
      </w:r>
      <w:r>
        <w:rPr>
          <w:rFonts w:eastAsia="宋体" w:cs="Times New Roman"/>
          <w:b w:val="0"/>
          <w:kern w:val="0"/>
          <w:szCs w:val="24"/>
        </w:rPr>
        <w:t>。</w:t>
      </w:r>
    </w:p>
    <w:p w14:paraId="2A095C59">
      <w:pPr>
        <w:pStyle w:val="125"/>
        <w:ind w:firstLine="480"/>
        <w:rPr>
          <w:rFonts w:hint="eastAsia" w:eastAsia="宋体" w:cs="Times New Roman"/>
          <w:b w:val="0"/>
          <w:kern w:val="0"/>
          <w:szCs w:val="24"/>
        </w:rPr>
      </w:pPr>
      <w:r>
        <w:rPr>
          <w:rFonts w:eastAsia="宋体" w:cs="Times New Roman"/>
          <w:b w:val="0"/>
          <w:kern w:val="0"/>
          <w:szCs w:val="24"/>
        </w:rPr>
        <w:t>1.3.</w:t>
      </w:r>
      <w:r>
        <w:rPr>
          <w:rFonts w:hint="eastAsia" w:eastAsia="宋体" w:cs="Times New Roman"/>
          <w:b w:val="0"/>
          <w:kern w:val="0"/>
          <w:szCs w:val="24"/>
        </w:rPr>
        <w:t>4</w:t>
      </w:r>
      <w:r>
        <w:rPr>
          <w:rFonts w:eastAsia="宋体" w:cs="Times New Roman"/>
          <w:b w:val="0"/>
          <w:kern w:val="0"/>
          <w:szCs w:val="24"/>
        </w:rPr>
        <w:t xml:space="preserve"> </w:t>
      </w:r>
      <w:r>
        <w:rPr>
          <w:rFonts w:hint="eastAsia" w:eastAsia="宋体" w:cs="Times New Roman"/>
          <w:b w:val="0"/>
          <w:kern w:val="0"/>
          <w:szCs w:val="24"/>
        </w:rPr>
        <w:t>卖方必须提供以下的相关资料和工具：</w:t>
      </w:r>
    </w:p>
    <w:p w14:paraId="1366B73A">
      <w:pPr>
        <w:pStyle w:val="125"/>
        <w:ind w:firstLine="480"/>
        <w:rPr>
          <w:rFonts w:hint="eastAsia" w:eastAsia="宋体" w:cs="Times New Roman"/>
          <w:b w:val="0"/>
          <w:kern w:val="0"/>
          <w:szCs w:val="24"/>
        </w:rPr>
      </w:pPr>
      <w:r>
        <w:rPr>
          <w:rFonts w:hint="eastAsia" w:eastAsia="宋体" w:cs="Times New Roman"/>
          <w:b w:val="0"/>
          <w:kern w:val="0"/>
          <w:szCs w:val="24"/>
        </w:rPr>
        <w:t>当前软件版本的各项参数标准值，并解释各参数的含义，在以后的软件版本升级后同样要提供。</w:t>
      </w:r>
    </w:p>
    <w:p w14:paraId="4A590025">
      <w:pPr>
        <w:pStyle w:val="125"/>
        <w:ind w:firstLine="480"/>
        <w:rPr>
          <w:rFonts w:hint="eastAsia" w:eastAsia="宋体" w:cs="Times New Roman"/>
          <w:b w:val="0"/>
          <w:kern w:val="0"/>
          <w:szCs w:val="24"/>
        </w:rPr>
      </w:pPr>
      <w:r>
        <w:rPr>
          <w:rFonts w:eastAsia="宋体" w:cs="Times New Roman"/>
          <w:b w:val="0"/>
          <w:kern w:val="0"/>
          <w:szCs w:val="24"/>
        </w:rPr>
        <w:t>1.3.5卖方提供的</w:t>
      </w:r>
      <w:r>
        <w:rPr>
          <w:rFonts w:hint="eastAsia" w:eastAsia="宋体" w:cs="Times New Roman"/>
          <w:b w:val="0"/>
          <w:kern w:val="0"/>
          <w:szCs w:val="24"/>
        </w:rPr>
        <w:t>所有</w:t>
      </w:r>
      <w:r>
        <w:rPr>
          <w:rFonts w:eastAsia="宋体" w:cs="Times New Roman"/>
          <w:b w:val="0"/>
          <w:kern w:val="0"/>
          <w:szCs w:val="24"/>
        </w:rPr>
        <w:t>软件必须是最新的、成熟的、稳定</w:t>
      </w:r>
      <w:r>
        <w:rPr>
          <w:rFonts w:hint="eastAsia" w:eastAsia="宋体" w:cs="Times New Roman"/>
          <w:b w:val="0"/>
          <w:kern w:val="0"/>
          <w:szCs w:val="24"/>
        </w:rPr>
        <w:t>的软件版本，</w:t>
      </w:r>
      <w:r>
        <w:rPr>
          <w:rFonts w:eastAsia="宋体" w:cs="Times New Roman"/>
          <w:b w:val="0"/>
          <w:kern w:val="0"/>
          <w:szCs w:val="24"/>
        </w:rPr>
        <w:t>并注明所提供软件的版本号，并提供详细的功能清单及其说明。</w:t>
      </w:r>
    </w:p>
    <w:p w14:paraId="03653031">
      <w:pPr>
        <w:pStyle w:val="125"/>
        <w:ind w:firstLine="480"/>
        <w:rPr>
          <w:rFonts w:hint="eastAsia" w:eastAsia="宋体" w:cs="Times New Roman"/>
          <w:b w:val="0"/>
          <w:kern w:val="0"/>
          <w:szCs w:val="24"/>
        </w:rPr>
      </w:pPr>
      <w:r>
        <w:rPr>
          <w:rFonts w:eastAsia="宋体" w:cs="Times New Roman"/>
          <w:b w:val="0"/>
          <w:kern w:val="0"/>
          <w:szCs w:val="24"/>
        </w:rPr>
        <w:t>1.3.6卖方必须提供</w:t>
      </w:r>
      <w:r>
        <w:rPr>
          <w:rFonts w:hint="eastAsia" w:eastAsia="宋体" w:cs="Times New Roman"/>
          <w:b w:val="0"/>
          <w:kern w:val="0"/>
          <w:szCs w:val="24"/>
        </w:rPr>
        <w:t>软件对云资源合理需求</w:t>
      </w:r>
      <w:r>
        <w:rPr>
          <w:rFonts w:eastAsia="宋体" w:cs="Times New Roman"/>
          <w:b w:val="0"/>
          <w:kern w:val="0"/>
          <w:szCs w:val="24"/>
        </w:rPr>
        <w:t>。</w:t>
      </w:r>
    </w:p>
    <w:p w14:paraId="766667FC">
      <w:pPr>
        <w:pStyle w:val="125"/>
        <w:ind w:firstLine="480"/>
        <w:rPr>
          <w:rFonts w:eastAsia="宋体" w:cs="Times New Roman"/>
          <w:b w:val="0"/>
          <w:kern w:val="0"/>
          <w:szCs w:val="24"/>
        </w:rPr>
      </w:pPr>
      <w:r>
        <w:rPr>
          <w:rFonts w:eastAsia="宋体" w:cs="Times New Roman"/>
          <w:b w:val="0"/>
          <w:kern w:val="0"/>
          <w:szCs w:val="24"/>
        </w:rPr>
        <w:t>1.3.7卖方必须负责</w:t>
      </w:r>
      <w:r>
        <w:rPr>
          <w:rFonts w:hint="eastAsia" w:eastAsia="宋体" w:cs="Times New Roman"/>
          <w:b w:val="0"/>
          <w:kern w:val="0"/>
          <w:szCs w:val="24"/>
        </w:rPr>
        <w:t>采控中心</w:t>
      </w:r>
      <w:r>
        <w:rPr>
          <w:rFonts w:eastAsia="宋体" w:cs="Times New Roman"/>
          <w:b w:val="0"/>
          <w:kern w:val="0"/>
          <w:szCs w:val="24"/>
        </w:rPr>
        <w:t>与</w:t>
      </w:r>
      <w:r>
        <w:rPr>
          <w:rFonts w:hint="eastAsia" w:eastAsia="宋体" w:cs="Times New Roman"/>
          <w:b w:val="0"/>
          <w:kern w:val="0"/>
          <w:szCs w:val="24"/>
        </w:rPr>
        <w:t>省编排系统、能力调度系统、综合告警系统、业务开通相关的业务平台、IP城域网/IPRAN/PON/新型城域网的插件系统等其他系统之间的联网调测。</w:t>
      </w:r>
      <w:r>
        <w:rPr>
          <w:rFonts w:eastAsia="宋体" w:cs="Times New Roman"/>
          <w:b w:val="0"/>
          <w:kern w:val="0"/>
          <w:szCs w:val="24"/>
        </w:rPr>
        <w:t>如果与其它</w:t>
      </w:r>
      <w:r>
        <w:rPr>
          <w:rFonts w:hint="eastAsia" w:eastAsia="宋体" w:cs="Times New Roman"/>
          <w:b w:val="0"/>
          <w:kern w:val="0"/>
          <w:szCs w:val="24"/>
        </w:rPr>
        <w:t>系统对接</w:t>
      </w:r>
      <w:r>
        <w:rPr>
          <w:rFonts w:eastAsia="宋体" w:cs="Times New Roman"/>
          <w:b w:val="0"/>
          <w:kern w:val="0"/>
          <w:szCs w:val="24"/>
        </w:rPr>
        <w:t>出现问题，</w:t>
      </w:r>
      <w:r>
        <w:rPr>
          <w:rFonts w:hint="eastAsia" w:eastAsia="宋体" w:cs="Times New Roman"/>
          <w:b w:val="0"/>
          <w:kern w:val="0"/>
          <w:szCs w:val="24"/>
        </w:rPr>
        <w:t>卖方应</w:t>
      </w:r>
      <w:r>
        <w:rPr>
          <w:rFonts w:eastAsia="宋体" w:cs="Times New Roman"/>
          <w:b w:val="0"/>
          <w:kern w:val="0"/>
          <w:szCs w:val="24"/>
        </w:rPr>
        <w:t>按中国电信湖北分公司技术规范无条件予以修改。</w:t>
      </w:r>
    </w:p>
    <w:p w14:paraId="5CF93A30">
      <w:pPr>
        <w:pStyle w:val="125"/>
        <w:ind w:firstLine="480"/>
        <w:rPr>
          <w:rFonts w:hint="eastAsia" w:eastAsia="宋体" w:cs="Times New Roman"/>
          <w:b w:val="0"/>
          <w:kern w:val="0"/>
          <w:szCs w:val="24"/>
        </w:rPr>
      </w:pPr>
      <w:r>
        <w:rPr>
          <w:rFonts w:eastAsia="宋体" w:cs="Times New Roman"/>
          <w:b w:val="0"/>
          <w:kern w:val="0"/>
          <w:szCs w:val="24"/>
        </w:rPr>
        <w:t>1.3.8 卖方须根据本规范要求提供技术规范书应答、技术建议书、设备配置清单等</w:t>
      </w:r>
      <w:r>
        <w:rPr>
          <w:rFonts w:hint="eastAsia" w:eastAsia="宋体" w:cs="Times New Roman"/>
          <w:b w:val="0"/>
          <w:kern w:val="0"/>
          <w:szCs w:val="24"/>
        </w:rPr>
        <w:t>。</w:t>
      </w:r>
    </w:p>
    <w:p w14:paraId="43C01D70">
      <w:pPr>
        <w:pStyle w:val="125"/>
        <w:ind w:firstLine="480"/>
        <w:rPr>
          <w:rFonts w:hint="eastAsia" w:eastAsia="宋体" w:cs="Times New Roman"/>
          <w:b w:val="0"/>
          <w:kern w:val="0"/>
          <w:szCs w:val="24"/>
        </w:rPr>
      </w:pPr>
      <w:r>
        <w:rPr>
          <w:rFonts w:eastAsia="宋体" w:cs="Times New Roman"/>
          <w:b w:val="0"/>
          <w:kern w:val="0"/>
          <w:szCs w:val="24"/>
        </w:rPr>
        <w:t>1.3.9 卖方应承诺不向任何一方、以任何方式泄漏关于本技术规范书、本项目、中国电信湖北分公司网络的任何情况以及可能给中国电信湖北分公司带来损失的其他情况；若发生卖方泄密的事件，中国电信湖北分公司将追究卖方的责任，卖方必须赔偿由于泄密给中国电信湖北分公司造成的损失。</w:t>
      </w:r>
    </w:p>
    <w:p w14:paraId="629E6312">
      <w:pPr>
        <w:pStyle w:val="125"/>
        <w:ind w:firstLine="480"/>
        <w:rPr>
          <w:rFonts w:hint="eastAsia" w:eastAsia="宋体" w:cs="Times New Roman"/>
          <w:b w:val="0"/>
          <w:kern w:val="0"/>
          <w:szCs w:val="24"/>
        </w:rPr>
      </w:pPr>
      <w:r>
        <w:rPr>
          <w:rFonts w:eastAsia="宋体" w:cs="Times New Roman"/>
          <w:b w:val="0"/>
          <w:kern w:val="0"/>
          <w:szCs w:val="24"/>
        </w:rPr>
        <w:t>1.3.10 对于卖方提供的其它第三方</w:t>
      </w:r>
      <w:r>
        <w:rPr>
          <w:rFonts w:hint="eastAsia" w:eastAsia="宋体" w:cs="Times New Roman"/>
          <w:b w:val="0"/>
          <w:kern w:val="0"/>
          <w:szCs w:val="24"/>
        </w:rPr>
        <w:t>软件</w:t>
      </w:r>
      <w:r>
        <w:rPr>
          <w:rFonts w:eastAsia="宋体" w:cs="Times New Roman"/>
          <w:b w:val="0"/>
          <w:kern w:val="0"/>
          <w:szCs w:val="24"/>
        </w:rPr>
        <w:t>（采用设备集成或者其它方式），卖方应等同其自身生产的设备，向中国电信湖北分公司提供相同的服务和承诺。</w:t>
      </w:r>
    </w:p>
    <w:p w14:paraId="3A6056F2">
      <w:pPr>
        <w:pStyle w:val="125"/>
        <w:ind w:firstLine="480"/>
        <w:rPr>
          <w:rFonts w:eastAsia="宋体" w:cs="Times New Roman"/>
          <w:b w:val="0"/>
          <w:kern w:val="0"/>
          <w:szCs w:val="24"/>
          <w:highlight w:val="none"/>
        </w:rPr>
      </w:pPr>
      <w:r>
        <w:rPr>
          <w:rFonts w:eastAsia="宋体" w:cs="Times New Roman"/>
          <w:b w:val="0"/>
          <w:kern w:val="0"/>
          <w:szCs w:val="24"/>
        </w:rPr>
        <w:t>1.3.</w:t>
      </w:r>
      <w:r>
        <w:rPr>
          <w:rFonts w:hint="eastAsia" w:eastAsia="宋体" w:cs="Times New Roman"/>
          <w:b w:val="0"/>
          <w:kern w:val="0"/>
          <w:szCs w:val="24"/>
        </w:rPr>
        <w:t>1</w:t>
      </w:r>
      <w:r>
        <w:rPr>
          <w:rFonts w:eastAsia="宋体" w:cs="Times New Roman"/>
          <w:b w:val="0"/>
          <w:kern w:val="0"/>
          <w:szCs w:val="24"/>
        </w:rPr>
        <w:t>1 卖方必须对涉及专利、知识产权</w:t>
      </w:r>
      <w:r>
        <w:rPr>
          <w:rFonts w:hint="eastAsia" w:eastAsia="宋体" w:cs="Times New Roman"/>
          <w:b w:val="0"/>
          <w:kern w:val="0"/>
          <w:szCs w:val="24"/>
        </w:rPr>
        <w:t>、商标</w:t>
      </w:r>
      <w:r>
        <w:rPr>
          <w:rFonts w:eastAsia="宋体" w:cs="Times New Roman"/>
          <w:b w:val="0"/>
          <w:kern w:val="0"/>
          <w:szCs w:val="24"/>
        </w:rPr>
        <w:t>等法律条款承担责任，保证在这些方面不会存在任何纠纷或潜在问题（包括第三方</w:t>
      </w:r>
      <w:r>
        <w:rPr>
          <w:rFonts w:hint="eastAsia" w:eastAsia="宋体" w:cs="Times New Roman"/>
          <w:b w:val="0"/>
          <w:kern w:val="0"/>
          <w:szCs w:val="24"/>
        </w:rPr>
        <w:t>软件</w:t>
      </w:r>
      <w:r>
        <w:rPr>
          <w:rFonts w:eastAsia="宋体" w:cs="Times New Roman"/>
          <w:b w:val="0"/>
          <w:kern w:val="0"/>
          <w:szCs w:val="24"/>
        </w:rPr>
        <w:t>）。如果卖方所提供的设备（包括第三方</w:t>
      </w:r>
      <w:r>
        <w:rPr>
          <w:rFonts w:hint="eastAsia" w:eastAsia="宋体" w:cs="Times New Roman"/>
          <w:b w:val="0"/>
          <w:kern w:val="0"/>
          <w:szCs w:val="24"/>
        </w:rPr>
        <w:t>软件</w:t>
      </w:r>
      <w:r>
        <w:rPr>
          <w:rFonts w:eastAsia="宋体" w:cs="Times New Roman"/>
          <w:b w:val="0"/>
          <w:kern w:val="0"/>
          <w:szCs w:val="24"/>
        </w:rPr>
        <w:t>）在任何时候出现涉及专利、知识产权</w:t>
      </w:r>
      <w:r>
        <w:rPr>
          <w:rFonts w:hint="eastAsia" w:eastAsia="宋体" w:cs="Times New Roman"/>
          <w:b w:val="0"/>
          <w:kern w:val="0"/>
          <w:szCs w:val="24"/>
        </w:rPr>
        <w:t>、商标</w:t>
      </w:r>
      <w:r>
        <w:rPr>
          <w:rFonts w:eastAsia="宋体" w:cs="Times New Roman"/>
          <w:b w:val="0"/>
          <w:kern w:val="0"/>
          <w:szCs w:val="24"/>
        </w:rPr>
        <w:t>等</w:t>
      </w:r>
      <w:r>
        <w:rPr>
          <w:rFonts w:eastAsia="宋体" w:cs="Times New Roman"/>
          <w:b w:val="0"/>
          <w:kern w:val="0"/>
          <w:szCs w:val="24"/>
          <w:highlight w:val="none"/>
        </w:rPr>
        <w:t>法律纠纷和问题，卖方必须担负全部责任，中国电信湖北分公司对此不承担任何责任。</w:t>
      </w:r>
    </w:p>
    <w:p w14:paraId="00EB4FD2">
      <w:pPr>
        <w:pStyle w:val="125"/>
        <w:ind w:firstLine="480"/>
        <w:rPr>
          <w:rFonts w:hint="eastAsia" w:cs="Times New Roman"/>
          <w:b w:val="0"/>
          <w:kern w:val="0"/>
          <w:szCs w:val="24"/>
          <w:highlight w:val="none"/>
          <w:lang w:val="en-US" w:eastAsia="zh-CN"/>
        </w:rPr>
      </w:pPr>
      <w:r>
        <w:rPr>
          <w:rFonts w:hint="eastAsia" w:cs="Times New Roman"/>
          <w:b w:val="0"/>
          <w:kern w:val="0"/>
          <w:szCs w:val="24"/>
          <w:highlight w:val="none"/>
          <w:lang w:val="en-US" w:eastAsia="zh-CN"/>
        </w:rPr>
        <w:t>1</w:t>
      </w:r>
      <w:r>
        <w:rPr>
          <w:rFonts w:hint="eastAsia" w:eastAsia="宋体" w:cs="Times New Roman"/>
          <w:b w:val="0"/>
          <w:kern w:val="0"/>
          <w:szCs w:val="24"/>
          <w:highlight w:val="none"/>
          <w:lang w:val="en-US" w:eastAsia="zh-CN"/>
        </w:rPr>
        <w:t>.</w:t>
      </w:r>
      <w:r>
        <w:rPr>
          <w:rFonts w:hint="eastAsia" w:cs="Times New Roman"/>
          <w:b w:val="0"/>
          <w:kern w:val="0"/>
          <w:szCs w:val="24"/>
          <w:highlight w:val="none"/>
          <w:lang w:val="en-US" w:eastAsia="zh-CN"/>
        </w:rPr>
        <w:t>3</w:t>
      </w:r>
      <w:r>
        <w:rPr>
          <w:rFonts w:hint="eastAsia" w:eastAsia="宋体" w:cs="Times New Roman"/>
          <w:b w:val="0"/>
          <w:kern w:val="0"/>
          <w:szCs w:val="24"/>
          <w:highlight w:val="none"/>
          <w:lang w:val="en-US" w:eastAsia="zh-CN"/>
        </w:rPr>
        <w:t>.</w:t>
      </w:r>
      <w:r>
        <w:rPr>
          <w:rFonts w:hint="eastAsia" w:cs="Times New Roman"/>
          <w:b w:val="0"/>
          <w:kern w:val="0"/>
          <w:szCs w:val="24"/>
          <w:highlight w:val="none"/>
          <w:lang w:val="en-US" w:eastAsia="zh-CN"/>
        </w:rPr>
        <w:t>1</w:t>
      </w:r>
      <w:r>
        <w:rPr>
          <w:rFonts w:hint="eastAsia" w:eastAsia="宋体" w:cs="Times New Roman"/>
          <w:b w:val="0"/>
          <w:kern w:val="0"/>
          <w:szCs w:val="24"/>
          <w:highlight w:val="none"/>
          <w:lang w:val="en-US" w:eastAsia="zh-CN"/>
        </w:rPr>
        <w:t>2</w:t>
      </w:r>
      <w:r>
        <w:rPr>
          <w:rFonts w:eastAsia="宋体" w:cs="Times New Roman"/>
          <w:b w:val="0"/>
          <w:kern w:val="0"/>
          <w:szCs w:val="24"/>
          <w:highlight w:val="none"/>
        </w:rPr>
        <w:t>卖方</w:t>
      </w:r>
      <w:r>
        <w:rPr>
          <w:rFonts w:hint="eastAsia" w:eastAsia="宋体" w:cs="Times New Roman"/>
          <w:b w:val="0"/>
          <w:kern w:val="0"/>
          <w:szCs w:val="24"/>
          <w:highlight w:val="none"/>
          <w:lang w:val="en-US" w:eastAsia="zh-CN"/>
        </w:rPr>
        <w:t>须在各个阶段按照格式提供完整的</w:t>
      </w:r>
      <w:r>
        <w:rPr>
          <w:rFonts w:hint="default" w:eastAsia="宋体" w:cs="Times New Roman"/>
          <w:b w:val="0"/>
          <w:kern w:val="0"/>
          <w:szCs w:val="24"/>
          <w:highlight w:val="none"/>
          <w:lang w:val="en-US" w:eastAsia="zh-CN"/>
        </w:rPr>
        <w:t>软件成分信息清单，须提供软件中用到的所有开源软件、第三方软件、中间件等所有组件，并提供知识产权方面的说明和承诺，内容包括但不限于软件名称及版本、开源社区、代码托管平台、开源许可证版本与开放标准、第三方授权信息、软件间关系等</w:t>
      </w:r>
      <w:r>
        <w:rPr>
          <w:rFonts w:hint="eastAsia" w:cs="Times New Roman"/>
          <w:b w:val="0"/>
          <w:kern w:val="0"/>
          <w:szCs w:val="24"/>
          <w:highlight w:val="none"/>
          <w:lang w:val="en-US" w:eastAsia="zh-CN"/>
        </w:rPr>
        <w:t>。</w:t>
      </w:r>
    </w:p>
    <w:p w14:paraId="68AD4468">
      <w:pPr>
        <w:pStyle w:val="125"/>
        <w:ind w:firstLine="480"/>
        <w:rPr>
          <w:rFonts w:hint="eastAsia" w:eastAsia="宋体" w:cs="Times New Roman"/>
          <w:b w:val="0"/>
          <w:kern w:val="0"/>
          <w:szCs w:val="24"/>
          <w:highlight w:val="none"/>
        </w:rPr>
      </w:pPr>
      <w:r>
        <w:rPr>
          <w:rFonts w:hint="eastAsia" w:cs="Times New Roman"/>
          <w:b w:val="0"/>
          <w:kern w:val="0"/>
          <w:szCs w:val="24"/>
          <w:highlight w:val="none"/>
          <w:lang w:val="en-US" w:eastAsia="zh-CN"/>
        </w:rPr>
        <w:t>1</w:t>
      </w:r>
      <w:r>
        <w:rPr>
          <w:rFonts w:hint="eastAsia" w:eastAsia="宋体" w:cs="Times New Roman"/>
          <w:b w:val="0"/>
          <w:kern w:val="0"/>
          <w:szCs w:val="24"/>
          <w:highlight w:val="none"/>
          <w:lang w:val="en-US" w:eastAsia="zh-CN"/>
        </w:rPr>
        <w:t>.</w:t>
      </w:r>
      <w:r>
        <w:rPr>
          <w:rFonts w:hint="eastAsia" w:cs="Times New Roman"/>
          <w:b w:val="0"/>
          <w:kern w:val="0"/>
          <w:szCs w:val="24"/>
          <w:highlight w:val="none"/>
          <w:lang w:val="en-US" w:eastAsia="zh-CN"/>
        </w:rPr>
        <w:t>3</w:t>
      </w:r>
      <w:r>
        <w:rPr>
          <w:rFonts w:hint="eastAsia" w:eastAsia="宋体" w:cs="Times New Roman"/>
          <w:b w:val="0"/>
          <w:kern w:val="0"/>
          <w:szCs w:val="24"/>
          <w:highlight w:val="none"/>
          <w:lang w:val="en-US" w:eastAsia="zh-CN"/>
        </w:rPr>
        <w:t>.</w:t>
      </w:r>
      <w:r>
        <w:rPr>
          <w:rFonts w:hint="eastAsia" w:cs="Times New Roman"/>
          <w:b w:val="0"/>
          <w:kern w:val="0"/>
          <w:szCs w:val="24"/>
          <w:highlight w:val="none"/>
          <w:lang w:val="en-US" w:eastAsia="zh-CN"/>
        </w:rPr>
        <w:t>13</w:t>
      </w:r>
      <w:r>
        <w:rPr>
          <w:rFonts w:hint="eastAsia" w:eastAsia="宋体" w:cs="Times New Roman"/>
          <w:b w:val="0"/>
          <w:kern w:val="0"/>
          <w:szCs w:val="24"/>
          <w:highlight w:val="none"/>
          <w:lang w:val="en-US" w:eastAsia="zh-CN"/>
        </w:rPr>
        <w:t>明确提出供应商在进行软件交付时，利用SCA工具检测软件交付代码并生产软件成分清单（SBOM），验收技术文档清单中须</w:t>
      </w:r>
      <w:r>
        <w:rPr>
          <w:rFonts w:hint="default" w:eastAsia="宋体" w:cs="Times New Roman"/>
          <w:b w:val="0"/>
          <w:kern w:val="0"/>
          <w:szCs w:val="24"/>
          <w:highlight w:val="none"/>
          <w:lang w:val="en-US" w:eastAsia="zh-CN"/>
        </w:rPr>
        <w:t>包括“软件开发安全过程管控报告”、软件成分清单、软件安全检测报告。软件开发安全过程管控报告内容包括但不限于软件开发过程中安全测试、安全检测、发现病毒/漏洞/后门以及定位、修复等的情况以及当前交付软件的安全性说明等内容。</w:t>
      </w:r>
    </w:p>
    <w:p w14:paraId="70D81E57">
      <w:pPr>
        <w:keepNext/>
        <w:keepLines/>
        <w:pageBreakBefore w:val="0"/>
        <w:widowControl w:val="0"/>
        <w:numPr>
          <w:ilvl w:val="1"/>
          <w:numId w:val="31"/>
        </w:numPr>
        <w:kinsoku/>
        <w:wordWrap/>
        <w:overflowPunct/>
        <w:topLinePunct w:val="0"/>
        <w:autoSpaceDE/>
        <w:autoSpaceDN/>
        <w:bidi w:val="0"/>
        <w:adjustRightInd w:val="0"/>
        <w:snapToGrid w:val="0"/>
        <w:spacing w:before="180" w:after="120" w:line="240" w:lineRule="auto"/>
        <w:ind w:left="0" w:firstLine="0" w:firstLineChars="0"/>
        <w:jc w:val="left"/>
        <w:textAlignment w:val="bottom"/>
        <w:outlineLvl w:val="1"/>
        <w:rPr>
          <w:rFonts w:hint="eastAsia" w:ascii="宋体" w:hAnsi="宋体" w:eastAsia="宋体" w:cs="宋体"/>
          <w:b/>
          <w:bCs/>
          <w:sz w:val="28"/>
          <w:szCs w:val="28"/>
          <w:lang w:val="en-US" w:eastAsia="zh-CN" w:bidi="ar-SA"/>
        </w:rPr>
      </w:pPr>
      <w:bookmarkStart w:id="764" w:name="_Toc516059040"/>
      <w:bookmarkStart w:id="765" w:name="_Toc24286"/>
      <w:bookmarkStart w:id="766" w:name="_Toc22675"/>
      <w:bookmarkStart w:id="767" w:name="_Toc28347"/>
      <w:bookmarkStart w:id="768" w:name="_Toc21724"/>
      <w:bookmarkStart w:id="769" w:name="_Toc2824"/>
      <w:bookmarkStart w:id="770" w:name="_Toc466036652"/>
      <w:bookmarkStart w:id="771" w:name="_Toc25135"/>
      <w:r>
        <w:rPr>
          <w:rFonts w:hint="eastAsia" w:ascii="宋体" w:hAnsi="宋体" w:eastAsia="宋体" w:cs="宋体"/>
          <w:b/>
          <w:bCs/>
          <w:sz w:val="28"/>
          <w:szCs w:val="28"/>
          <w:lang w:val="en-US" w:eastAsia="zh-CN" w:bidi="ar-SA"/>
        </w:rPr>
        <w:t>技术、报价要求</w:t>
      </w:r>
      <w:bookmarkEnd w:id="764"/>
      <w:bookmarkEnd w:id="765"/>
      <w:bookmarkEnd w:id="766"/>
      <w:bookmarkEnd w:id="767"/>
      <w:bookmarkEnd w:id="768"/>
      <w:bookmarkEnd w:id="769"/>
      <w:bookmarkEnd w:id="770"/>
      <w:bookmarkEnd w:id="771"/>
      <w:r>
        <w:rPr>
          <w:rFonts w:hint="eastAsia" w:ascii="宋体" w:hAnsi="宋体" w:eastAsia="宋体" w:cs="宋体"/>
          <w:b/>
          <w:bCs/>
          <w:sz w:val="28"/>
          <w:szCs w:val="28"/>
          <w:lang w:val="en-US" w:eastAsia="zh-CN" w:bidi="ar-SA"/>
        </w:rPr>
        <w:t xml:space="preserve"> </w:t>
      </w:r>
    </w:p>
    <w:p w14:paraId="3DB50AEB">
      <w:pPr>
        <w:pStyle w:val="125"/>
        <w:ind w:firstLine="480"/>
        <w:rPr>
          <w:rFonts w:eastAsia="宋体" w:cs="Times New Roman"/>
          <w:b w:val="0"/>
          <w:kern w:val="0"/>
          <w:szCs w:val="24"/>
          <w:highlight w:val="none"/>
        </w:rPr>
      </w:pPr>
      <w:r>
        <w:rPr>
          <w:rFonts w:eastAsia="宋体" w:cs="Times New Roman"/>
          <w:b w:val="0"/>
          <w:kern w:val="0"/>
          <w:szCs w:val="24"/>
          <w:highlight w:val="none"/>
        </w:rPr>
        <w:t>凡本章中未提及的</w:t>
      </w:r>
      <w:r>
        <w:rPr>
          <w:rFonts w:hint="eastAsia" w:eastAsia="宋体" w:cs="Times New Roman"/>
          <w:b w:val="0"/>
          <w:kern w:val="0"/>
          <w:szCs w:val="24"/>
          <w:highlight w:val="none"/>
        </w:rPr>
        <w:t>内容</w:t>
      </w:r>
      <w:r>
        <w:rPr>
          <w:rFonts w:eastAsia="宋体" w:cs="Times New Roman"/>
          <w:b w:val="0"/>
          <w:kern w:val="0"/>
          <w:szCs w:val="24"/>
          <w:highlight w:val="none"/>
        </w:rPr>
        <w:t>均以</w:t>
      </w:r>
      <w:r>
        <w:rPr>
          <w:rFonts w:hint="eastAsia" w:eastAsia="宋体" w:cs="Times New Roman"/>
          <w:b w:val="0"/>
          <w:kern w:val="0"/>
          <w:szCs w:val="24"/>
          <w:highlight w:val="none"/>
        </w:rPr>
        <w:t>1.2.1中所引用的</w:t>
      </w:r>
      <w:r>
        <w:rPr>
          <w:rFonts w:eastAsia="宋体" w:cs="Times New Roman"/>
          <w:b w:val="0"/>
          <w:kern w:val="0"/>
          <w:szCs w:val="24"/>
          <w:highlight w:val="none"/>
        </w:rPr>
        <w:t>各</w:t>
      </w:r>
      <w:r>
        <w:rPr>
          <w:rFonts w:hint="eastAsia" w:eastAsia="宋体" w:cs="Times New Roman"/>
          <w:b w:val="0"/>
          <w:kern w:val="0"/>
          <w:szCs w:val="24"/>
          <w:highlight w:val="none"/>
        </w:rPr>
        <w:t>标准、</w:t>
      </w:r>
      <w:r>
        <w:rPr>
          <w:rFonts w:eastAsia="宋体" w:cs="Times New Roman"/>
          <w:b w:val="0"/>
          <w:kern w:val="0"/>
          <w:szCs w:val="24"/>
          <w:highlight w:val="none"/>
        </w:rPr>
        <w:t>规范</w:t>
      </w:r>
      <w:r>
        <w:rPr>
          <w:rFonts w:hint="eastAsia" w:eastAsia="宋体" w:cs="Times New Roman"/>
          <w:b w:val="0"/>
          <w:kern w:val="0"/>
          <w:szCs w:val="24"/>
          <w:highlight w:val="none"/>
        </w:rPr>
        <w:t>协议</w:t>
      </w:r>
      <w:r>
        <w:rPr>
          <w:rFonts w:eastAsia="宋体" w:cs="Times New Roman"/>
          <w:b w:val="0"/>
          <w:kern w:val="0"/>
          <w:szCs w:val="24"/>
          <w:highlight w:val="none"/>
        </w:rPr>
        <w:t>及相关附件的要求为准</w:t>
      </w:r>
      <w:r>
        <w:rPr>
          <w:rFonts w:hint="eastAsia" w:eastAsia="宋体" w:cs="Times New Roman"/>
          <w:b w:val="0"/>
          <w:kern w:val="0"/>
          <w:szCs w:val="24"/>
          <w:highlight w:val="none"/>
        </w:rPr>
        <w:t>，引用标准和协议规范中，</w:t>
      </w:r>
      <w:r>
        <w:rPr>
          <w:rFonts w:eastAsia="宋体" w:cs="Times New Roman"/>
          <w:b w:val="0"/>
          <w:kern w:val="0"/>
          <w:szCs w:val="24"/>
          <w:highlight w:val="none"/>
        </w:rPr>
        <w:t>中国电信湖北分公司企业标准与中国行业标准不一致的地方，以</w:t>
      </w:r>
      <w:r>
        <w:rPr>
          <w:rFonts w:hint="eastAsia" w:eastAsia="宋体" w:cs="Times New Roman"/>
          <w:b w:val="0"/>
          <w:kern w:val="0"/>
          <w:szCs w:val="24"/>
          <w:highlight w:val="none"/>
        </w:rPr>
        <w:t>中国电信湖北分公司</w:t>
      </w:r>
      <w:r>
        <w:rPr>
          <w:rFonts w:eastAsia="宋体" w:cs="Times New Roman"/>
          <w:b w:val="0"/>
          <w:kern w:val="0"/>
          <w:szCs w:val="24"/>
          <w:highlight w:val="none"/>
        </w:rPr>
        <w:t>企业标准为准。</w:t>
      </w:r>
    </w:p>
    <w:p w14:paraId="4AE1C427">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hint="eastAsia" w:ascii="宋体" w:hAnsi="宋体" w:eastAsia="宋体" w:cs="宋体"/>
          <w:b/>
          <w:bCs/>
          <w:sz w:val="28"/>
          <w:szCs w:val="28"/>
          <w:lang w:val="en-US" w:eastAsia="zh-CN" w:bidi="ar-SA"/>
        </w:rPr>
      </w:pPr>
      <w:bookmarkStart w:id="772" w:name="_Toc22521"/>
      <w:bookmarkStart w:id="773" w:name="_Toc16291"/>
      <w:bookmarkStart w:id="774" w:name="_Toc6529"/>
      <w:bookmarkStart w:id="775" w:name="_Toc7220"/>
      <w:bookmarkStart w:id="776" w:name="_Toc27671"/>
      <w:bookmarkStart w:id="777" w:name="_Toc32698"/>
      <w:bookmarkStart w:id="778" w:name="_Toc227905566"/>
      <w:bookmarkStart w:id="779" w:name="_Toc516059048"/>
      <w:bookmarkStart w:id="780" w:name="_Toc203318152"/>
      <w:bookmarkStart w:id="781" w:name="_Toc466036670"/>
      <w:bookmarkStart w:id="782" w:name="_Toc203310145"/>
      <w:r>
        <w:rPr>
          <w:rFonts w:hint="eastAsia" w:ascii="宋体" w:hAnsi="宋体" w:eastAsia="宋体" w:cs="宋体"/>
          <w:b/>
          <w:bCs/>
          <w:sz w:val="28"/>
          <w:szCs w:val="28"/>
          <w:lang w:val="en-US" w:eastAsia="zh-CN" w:bidi="ar-SA"/>
        </w:rPr>
        <w:t>技术要求</w:t>
      </w:r>
      <w:bookmarkEnd w:id="772"/>
      <w:bookmarkEnd w:id="773"/>
      <w:bookmarkEnd w:id="774"/>
      <w:bookmarkEnd w:id="775"/>
      <w:bookmarkEnd w:id="776"/>
      <w:bookmarkEnd w:id="777"/>
    </w:p>
    <w:p w14:paraId="72FAF048">
      <w:pPr>
        <w:keepNext/>
        <w:keepLines/>
        <w:widowControl w:val="0"/>
        <w:numPr>
          <w:ilvl w:val="3"/>
          <w:numId w:val="31"/>
        </w:numPr>
        <w:spacing w:before="240" w:after="180" w:line="360" w:lineRule="auto"/>
        <w:ind w:left="1179" w:leftChars="151" w:hanging="862" w:firstLineChars="0"/>
        <w:jc w:val="both"/>
        <w:outlineLvl w:val="3"/>
        <w:rPr>
          <w:rFonts w:hint="eastAsia" w:ascii="宋体" w:hAnsi="宋体" w:eastAsia="宋体" w:cs="宋体"/>
          <w:b/>
          <w:bCs/>
          <w:sz w:val="24"/>
          <w:szCs w:val="24"/>
          <w:highlight w:val="none"/>
          <w:lang w:val="en-US" w:eastAsia="zh-CN" w:bidi="ar-SA"/>
        </w:rPr>
      </w:pPr>
      <w:bookmarkStart w:id="783" w:name="_Toc27700"/>
      <w:bookmarkStart w:id="784" w:name="_Toc10947"/>
      <w:bookmarkStart w:id="785" w:name="_Toc16461"/>
      <w:r>
        <w:rPr>
          <w:rFonts w:hint="eastAsia" w:ascii="宋体" w:hAnsi="宋体" w:eastAsia="宋体" w:cs="宋体"/>
          <w:b/>
          <w:bCs/>
          <w:sz w:val="24"/>
          <w:szCs w:val="24"/>
          <w:highlight w:val="none"/>
          <w:lang w:val="en-US" w:eastAsia="zh-CN" w:bidi="ar-SA"/>
        </w:rPr>
        <w:t>集团重点专项工作承接</w:t>
      </w:r>
      <w:bookmarkEnd w:id="783"/>
    </w:p>
    <w:p w14:paraId="36208770">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两级质检重传，实现两级协同</w:t>
      </w:r>
    </w:p>
    <w:p w14:paraId="13512961">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提供对采控采集数据采集模型、数字孪生模型、资享标准模型的管理适配能力，以及模型对象间依赖关系的管理能力；用户能够基于模型灵活的配置出模转的规则。</w:t>
      </w:r>
    </w:p>
    <w:p w14:paraId="092948A2">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IP城域网两级质检重传</w:t>
      </w:r>
    </w:p>
    <w:p w14:paraId="38A7A146">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新增或者修改协议模板、控制台数据等数据按照集团两级数据规范格式进行IP城域专业数据处理和数据上报。对能力适配和采控通报采集量统计数据质检要求，对IP城域专业数据进行处理，保证对数据之间的关联关系正确。</w:t>
      </w:r>
    </w:p>
    <w:p w14:paraId="455FE7F6">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IPRAN两级质检重传</w:t>
      </w:r>
    </w:p>
    <w:p w14:paraId="2E417F8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新增或者修改协议模板、控制台数据等数据按照集团两级数据规范格式进行IPRAN专业数据处理和数据上报。对能力适配和采控通报采集量统计数据质检要求，对IPRAN专业数据进行处理，保证对数据之间的关联关系正确。</w:t>
      </w:r>
    </w:p>
    <w:p w14:paraId="12C0EA39">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PON两级质检重传</w:t>
      </w:r>
    </w:p>
    <w:p w14:paraId="7A0AECE0">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新增或者修改协议模板、控制台数据等数据按照集团两级数据规范格式进行PON专业数据处理和数据上报。对能力适配和采控通报采集量统计数据质检要求，对PON专业数据进行处理，保证对数据之间的关联关系正确。</w:t>
      </w:r>
    </w:p>
    <w:p w14:paraId="5AC7885B">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新型城域网两级质检重传</w:t>
      </w:r>
    </w:p>
    <w:p w14:paraId="326E818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新增或者修改协议模板、控制台数据等数据按照集团两级数据规范格式进行新型城域网专业数据处理和数据上报。对能力适配和采控通报采集量统计数据质检要求，对新型城域网专业数据进行处理，保证对数据之间的关联关系正确。</w:t>
      </w:r>
    </w:p>
    <w:p w14:paraId="419C3649">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全场景统一指令库，赋能全网能力快速就绪</w:t>
      </w:r>
    </w:p>
    <w:p w14:paraId="10E2D194">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省采控自动设计能力指令及建立可用指令库</w:t>
      </w:r>
    </w:p>
    <w:p w14:paraId="36A0F1F7">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构建省能力指令库，能够对集团指令库导出的数进行导入，进行解析、拆分、拼接为标准化指令；专业维护人员能够进行审核确认，并提供指令测试，指令发布，自动加载设计，权限控制等能力，快速形成对外开放能力。</w:t>
      </w:r>
    </w:p>
    <w:p w14:paraId="46BA6F20">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设计态API交互开发</w:t>
      </w:r>
    </w:p>
    <w:p w14:paraId="34234AA3">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优化页面共功能及设计，减少交互，减少不必要的配置，方便用户使用。</w:t>
      </w:r>
    </w:p>
    <w:p w14:paraId="4CCDC1B7">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运行态API交互开发</w:t>
      </w:r>
    </w:p>
    <w:p w14:paraId="295F82D6">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优化控制框架和控制服务的运行逻辑以及控制框架和控制服务之间的交互逻辑，综合分析所有环节的执行情况，对可以合并执行的可能性进行分析，减少框架和服务运行时间，提升API运行效率。</w:t>
      </w:r>
    </w:p>
    <w:p w14:paraId="09CB957F">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构建集约能力设计台，实现天级能力上架</w:t>
      </w:r>
    </w:p>
    <w:p w14:paraId="7EAB068C">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能力接收验证</w:t>
      </w:r>
    </w:p>
    <w:p w14:paraId="25D4515B">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通过两级通道，连接sftp或者ctdfs获取集团下发的标准指令库信息，包括指令信息、流程环节信息、规则脚本信息、参数信息文件。对人工确认后的指令，提供相应的页面及功能，能够选择相应的测试设备，并填写相应的参数值进行测试。</w:t>
      </w:r>
    </w:p>
    <w:p w14:paraId="1EC198AC">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能力加载</w:t>
      </w:r>
    </w:p>
    <w:p w14:paraId="5BD8A8C5">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解析集团下发的标准指令库信息文件内容，转换成省采控能力配置数据的模型，对于API涉及到的虚指令集、虚指令、实指令、参数、参数转换规则、结果解析脚本等信息进行自动加载配置。</w:t>
      </w:r>
    </w:p>
    <w:p w14:paraId="6FFD2072">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能力注册</w:t>
      </w:r>
    </w:p>
    <w:p w14:paraId="09A9E8D4">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API自动生成DCOOS swagger注册文件，并可以预览和下载swagger注册文件，页面按钮进行一键注册，调用DCOOS提供的能力注册接口。调用集团采控的能力注册通知接口通知省能力已注册成功，入参包括APIID、API名称、SKUID等。</w:t>
      </w:r>
    </w:p>
    <w:p w14:paraId="05BF8782">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网元孪生库工作台，指引全网数据标准化处理</w:t>
      </w:r>
    </w:p>
    <w:p w14:paraId="1580E7CD">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模型指标自动加载</w:t>
      </w:r>
    </w:p>
    <w:p w14:paraId="25507770">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接收加载集团网元孪生设计，基于采控两级数据模型通过采控两级通道接收集团网元孪生设计，转换成省内数据模型实现自动加载。</w:t>
      </w:r>
    </w:p>
    <w:p w14:paraId="2EE46B3E">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指标加载执行监控</w:t>
      </w:r>
    </w:p>
    <w:p w14:paraId="15FB4491">
      <w:pPr>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实时监控采集指标加载过程、执行过程，提高系统稳定性和透明化。</w:t>
      </w:r>
    </w:p>
    <w:p w14:paraId="106E2039">
      <w:pPr>
        <w:keepNext/>
        <w:keepLines/>
        <w:widowControl w:val="0"/>
        <w:numPr>
          <w:ilvl w:val="3"/>
          <w:numId w:val="31"/>
        </w:numPr>
        <w:spacing w:before="240" w:after="180" w:line="360" w:lineRule="auto"/>
        <w:ind w:left="1179" w:leftChars="151" w:hanging="862" w:firstLineChars="0"/>
        <w:jc w:val="both"/>
        <w:outlineLvl w:val="3"/>
        <w:rPr>
          <w:rFonts w:hint="eastAsia" w:ascii="宋体" w:hAnsi="宋体" w:eastAsia="宋体" w:cs="宋体"/>
          <w:b/>
          <w:bCs/>
          <w:sz w:val="24"/>
          <w:szCs w:val="24"/>
          <w:lang w:val="en-US" w:eastAsia="zh-CN" w:bidi="ar-SA"/>
        </w:rPr>
      </w:pPr>
      <w:bookmarkStart w:id="786" w:name="_Toc32481"/>
      <w:r>
        <w:rPr>
          <w:rFonts w:hint="eastAsia" w:ascii="宋体" w:hAnsi="宋体" w:eastAsia="宋体" w:cs="宋体"/>
          <w:b/>
          <w:bCs/>
          <w:sz w:val="24"/>
          <w:szCs w:val="24"/>
          <w:lang w:val="en-US" w:eastAsia="zh-CN" w:bidi="ar-SA"/>
        </w:rPr>
        <w:t>提升省内业务纳管能力</w:t>
      </w:r>
      <w:bookmarkEnd w:id="786"/>
    </w:p>
    <w:p w14:paraId="50463CB6">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直连集团翼支付，减少故障隐患</w:t>
      </w:r>
    </w:p>
    <w:p w14:paraId="56EFCD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rPr>
      </w:pPr>
      <w:r>
        <w:rPr>
          <w:rFonts w:hint="eastAsia" w:ascii="宋体" w:hAnsi="宋体" w:eastAsia="宋体" w:cs="宋体"/>
          <w:kern w:val="0"/>
          <w:sz w:val="24"/>
        </w:rPr>
        <w:t>割接替换原省内翼支付平台，基于PSR产品积木式组装的思想模式，迁移翼支付平台业务能力到采控系统中，采控中心直接连接集团翼支付平台，对编排中心提供网络能力；验证编排中心下发参数以及解耦指令支撑各业务的准确性，标准化能力复用提高产品加载开发效率，完成能力迁移。</w:t>
      </w:r>
    </w:p>
    <w:p w14:paraId="08DEBB1A">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扩充逻辑资源采集，支撑PSR业务开通快速上线</w:t>
      </w:r>
    </w:p>
    <w:p w14:paraId="43C74B00">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IP逻辑资源采集</w:t>
      </w:r>
    </w:p>
    <w:p w14:paraId="0E7EDCEC">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VPN实例采集、BGP信息采集、QOS信息采集、LLDP信息采集、聚合信息采集、端口VLAN采集。</w:t>
      </w:r>
    </w:p>
    <w:p w14:paraId="60B094AD">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IPRAN逻辑资源采集</w:t>
      </w:r>
    </w:p>
    <w:p w14:paraId="07DC5AA2">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静态隧道信息采集、PW信息采集、BFD信息采集、VPN实例采集、BGP信息采集、QOS信息采集、LLDP信息采集、聚合信息采集。</w:t>
      </w:r>
    </w:p>
    <w:p w14:paraId="4E87BFEB">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PON逻辑资源采集</w:t>
      </w:r>
    </w:p>
    <w:p w14:paraId="17C351D1">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ONU逻辑信息采集、VLAN信息采集、LLDP信息采集、聚合信息采集、DBA模板采集。</w:t>
      </w:r>
    </w:p>
    <w:p w14:paraId="3593F0FA">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IP逻辑资源孪生处理</w:t>
      </w:r>
    </w:p>
    <w:p w14:paraId="27507EDA">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VPN实例孪生比对处理、BGP信息孪生比对处理、QOS信息孪生比对处理、LLDP信息孪生比对处理、聚合信息孪生比对处理、端口VLAN孪生比对处理。</w:t>
      </w:r>
    </w:p>
    <w:p w14:paraId="4C3AC576">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IPRAN逻辑资源孪生处理</w:t>
      </w:r>
    </w:p>
    <w:p w14:paraId="35CB897C">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静态隧道信息孪生比对处理、PW信息孪生比对处理、BFD信息孪生比对处理、VPN实例孪生比对处理、BGP信息孪生比对处理、QOS信息孪生比对处理、LLDP信息孪生比对处理、聚合信息孪生比对处理。</w:t>
      </w:r>
    </w:p>
    <w:p w14:paraId="191299CD">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PON逻辑资源孪生处理</w:t>
      </w:r>
    </w:p>
    <w:p w14:paraId="3AB9DBB1">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ONU逻辑信息孪生比对处理、VLAN信息孪生比对处理、DBA模板孪生比对处理、LLDP信息孪生比对处理、聚合信息孪生比对处理。</w:t>
      </w:r>
    </w:p>
    <w:p w14:paraId="1EFC7DF5">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新一代承接政企业务开通，实现网管解耦</w:t>
      </w:r>
    </w:p>
    <w:p w14:paraId="767D79E5">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割接原有老系统政企双线业务开通能力，基于PSR产品积木式组装的思想模式，迁移业务开通能力到采控系统中，对编排中心提供网络能力；验证编排中心下发参数以及解耦指令支撑各业务的准确性，标准化能力复用提高产品加载开发效率，完成业务开通应用迁移。</w:t>
      </w:r>
    </w:p>
    <w:p w14:paraId="3A877C10">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云业务纳管，助力云网数据融合</w:t>
      </w:r>
    </w:p>
    <w:p w14:paraId="49C602F1">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南湖行业云纳管</w:t>
      </w:r>
    </w:p>
    <w:p w14:paraId="1BEAF0A2">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新增南湖行业云数据采集与能力下发功能，包括行业云下交换机、服务器、云资源池等网元类型，将其整合至采控中心进行统一管控，完成配置、性能、流量、告警、日志数据的全面采集，并实现控制能力的下发，为专业网管解耦和云网自智场景提供有力支撑。</w:t>
      </w:r>
    </w:p>
    <w:p w14:paraId="2DE41317">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CT云纳管</w:t>
      </w:r>
    </w:p>
    <w:p w14:paraId="1C2917B3">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新增CT云数据采集与能力下发功能，包括CT云下交换机、服务器、云资源池等网元类型，将其整合至采控中心进行统一管控，完成配置、性能、流量、告警、日志数据的全面采集，并实现控制能力的下发，为专业网管解耦和云网自智场景提供有力支撑。</w:t>
      </w:r>
    </w:p>
    <w:p w14:paraId="651FD3A1">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扩展新城插件纳管，实现网管解耦</w:t>
      </w:r>
    </w:p>
    <w:p w14:paraId="5A088220">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支撑北研新城插件的控制/采集模块</w:t>
      </w:r>
    </w:p>
    <w:p w14:paraId="15141AC6">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对接北研新城插件控制模块，承接150个API，包括BGP、RBS、IFM、PW、L2VPN、MPLS、ISIS等类型的配置查询、修改、删除，提供能调系统运维和业务开通的能力。采集模块完成物理资源设备、机框、槽、板卡、端口五类等指标采集。</w:t>
      </w:r>
    </w:p>
    <w:p w14:paraId="4AD8850D">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支撑华思新城插件的采集模块</w:t>
      </w:r>
    </w:p>
    <w:p w14:paraId="63BF7182">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对接华思新城插件采集模块完成物理资源设备、机框、槽、板卡、端口五类等指标采集和逻辑资源VLAN、掩码、逻辑端口、聚合口等指标采集，完成采集指标及采集策略等配置，并做网元孪生和模型转换。</w:t>
      </w:r>
    </w:p>
    <w:p w14:paraId="0B37EF4C">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对接移动核心网插件，满足云网自智需求</w:t>
      </w:r>
    </w:p>
    <w:p w14:paraId="150C4AC4">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基础接口对接</w:t>
      </w:r>
    </w:p>
    <w:p w14:paraId="178F0E22">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移动核心网采控插件对接，完成与采控插件集成接口的联调。</w:t>
      </w:r>
    </w:p>
    <w:p w14:paraId="3BD34B6F">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指标纳管</w:t>
      </w:r>
    </w:p>
    <w:p w14:paraId="7020ECCE">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对接移动核心网采集插件，实现性能、日志、资源数据采集功能的配置和联调。</w:t>
      </w:r>
    </w:p>
    <w:p w14:paraId="63975823">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API纳管</w:t>
      </w:r>
    </w:p>
    <w:p w14:paraId="06FCC1A6">
      <w:pPr>
        <w:spacing w:line="360" w:lineRule="auto"/>
        <w:ind w:firstLine="420" w:firstLineChars="0"/>
        <w:rPr>
          <w:rFonts w:hint="eastAsia" w:ascii="宋体" w:hAnsi="宋体" w:eastAsia="宋体" w:cs="宋体"/>
          <w:kern w:val="0"/>
          <w:sz w:val="24"/>
        </w:rPr>
      </w:pPr>
      <w:r>
        <w:rPr>
          <w:rFonts w:hint="eastAsia" w:ascii="宋体" w:hAnsi="宋体" w:eastAsia="宋体" w:cs="宋体"/>
          <w:kern w:val="0"/>
          <w:sz w:val="24"/>
        </w:rPr>
        <w:t>对接移动核心网控制插件，实现设备运维类200个API的设计和配置并进行联调。</w:t>
      </w:r>
    </w:p>
    <w:p w14:paraId="79D94F1C">
      <w:pPr>
        <w:keepNext/>
        <w:keepLines/>
        <w:widowControl w:val="0"/>
        <w:numPr>
          <w:ilvl w:val="3"/>
          <w:numId w:val="31"/>
        </w:numPr>
        <w:spacing w:before="240" w:after="180" w:line="360" w:lineRule="auto"/>
        <w:ind w:left="1179" w:leftChars="151" w:hanging="862" w:firstLineChars="0"/>
        <w:jc w:val="both"/>
        <w:outlineLvl w:val="3"/>
        <w:rPr>
          <w:rFonts w:hint="eastAsia" w:ascii="宋体" w:hAnsi="宋体" w:eastAsia="宋体" w:cs="宋体"/>
          <w:b/>
          <w:bCs/>
          <w:sz w:val="24"/>
          <w:szCs w:val="24"/>
          <w:lang w:val="en-US" w:eastAsia="zh-CN" w:bidi="ar-SA"/>
        </w:rPr>
      </w:pPr>
      <w:bookmarkStart w:id="787" w:name="_Toc8315"/>
      <w:r>
        <w:rPr>
          <w:rFonts w:hint="eastAsia" w:ascii="宋体" w:hAnsi="宋体" w:eastAsia="宋体" w:cs="宋体"/>
          <w:b/>
          <w:bCs/>
          <w:sz w:val="24"/>
          <w:szCs w:val="24"/>
          <w:lang w:val="en-US" w:eastAsia="zh-CN" w:bidi="ar-SA"/>
        </w:rPr>
        <w:t>采控性能及安全能力提升</w:t>
      </w:r>
      <w:bookmarkEnd w:id="787"/>
    </w:p>
    <w:p w14:paraId="671B543E">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优化网元全生命周期管理，提升采控设备纳管效率</w:t>
      </w:r>
    </w:p>
    <w:p w14:paraId="59C0EB53">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PON设备周期管理</w:t>
      </w:r>
    </w:p>
    <w:p w14:paraId="47B15B58">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rPr>
        <w:t>PON</w:t>
      </w:r>
      <w:r>
        <w:rPr>
          <w:rFonts w:hint="eastAsia" w:ascii="宋体" w:hAnsi="宋体" w:eastAsia="宋体" w:cs="宋体"/>
          <w:kern w:val="0"/>
          <w:sz w:val="24"/>
          <w:highlight w:val="none"/>
        </w:rPr>
        <w:t>专业通过单独模块与EMS交互完成OLT的设备实时纳管，更新周期时间为7天。</w:t>
      </w:r>
    </w:p>
    <w:p w14:paraId="17B884F0">
      <w:pPr>
        <w:keepNext w:val="0"/>
        <w:keepLines w:val="0"/>
        <w:pageBreakBefore w:val="0"/>
        <w:widowControl w:val="0"/>
        <w:numPr>
          <w:ilvl w:val="5"/>
          <w:numId w:val="31"/>
        </w:numPr>
        <w:kinsoku/>
        <w:wordWrap/>
        <w:overflowPunct/>
        <w:topLinePunct w:val="0"/>
        <w:autoSpaceDE/>
        <w:autoSpaceDN/>
        <w:bidi w:val="0"/>
        <w:adjustRightInd/>
        <w:snapToGrid/>
        <w:spacing w:before="156" w:line="360" w:lineRule="auto"/>
        <w:ind w:left="602" w:hanging="602" w:hangingChars="250"/>
        <w:jc w:val="both"/>
        <w:textAlignment w:val="auto"/>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IPRAN设备周期管理</w:t>
      </w:r>
    </w:p>
    <w:p w14:paraId="6188517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kern w:val="0"/>
          <w:sz w:val="24"/>
          <w:highlight w:val="none"/>
        </w:rPr>
      </w:pPr>
      <w:r>
        <w:rPr>
          <w:rFonts w:hint="eastAsia" w:ascii="宋体" w:hAnsi="宋体" w:eastAsia="宋体" w:cs="宋体"/>
          <w:kern w:val="0"/>
          <w:sz w:val="24"/>
          <w:highlight w:val="none"/>
        </w:rPr>
        <w:t>IPRAN专业通过接口方式提供给能力调度中心完成A、B、U、ASBR等设备的实时纳管。</w:t>
      </w:r>
    </w:p>
    <w:p w14:paraId="48999233">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IP城域网设备周期管理</w:t>
      </w:r>
    </w:p>
    <w:p w14:paraId="31B64C69">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IP专业通过单独模块更新设备纳管（IP专业提供设备清单，更新网元管理和控制接口）。</w:t>
      </w:r>
    </w:p>
    <w:p w14:paraId="01B33C95">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新型城域网设备周期管理</w:t>
      </w:r>
    </w:p>
    <w:p w14:paraId="21D32CB7">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新城专业通过接口方式提供给能力调度中心完成设备的实时纳管。</w:t>
      </w:r>
    </w:p>
    <w:p w14:paraId="60138834">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网元实时同步</w:t>
      </w:r>
    </w:p>
    <w:p w14:paraId="4FE5FF2B">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采控框架开发新设备入网通知、退网通知、入网采集配置通知接口，实现网元全生命周期管理，提升网元设备纳管的及时性、准确性。</w:t>
      </w:r>
    </w:p>
    <w:p w14:paraId="570AFA2C">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提升系统运行监控能力，增强系统健壮性</w:t>
      </w:r>
    </w:p>
    <w:p w14:paraId="0562DFDE">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提升与外围系统交互告警能力，及时发现异常</w:t>
      </w:r>
    </w:p>
    <w:p w14:paraId="3DDEC67B">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采控平台要与上游的编排、网管进行网络通讯，还需要与下游的各系统和网元通讯，在通讯中难免出现网络连接超时、网络响应超时、对端服务不可用等异常情况，因此需要一套规范的异常检测及恢复机制。</w:t>
      </w:r>
    </w:p>
    <w:p w14:paraId="36FCC107">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实现系统内部业务调用链监控，提升系统运行稳定性</w:t>
      </w:r>
    </w:p>
    <w:p w14:paraId="11743DE1">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对系统中各个模块服务的运行状况和性能进行链路监控。通过对监控数据的分析，提高系统的性能、稳定性、可靠性或用户体验。</w:t>
      </w:r>
    </w:p>
    <w:p w14:paraId="7B0F0E1E">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实现网元/平台异常自愈，提升故障自动恢复能力</w:t>
      </w:r>
    </w:p>
    <w:p w14:paraId="763DD569">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实时监控网元连接超时以及连接异常的工单，对其进行拦截，进行周期性网络连接性测试，待网络恢复后，自动恢复业务流程。</w:t>
      </w:r>
    </w:p>
    <w:p w14:paraId="45617F0B">
      <w:pPr>
        <w:keepNext/>
        <w:keepLines/>
        <w:widowControl w:val="0"/>
        <w:numPr>
          <w:ilvl w:val="5"/>
          <w:numId w:val="31"/>
        </w:numPr>
        <w:spacing w:before="156"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实现PAAS组件异常自愈，提升故障恢复能力</w:t>
      </w:r>
    </w:p>
    <w:p w14:paraId="5AA6597B">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实时感知采控平台各个模块与组件的异常情况，对平台组件出现连接超时以及连接异常的工单进行拦截，进行一定周期内重试，避免因为网络波动导致的工单故障，重试一定次数后，故障还未恢复，则发送告警进行人工干预，提高系统的劣势感知能力及故障处理的及时率。</w:t>
      </w:r>
    </w:p>
    <w:p w14:paraId="6C46DAC9">
      <w:pPr>
        <w:keepNext w:val="0"/>
        <w:keepLines w:val="0"/>
        <w:pageBreakBefore w:val="0"/>
        <w:widowControl w:val="0"/>
        <w:numPr>
          <w:ilvl w:val="5"/>
          <w:numId w:val="31"/>
        </w:numPr>
        <w:kinsoku/>
        <w:wordWrap/>
        <w:overflowPunct/>
        <w:topLinePunct w:val="0"/>
        <w:autoSpaceDE/>
        <w:autoSpaceDN/>
        <w:bidi w:val="0"/>
        <w:adjustRightInd/>
        <w:snapToGrid/>
        <w:spacing w:before="156" w:line="360" w:lineRule="auto"/>
        <w:ind w:left="602" w:hanging="602" w:hangingChars="250"/>
        <w:jc w:val="both"/>
        <w:textAlignment w:val="auto"/>
        <w:outlineLvl w:val="5"/>
        <w:rPr>
          <w:rFonts w:hint="eastAsia" w:ascii="宋体" w:hAnsi="宋体" w:eastAsia="宋体" w:cs="宋体"/>
          <w:b/>
          <w:bCs/>
          <w:sz w:val="24"/>
          <w:szCs w:val="24"/>
          <w:lang w:val="en-US" w:eastAsia="zh-CN" w:bidi="ar-SA"/>
        </w:rPr>
      </w:pPr>
      <w:r>
        <w:rPr>
          <w:rFonts w:hint="eastAsia" w:ascii="宋体" w:hAnsi="宋体" w:eastAsia="宋体" w:cs="宋体"/>
          <w:b/>
          <w:bCs/>
          <w:sz w:val="24"/>
          <w:szCs w:val="24"/>
          <w:highlight w:val="none"/>
          <w:lang w:val="en-US" w:eastAsia="zh-CN" w:bidi="ar-SA"/>
        </w:rPr>
        <w:t>强化权限管控，保障系统的稳定运</w:t>
      </w:r>
      <w:r>
        <w:rPr>
          <w:rFonts w:hint="eastAsia" w:ascii="宋体" w:hAnsi="宋体" w:eastAsia="宋体" w:cs="宋体"/>
          <w:b/>
          <w:bCs/>
          <w:sz w:val="24"/>
          <w:szCs w:val="24"/>
          <w:lang w:val="en-US" w:eastAsia="zh-CN" w:bidi="ar-SA"/>
        </w:rPr>
        <w:t>行</w:t>
      </w:r>
    </w:p>
    <w:p w14:paraId="15A9E82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kern w:val="0"/>
          <w:sz w:val="24"/>
        </w:rPr>
      </w:pPr>
      <w:r>
        <w:rPr>
          <w:rFonts w:hint="eastAsia" w:ascii="宋体" w:hAnsi="宋体" w:eastAsia="宋体" w:cs="宋体"/>
          <w:kern w:val="0"/>
          <w:sz w:val="24"/>
        </w:rPr>
        <w:t>建立一套明确的权限临时授予机制，使用户在特定时间段内执行特定的操作或访问特定的资源，而不会永久性地更改其权限级别。当用户的职责发生变化时，能够及时调整或收回其权限。记录所有与权限相关的操作日志，包括权限的授予、撤销、访问请求等,设置报警机制，当发生未经授权的访问或异常操作时，能够及时向相关人员发出警报。定期对用户权限进行审计，确保权限分配的合理性和准确性。</w:t>
      </w:r>
    </w:p>
    <w:p w14:paraId="752786B1">
      <w:pPr>
        <w:keepNext/>
        <w:keepLines/>
        <w:widowControl w:val="0"/>
        <w:numPr>
          <w:ilvl w:val="3"/>
          <w:numId w:val="31"/>
        </w:numPr>
        <w:spacing w:before="240" w:after="180" w:line="360" w:lineRule="auto"/>
        <w:ind w:left="1179" w:leftChars="151" w:hanging="862" w:firstLineChars="0"/>
        <w:jc w:val="both"/>
        <w:outlineLvl w:val="3"/>
        <w:rPr>
          <w:rFonts w:hint="eastAsia" w:ascii="宋体" w:hAnsi="宋体" w:eastAsia="宋体" w:cs="宋体"/>
          <w:b/>
          <w:bCs/>
          <w:sz w:val="24"/>
          <w:szCs w:val="24"/>
          <w:lang w:val="en-US" w:eastAsia="zh-CN" w:bidi="ar-SA"/>
        </w:rPr>
      </w:pPr>
      <w:bookmarkStart w:id="788" w:name="_Toc14010"/>
      <w:r>
        <w:rPr>
          <w:rFonts w:hint="eastAsia" w:ascii="宋体" w:hAnsi="宋体" w:eastAsia="宋体" w:cs="宋体"/>
          <w:b/>
          <w:bCs/>
          <w:sz w:val="24"/>
          <w:szCs w:val="24"/>
          <w:lang w:val="en-US" w:eastAsia="zh-CN" w:bidi="ar-SA"/>
        </w:rPr>
        <w:t>日常需求建设内容：支撑日常需求</w:t>
      </w:r>
      <w:bookmarkEnd w:id="788"/>
    </w:p>
    <w:p w14:paraId="4F79C028">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配合集团日常指标考核及两级采控运营工作。</w:t>
      </w:r>
    </w:p>
    <w:p w14:paraId="72A1794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rPr>
      </w:pPr>
      <w:r>
        <w:rPr>
          <w:rFonts w:hint="eastAsia" w:ascii="宋体" w:hAnsi="宋体" w:eastAsia="宋体" w:cs="宋体"/>
          <w:kern w:val="0"/>
          <w:sz w:val="24"/>
        </w:rPr>
        <w:t>配合集团日常指标考核及两级采控运营工作。</w:t>
      </w:r>
    </w:p>
    <w:p w14:paraId="41B8CD80">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配合编排中心、资源能力中心、各专业能力调度系统的接口联调及日常数据维护。</w:t>
      </w:r>
    </w:p>
    <w:p w14:paraId="5D24F29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rPr>
      </w:pPr>
      <w:r>
        <w:rPr>
          <w:rFonts w:hint="eastAsia" w:ascii="宋体" w:hAnsi="宋体" w:eastAsia="宋体" w:cs="宋体"/>
          <w:kern w:val="0"/>
          <w:sz w:val="24"/>
        </w:rPr>
        <w:t>配合编排中心、资源能力中心、各专业能力调度系统的接口联调及日常数据维护。</w:t>
      </w:r>
    </w:p>
    <w:p w14:paraId="022CCB87">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配合各专业做好自智场景应用支撑。</w:t>
      </w:r>
    </w:p>
    <w:p w14:paraId="6C6B38B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rPr>
      </w:pPr>
      <w:r>
        <w:rPr>
          <w:rFonts w:hint="eastAsia" w:ascii="宋体" w:hAnsi="宋体" w:eastAsia="宋体" w:cs="宋体"/>
          <w:kern w:val="0"/>
          <w:sz w:val="24"/>
        </w:rPr>
        <w:t>运维的监控排障、例行巡检、割接维护、网络及业务质量优化等场景提供采集控制能力。</w:t>
      </w:r>
    </w:p>
    <w:p w14:paraId="55D6C240">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配合资源中心完成资源数实一致率提升。</w:t>
      </w:r>
    </w:p>
    <w:p w14:paraId="71CADBD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rPr>
      </w:pPr>
      <w:r>
        <w:rPr>
          <w:rFonts w:hint="eastAsia" w:ascii="宋体" w:hAnsi="宋体" w:eastAsia="宋体" w:cs="宋体"/>
          <w:kern w:val="0"/>
          <w:sz w:val="24"/>
        </w:rPr>
        <w:t>IP/IPRAN/PON三大专业采控采集、模转，配合资源进行数据稽核比对调整。</w:t>
      </w:r>
    </w:p>
    <w:p w14:paraId="5FB4D4DB">
      <w:pPr>
        <w:keepNext/>
        <w:keepLines/>
        <w:widowControl w:val="0"/>
        <w:numPr>
          <w:ilvl w:val="4"/>
          <w:numId w:val="31"/>
        </w:numPr>
        <w:spacing w:before="0" w:beforeLines="0" w:line="360" w:lineRule="auto"/>
        <w:ind w:left="0" w:firstLine="0" w:firstLineChars="0"/>
        <w:jc w:val="both"/>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配合IP/IPRAN/PON专业网管解耦。</w:t>
      </w:r>
    </w:p>
    <w:p w14:paraId="78343DC0">
      <w:pPr>
        <w:keepNext w:val="0"/>
        <w:keepLines w:val="0"/>
        <w:pageBreakBefore w:val="0"/>
        <w:widowControl w:val="0"/>
        <w:kinsoku/>
        <w:wordWrap/>
        <w:overflowPunct/>
        <w:topLinePunct w:val="0"/>
        <w:autoSpaceDE/>
        <w:autoSpaceDN/>
        <w:bidi w:val="0"/>
        <w:adjustRightInd/>
        <w:snapToGrid/>
        <w:spacing w:line="360" w:lineRule="auto"/>
        <w:ind w:left="0" w:firstLine="420" w:firstLineChars="0"/>
        <w:textAlignment w:val="auto"/>
        <w:rPr>
          <w:rFonts w:hint="eastAsia" w:ascii="宋体" w:hAnsi="宋体" w:eastAsia="宋体" w:cs="宋体"/>
          <w:kern w:val="0"/>
          <w:sz w:val="24"/>
        </w:rPr>
      </w:pPr>
      <w:r>
        <w:rPr>
          <w:rFonts w:hint="eastAsia" w:ascii="宋体" w:hAnsi="宋体" w:eastAsia="宋体" w:cs="宋体"/>
          <w:kern w:val="0"/>
          <w:sz w:val="24"/>
        </w:rPr>
        <w:t>三季度前完成IPRAN/IP城域/PON网管解耦应用，云网运营新应用100%基于云网操作系统底座能力构建。</w:t>
      </w:r>
    </w:p>
    <w:p w14:paraId="688D8973">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hint="eastAsia" w:ascii="宋体" w:hAnsi="宋体" w:eastAsia="宋体" w:cs="宋体"/>
          <w:b/>
          <w:bCs/>
          <w:sz w:val="28"/>
          <w:szCs w:val="28"/>
          <w:highlight w:val="none"/>
          <w:lang w:val="en-US" w:eastAsia="zh-CN" w:bidi="ar-SA"/>
        </w:rPr>
      </w:pPr>
      <w:bookmarkStart w:id="789" w:name="_Toc29271"/>
      <w:bookmarkStart w:id="790" w:name="_Toc11819"/>
      <w:bookmarkStart w:id="791" w:name="_Toc3985"/>
      <w:bookmarkStart w:id="792" w:name="_Toc17007"/>
      <w:bookmarkStart w:id="793" w:name="_Toc16474"/>
      <w:r>
        <w:rPr>
          <w:rFonts w:hint="eastAsia" w:ascii="宋体" w:hAnsi="宋体" w:eastAsia="宋体" w:cs="宋体"/>
          <w:b/>
          <w:bCs/>
          <w:sz w:val="28"/>
          <w:szCs w:val="28"/>
          <w:highlight w:val="none"/>
          <w:lang w:val="en-US" w:eastAsia="zh-CN" w:bidi="ar-SA"/>
        </w:rPr>
        <w:t>往期技术要求</w:t>
      </w:r>
      <w:bookmarkEnd w:id="789"/>
      <w:bookmarkEnd w:id="790"/>
      <w:bookmarkEnd w:id="791"/>
      <w:bookmarkEnd w:id="792"/>
      <w:bookmarkEnd w:id="793"/>
    </w:p>
    <w:p w14:paraId="2A9FB27D">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bCs/>
          <w:kern w:val="0"/>
          <w:sz w:val="24"/>
          <w:highlight w:val="none"/>
        </w:rPr>
        <w:t>湖北电信采控中心按照新一代云网实时控制和采集的唯一通道，是各网管的统一采集控制底座。提供统一的标准框架和部署环境，各专业网管按照框架开发插件嵌入到模块内，不再分专业建设，通过通用的软件框架和工具能力，支撑各专业完成数据采集和控制，数据采集统一实时存入云网基础数据共享平台，网络控制能力按照openAPI标准提供，按需通过DCOOS开放。</w:t>
      </w:r>
      <w:r>
        <w:rPr>
          <w:rFonts w:hint="eastAsia" w:ascii="Times New Roman" w:hAnsi="Times New Roman" w:eastAsia="宋体" w:cs="Times New Roman"/>
          <w:b/>
          <w:kern w:val="0"/>
          <w:sz w:val="24"/>
          <w:highlight w:val="none"/>
        </w:rPr>
        <w:t>本期项目需要免费按本期进度要求继承往期功能需求</w:t>
      </w:r>
      <w:r>
        <w:rPr>
          <w:rFonts w:hint="eastAsia" w:ascii="Times New Roman" w:hAnsi="Times New Roman" w:eastAsia="宋体" w:cs="Times New Roman"/>
          <w:kern w:val="0"/>
          <w:sz w:val="24"/>
          <w:highlight w:val="none"/>
        </w:rPr>
        <w:t>。</w:t>
      </w:r>
    </w:p>
    <w:p w14:paraId="7B6D30DA">
      <w:pPr>
        <w:keepNext/>
        <w:keepLines/>
        <w:widowControl w:val="0"/>
        <w:numPr>
          <w:ilvl w:val="3"/>
          <w:numId w:val="31"/>
        </w:numPr>
        <w:spacing w:before="240" w:after="180" w:line="360" w:lineRule="auto"/>
        <w:ind w:left="1179" w:leftChars="151" w:hanging="862" w:firstLineChars="0"/>
        <w:jc w:val="both"/>
        <w:outlineLvl w:val="3"/>
        <w:rPr>
          <w:rFonts w:hint="eastAsia" w:ascii="宋体" w:hAnsi="宋体" w:eastAsia="宋体" w:cs="宋体"/>
          <w:b/>
          <w:bCs/>
          <w:sz w:val="24"/>
          <w:szCs w:val="24"/>
          <w:highlight w:val="none"/>
          <w:lang w:val="en-US" w:eastAsia="zh-CN" w:bidi="ar-SA"/>
        </w:rPr>
      </w:pPr>
      <w:bookmarkStart w:id="794" w:name="_Toc17149"/>
      <w:bookmarkStart w:id="795" w:name="_Toc3067"/>
      <w:bookmarkStart w:id="796" w:name="_Toc17525"/>
      <w:bookmarkStart w:id="797" w:name="_Toc27617"/>
      <w:bookmarkStart w:id="798" w:name="_Toc3955"/>
      <w:r>
        <w:rPr>
          <w:rFonts w:hint="eastAsia" w:ascii="Times New Roman" w:hAnsi="Times New Roman" w:eastAsia="宋体" w:cs="Times New Roman"/>
          <w:b/>
          <w:bCs/>
          <w:sz w:val="24"/>
          <w:szCs w:val="28"/>
          <w:highlight w:val="none"/>
          <w:lang w:val="en-US" w:eastAsia="zh-CN" w:bidi="ar-SA"/>
        </w:rPr>
        <w:t>网络</w:t>
      </w:r>
      <w:r>
        <w:rPr>
          <w:rFonts w:ascii="Times New Roman" w:hAnsi="Times New Roman" w:eastAsia="宋体" w:cs="Times New Roman"/>
          <w:b/>
          <w:bCs/>
          <w:sz w:val="24"/>
          <w:szCs w:val="28"/>
          <w:highlight w:val="none"/>
          <w:lang w:val="en-US" w:eastAsia="zh-CN" w:bidi="ar-SA"/>
        </w:rPr>
        <w:t>采集</w:t>
      </w:r>
      <w:r>
        <w:rPr>
          <w:rFonts w:hint="eastAsia" w:ascii="Times New Roman" w:hAnsi="Times New Roman" w:eastAsia="宋体" w:cs="Times New Roman"/>
          <w:b/>
          <w:bCs/>
          <w:sz w:val="24"/>
          <w:szCs w:val="28"/>
          <w:highlight w:val="none"/>
          <w:lang w:val="en-US" w:eastAsia="zh-CN" w:bidi="ar-SA"/>
        </w:rPr>
        <w:t>框架</w:t>
      </w:r>
      <w:r>
        <w:rPr>
          <w:rFonts w:hint="eastAsia" w:ascii="宋体" w:hAnsi="宋体" w:eastAsia="宋体" w:cs="宋体"/>
          <w:b/>
          <w:bCs/>
          <w:sz w:val="24"/>
          <w:szCs w:val="24"/>
          <w:highlight w:val="none"/>
          <w:lang w:val="en-US" w:eastAsia="zh-CN" w:bidi="ar-SA"/>
        </w:rPr>
        <w:t>功能</w:t>
      </w:r>
      <w:bookmarkEnd w:id="794"/>
      <w:bookmarkEnd w:id="795"/>
      <w:bookmarkEnd w:id="796"/>
      <w:bookmarkEnd w:id="797"/>
      <w:bookmarkEnd w:id="798"/>
    </w:p>
    <w:p w14:paraId="431233E8">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采集配置</w:t>
      </w:r>
    </w:p>
    <w:p w14:paraId="03AD0092">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采集配置功能实现采集源、采集服务、采集指令、采集模板、采集策略等数据信息的录入、更新、查询等操作管理功能。</w:t>
      </w:r>
    </w:p>
    <w:p w14:paraId="300E29E5">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采集源配置</w:t>
      </w:r>
    </w:p>
    <w:p w14:paraId="25483BA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采集源基本信息管理：系统具备管理网元或EMS/OMC的基本信息，包括设备（或EMS/OMC）名称、专业、网元类型、管理域、设备厂家、型号、版本、IP地址、端口号等。</w:t>
      </w:r>
    </w:p>
    <w:p w14:paraId="024B137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采集源状态管理：系统能够管理每个采集源的状态，可以通过采集服务上报采集源的状态，包括可用、不可用等状态，也可以手工设置采集源状态，如启用、禁用等。</w:t>
      </w:r>
    </w:p>
    <w:p w14:paraId="5CCA16E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协议配置模板管理：系统能够实现对采集协议配置信息的模板管理，包括模板名称、协议类型、协议版本、协议描述以及协议所需要配置的参数等，每个模板需要配置的参数包含参数名称、参数编码、参数类型、是否必填等，针对不同的协议可以定制该协议应有的参数。</w:t>
      </w:r>
    </w:p>
    <w:p w14:paraId="7475F26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采集数据类型包含告警数据、资源数据、性能数据、路由数据、流量流向数据等。</w:t>
      </w:r>
    </w:p>
    <w:p w14:paraId="2E5A9914">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采集指令配置</w:t>
      </w:r>
    </w:p>
    <w:p w14:paraId="6B3D9EBA">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实指令配置</w:t>
      </w:r>
    </w:p>
    <w:p w14:paraId="524F9ACC">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实指令配置</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进行网元的原子采集指标的采集指令配置，可以按专业、设备类型、厂商、设备型号、设备版本、采集协议等信息划分来完成实指令的配置。</w:t>
      </w:r>
    </w:p>
    <w:p w14:paraId="121D499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sz w:val="24"/>
          <w:szCs w:val="21"/>
          <w:highlight w:val="none"/>
          <w:lang w:val="en-US" w:eastAsia="zh-CN" w:bidi="ar"/>
        </w:rPr>
        <w:t>实指令配置包括实指令名称、编码、通信协议、指令操作类型、指令模板、适应范围、解析脚本等。</w:t>
      </w:r>
    </w:p>
    <w:p w14:paraId="729673F8">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虚指令配置</w:t>
      </w:r>
    </w:p>
    <w:p w14:paraId="20AF446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虚指令配置</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按网元类型对不同厂家实指令进行抽象，形成可屏蔽不同厂家差异的虚指令，可以对应到此类网元的一个指标采集。</w:t>
      </w:r>
    </w:p>
    <w:p w14:paraId="038A398C">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采集指标管理</w:t>
      </w:r>
    </w:p>
    <w:p w14:paraId="644400B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采集指标管理完成采集指标的配置，主要包括指标的新增、修改、删除功能。</w:t>
      </w:r>
    </w:p>
    <w:p w14:paraId="6622B31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能够建立每个采集指标与虚指令的对应关系。</w:t>
      </w:r>
    </w:p>
    <w:p w14:paraId="217617FE">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采集模板管理</w:t>
      </w:r>
    </w:p>
    <w:p w14:paraId="1F48BDD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支持</w:t>
      </w:r>
      <w:r>
        <w:rPr>
          <w:rFonts w:hint="eastAsia" w:ascii="Times New Roman" w:hAnsi="Times New Roman" w:eastAsia="宋体" w:cs="Times New Roman"/>
          <w:sz w:val="24"/>
          <w:szCs w:val="24"/>
          <w:highlight w:val="none"/>
          <w:lang w:val="en-US" w:eastAsia="zh-CN" w:bidi="ar-SA"/>
        </w:rPr>
        <w:t>采集</w:t>
      </w:r>
      <w:r>
        <w:rPr>
          <w:rFonts w:ascii="Times New Roman" w:hAnsi="Times New Roman" w:eastAsia="宋体" w:cs="Times New Roman"/>
          <w:sz w:val="24"/>
          <w:szCs w:val="24"/>
          <w:highlight w:val="none"/>
          <w:lang w:val="en-US" w:eastAsia="zh-CN" w:bidi="ar-SA"/>
        </w:rPr>
        <w:t>模板的录入、修改、删除和查询以及导入功能。</w:t>
      </w:r>
    </w:p>
    <w:p w14:paraId="344C2FF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采集模板的信息包含模板名称、模板分类（资源、性能、告警）、专业、网元类型、采集指标组合等信息。每个采集指标会映射到相应的采集虚指令。</w:t>
      </w:r>
    </w:p>
    <w:p w14:paraId="742244A6">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采集模板实现同一组相同网元类型的采集指标的组合。同一个采集模板可以应用于多个采集策略。</w:t>
      </w:r>
    </w:p>
    <w:p w14:paraId="3BA98B63">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采集服务管理</w:t>
      </w:r>
    </w:p>
    <w:p w14:paraId="2D148BC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采集服务配置</w:t>
      </w:r>
      <w:r>
        <w:rPr>
          <w:rFonts w:hint="eastAsia" w:ascii="Times New Roman" w:hAnsi="Times New Roman" w:eastAsia="宋体" w:cs="Times New Roman"/>
          <w:sz w:val="24"/>
          <w:szCs w:val="24"/>
          <w:highlight w:val="none"/>
          <w:lang w:val="en-US" w:eastAsia="zh-CN" w:bidi="ar-SA"/>
        </w:rPr>
        <w:t>具备</w:t>
      </w:r>
      <w:r>
        <w:rPr>
          <w:rFonts w:ascii="Times New Roman" w:hAnsi="Times New Roman" w:eastAsia="宋体" w:cs="Times New Roman"/>
          <w:sz w:val="24"/>
          <w:szCs w:val="24"/>
          <w:highlight w:val="none"/>
          <w:lang w:val="en-US" w:eastAsia="zh-CN" w:bidi="ar-SA"/>
        </w:rPr>
        <w:t>服务的录入、修改、删除。配置信息包含：采集服务名称、采集服务编码、厂家、专业、网元类型、支持的厂家、采集数据类型、服务支持的协议、注册方式（自动注册、手动注册）、注册时间等。</w:t>
      </w:r>
    </w:p>
    <w:p w14:paraId="743A7DE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w:t>
      </w:r>
      <w:r>
        <w:rPr>
          <w:rFonts w:ascii="Times New Roman" w:hAnsi="Times New Roman" w:eastAsia="宋体" w:cs="Times New Roman"/>
          <w:sz w:val="24"/>
          <w:szCs w:val="24"/>
          <w:highlight w:val="none"/>
          <w:lang w:val="en-US" w:eastAsia="zh-CN" w:bidi="ar-SA"/>
        </w:rPr>
        <w:t>支持对采集服务包的管理。采集服务包的基本信息包含：服务包名称、工作路径、厂家、区域等。支持采集服务包的上传、下载以及版本管理。支持采集服务包的启用、禁用</w:t>
      </w:r>
      <w:r>
        <w:rPr>
          <w:rFonts w:hint="eastAsia" w:ascii="Times New Roman" w:hAnsi="Times New Roman" w:eastAsia="宋体" w:cs="Times New Roman"/>
          <w:sz w:val="24"/>
          <w:szCs w:val="24"/>
          <w:highlight w:val="none"/>
          <w:lang w:val="en-US" w:eastAsia="zh-CN" w:bidi="ar-SA"/>
        </w:rPr>
        <w:t>，</w:t>
      </w:r>
      <w:r>
        <w:rPr>
          <w:rFonts w:ascii="Times New Roman" w:hAnsi="Times New Roman" w:eastAsia="宋体" w:cs="Times New Roman"/>
          <w:sz w:val="24"/>
          <w:szCs w:val="24"/>
          <w:highlight w:val="none"/>
          <w:lang w:val="en-US" w:eastAsia="zh-CN" w:bidi="ar-SA"/>
        </w:rPr>
        <w:t>启动的服务实例能够自动注册到采集框架。</w:t>
      </w:r>
    </w:p>
    <w:p w14:paraId="62BADFDA">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采集策略管理</w:t>
      </w:r>
    </w:p>
    <w:p w14:paraId="62E0D74B">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宋体" w:hAnsi="宋体" w:eastAsia="宋体" w:cs="宋体"/>
          <w:sz w:val="24"/>
          <w:szCs w:val="21"/>
          <w:highlight w:val="none"/>
          <w:lang w:val="en-US" w:eastAsia="zh-CN" w:bidi="ar"/>
        </w:rPr>
        <w:t>采集策略配置支持对采集策略进行新建、修改、删除和启动/停止等操作，采集周期可配置：秒、分钟、小时、日、周、月等。支持手动选择采集源和条件选择采集源。选择条件支持区域、厂家、网元类别、设备类型、型号等，支持预览条件关联的采集源</w:t>
      </w:r>
      <w:r>
        <w:rPr>
          <w:rFonts w:ascii="Times New Roman" w:hAnsi="Times New Roman" w:eastAsia="宋体" w:cs="Times New Roman"/>
          <w:sz w:val="24"/>
          <w:szCs w:val="24"/>
          <w:highlight w:val="none"/>
          <w:lang w:val="en-US" w:eastAsia="zh-CN" w:bidi="ar-SA"/>
        </w:rPr>
        <w:t>。</w:t>
      </w:r>
    </w:p>
    <w:p w14:paraId="1A60E8C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采集调度</w:t>
      </w:r>
    </w:p>
    <w:p w14:paraId="1BAB2A7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采集调度能够根据每个服务实例所运行设备的负荷情况、采集任务堆积情况等情况进行综合考虑，将不同的采集任务分发到对应的采集服务集群中的一个或多个节点，以实现就近采集原则及资源的负荷分担。</w:t>
      </w:r>
    </w:p>
    <w:p w14:paraId="3F88EC51">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采集过程管理</w:t>
      </w:r>
    </w:p>
    <w:p w14:paraId="05E3B0E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采集过程管理（采集监控）包括采集任务监控、采集质量监控等。</w:t>
      </w:r>
      <w:r>
        <w:rPr>
          <w:rFonts w:ascii="Times New Roman" w:hAnsi="Times New Roman" w:eastAsia="宋体" w:cs="Times New Roman"/>
          <w:sz w:val="24"/>
          <w:szCs w:val="24"/>
          <w:highlight w:val="none"/>
          <w:lang w:val="en-US" w:eastAsia="zh-CN" w:bidi="ar-SA"/>
        </w:rPr>
        <w:t xml:space="preserve"> </w:t>
      </w:r>
    </w:p>
    <w:p w14:paraId="1808A6F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采集任务</w:t>
      </w:r>
      <w:r>
        <w:rPr>
          <w:rFonts w:ascii="Arial" w:hAnsi="Arial" w:eastAsia="宋体" w:cs="Times New Roman"/>
          <w:b/>
          <w:bCs/>
          <w:sz w:val="24"/>
          <w:szCs w:val="24"/>
          <w:highlight w:val="none"/>
          <w:lang w:val="en-US" w:eastAsia="zh-CN" w:bidi="ar-SA"/>
        </w:rPr>
        <w:t>监控</w:t>
      </w:r>
    </w:p>
    <w:p w14:paraId="20935AD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对于正在运行的采集任务，采集服务需要上报任务异常状态以及关键环节点执行状态，如：数据采集完成、数据解析完成、数据归一化完成、数据分发完成等。</w:t>
      </w:r>
    </w:p>
    <w:p w14:paraId="067BF897">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采集环境</w:t>
      </w:r>
      <w:r>
        <w:rPr>
          <w:rFonts w:ascii="Arial" w:hAnsi="Arial" w:eastAsia="宋体" w:cs="Times New Roman"/>
          <w:b/>
          <w:bCs/>
          <w:sz w:val="24"/>
          <w:szCs w:val="24"/>
          <w:highlight w:val="none"/>
          <w:lang w:val="en-US" w:eastAsia="zh-CN" w:bidi="ar-SA"/>
        </w:rPr>
        <w:t>监控</w:t>
      </w:r>
    </w:p>
    <w:p w14:paraId="69FB1C7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具备对采集服务的负载（如CPU使用率、内存使用率、磁盘使用率、IOWait等）、心跳情况的监控。</w:t>
      </w:r>
    </w:p>
    <w:p w14:paraId="18948072">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采集数据质量监控</w:t>
      </w:r>
    </w:p>
    <w:p w14:paraId="18390733">
      <w:pPr>
        <w:widowControl w:val="0"/>
        <w:numPr>
          <w:ilvl w:val="0"/>
          <w:numId w:val="35"/>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数据文件监控</w:t>
      </w:r>
    </w:p>
    <w:p w14:paraId="55BA8111">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系统能够按采集任务的粒度统计所采集的数据文件数量、容量，并根据采集服务设定的规则判断数据是否有异常。</w:t>
      </w:r>
    </w:p>
    <w:p w14:paraId="7783BE80">
      <w:pPr>
        <w:widowControl w:val="0"/>
        <w:numPr>
          <w:ilvl w:val="0"/>
          <w:numId w:val="35"/>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数据质量监控</w:t>
      </w:r>
    </w:p>
    <w:p w14:paraId="7BFD9F3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性能和配置类数据，对采集的IP地址，采集到的文件数量、文件大小进行监测；形成以IP地址和数据类型为原始粒度的采集结果记录，对于采集解析记录数变化率指标能够实现可以根据相应门限值进行配置，通报采集解析记录数完整性。</w:t>
      </w:r>
    </w:p>
    <w:p w14:paraId="1FE6A5C0">
      <w:pPr>
        <w:widowControl w:val="0"/>
        <w:numPr>
          <w:ilvl w:val="0"/>
          <w:numId w:val="35"/>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告警消息监控</w:t>
      </w:r>
    </w:p>
    <w:p w14:paraId="55C9511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具备对告警连接长时间无告警报文上报、告警连接中断等情况进行监牢。对告警长时间无告警或告警量突增越限，则记录告警量异常信息。</w:t>
      </w:r>
    </w:p>
    <w:p w14:paraId="5D870D59">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采集接口</w:t>
      </w:r>
      <w:r>
        <w:rPr>
          <w:rFonts w:ascii="Arial" w:hAnsi="Arial" w:eastAsia="宋体" w:cs="Times New Roman"/>
          <w:b/>
          <w:bCs/>
          <w:sz w:val="24"/>
          <w:szCs w:val="24"/>
          <w:highlight w:val="none"/>
          <w:lang w:val="en-US" w:eastAsia="zh-CN" w:bidi="ar-SA"/>
        </w:rPr>
        <w:t>监控</w:t>
      </w:r>
    </w:p>
    <w:p w14:paraId="1B7E186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采集服务能够将采集接口的连接状态上报，由采控框架统一进行监控。</w:t>
      </w:r>
    </w:p>
    <w:p w14:paraId="19AF307A">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数据加工</w:t>
      </w:r>
    </w:p>
    <w:p w14:paraId="288C261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对于告警，送往数据共享平台的告警消息队列，对于数据文件，送到数据共享平台的文件存储系统。然后由数据处理模块根据上层应用系统的要求，对数据进行统一的数据，处理之后与原始数据分开存储。</w:t>
      </w:r>
    </w:p>
    <w:p w14:paraId="5CC1060E">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告警数据处理</w:t>
      </w:r>
    </w:p>
    <w:p w14:paraId="62487081">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框架</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对原始告警数据进行</w:t>
      </w:r>
      <w:r>
        <w:rPr>
          <w:rFonts w:hint="eastAsia" w:ascii="Times New Roman" w:hAnsi="Times New Roman" w:eastAsia="宋体" w:cs="Times New Roman"/>
          <w:sz w:val="24"/>
          <w:szCs w:val="24"/>
          <w:highlight w:val="none"/>
          <w:lang w:val="en-US" w:eastAsia="zh-CN" w:bidi="ar-SA"/>
        </w:rPr>
        <w:t>处理：</w:t>
      </w:r>
    </w:p>
    <w:p w14:paraId="06B8AE81">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配置数据处理</w:t>
      </w:r>
    </w:p>
    <w:p w14:paraId="418A5525">
      <w:pPr>
        <w:widowControl w:val="0"/>
        <w:spacing w:line="360" w:lineRule="auto"/>
        <w:ind w:left="602"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采控框架</w:t>
      </w:r>
      <w:r>
        <w:rPr>
          <w:rFonts w:hint="default"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对采集服务送到共享平台的配置数据文件进行数据处理，一般可以进行数据解析、数据比对</w:t>
      </w:r>
      <w:r>
        <w:rPr>
          <w:rFonts w:hint="default" w:ascii="Times New Roman" w:hAnsi="Times New Roman" w:eastAsia="宋体" w:cs="Times New Roman"/>
          <w:sz w:val="24"/>
          <w:szCs w:val="24"/>
          <w:highlight w:val="none"/>
          <w:lang w:val="en-US" w:eastAsia="zh-CN" w:bidi="ar-SA"/>
        </w:rPr>
        <w:t>、</w:t>
      </w:r>
      <w:r>
        <w:rPr>
          <w:rFonts w:ascii="Times New Roman" w:hAnsi="Times New Roman" w:eastAsia="宋体" w:cs="Times New Roman"/>
          <w:sz w:val="24"/>
          <w:szCs w:val="24"/>
          <w:highlight w:val="none"/>
          <w:lang w:val="en-US" w:eastAsia="zh-CN" w:bidi="ar-SA"/>
        </w:rPr>
        <w:t>数据稽核</w:t>
      </w:r>
      <w:r>
        <w:rPr>
          <w:rFonts w:hint="default" w:ascii="Times New Roman" w:hAnsi="Times New Roman" w:eastAsia="宋体" w:cs="Times New Roman"/>
          <w:sz w:val="24"/>
          <w:szCs w:val="24"/>
          <w:highlight w:val="none"/>
          <w:lang w:val="en-US" w:eastAsia="zh-CN" w:bidi="ar-SA"/>
        </w:rPr>
        <w:t>、模型转换</w:t>
      </w:r>
      <w:r>
        <w:rPr>
          <w:rFonts w:ascii="Times New Roman" w:hAnsi="Times New Roman" w:eastAsia="宋体" w:cs="Times New Roman"/>
          <w:sz w:val="24"/>
          <w:szCs w:val="24"/>
          <w:highlight w:val="none"/>
          <w:lang w:val="en-US" w:eastAsia="zh-CN" w:bidi="ar-SA"/>
        </w:rPr>
        <w:t>等处理。</w:t>
      </w:r>
    </w:p>
    <w:p w14:paraId="1B5C3C79">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性能数据处理</w:t>
      </w:r>
    </w:p>
    <w:p w14:paraId="62908CEE">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采控框架</w:t>
      </w:r>
      <w:r>
        <w:rPr>
          <w:rFonts w:hint="eastAsia" w:ascii="Times New Roman" w:hAnsi="Times New Roman" w:eastAsia="宋体" w:cs="Times New Roman"/>
          <w:sz w:val="24"/>
          <w:szCs w:val="24"/>
          <w:highlight w:val="none"/>
          <w:lang w:val="en-US" w:eastAsia="zh-CN" w:bidi="ar-SA"/>
        </w:rPr>
        <w:t>能够对</w:t>
      </w:r>
      <w:r>
        <w:rPr>
          <w:rFonts w:ascii="Times New Roman" w:hAnsi="Times New Roman" w:eastAsia="宋体" w:cs="Times New Roman"/>
          <w:sz w:val="24"/>
          <w:szCs w:val="24"/>
          <w:highlight w:val="none"/>
          <w:lang w:val="en-US" w:eastAsia="zh-CN" w:bidi="ar-SA"/>
        </w:rPr>
        <w:t>采集服务送到共享平台的原始性能数据文件进行数据解析、数据校验、数据</w:t>
      </w:r>
      <w:r>
        <w:rPr>
          <w:rFonts w:hint="eastAsia" w:ascii="Times New Roman" w:hAnsi="Times New Roman" w:eastAsia="宋体" w:cs="Times New Roman"/>
          <w:sz w:val="24"/>
          <w:szCs w:val="24"/>
          <w:highlight w:val="none"/>
          <w:lang w:val="en-US" w:eastAsia="zh-CN" w:bidi="ar-SA"/>
        </w:rPr>
        <w:t>入库</w:t>
      </w:r>
      <w:r>
        <w:rPr>
          <w:rFonts w:ascii="Times New Roman" w:hAnsi="Times New Roman" w:eastAsia="宋体" w:cs="Times New Roman"/>
          <w:sz w:val="24"/>
          <w:szCs w:val="24"/>
          <w:highlight w:val="none"/>
          <w:lang w:val="en-US" w:eastAsia="zh-CN" w:bidi="ar-SA"/>
        </w:rPr>
        <w:t>等</w:t>
      </w:r>
      <w:r>
        <w:rPr>
          <w:rFonts w:hint="eastAsia" w:ascii="Times New Roman" w:hAnsi="Times New Roman" w:eastAsia="宋体" w:cs="Times New Roman"/>
          <w:sz w:val="24"/>
          <w:szCs w:val="24"/>
          <w:highlight w:val="none"/>
          <w:lang w:val="en-US" w:eastAsia="zh-CN" w:bidi="ar-SA"/>
        </w:rPr>
        <w:t>处理。</w:t>
      </w:r>
    </w:p>
    <w:p w14:paraId="0B3DFA83">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bookmarkStart w:id="799" w:name="_Toc27382"/>
      <w:r>
        <w:rPr>
          <w:rFonts w:hint="eastAsia" w:ascii="Times New Roman" w:hAnsi="Times New Roman" w:eastAsia="宋体" w:cs="Times New Roman"/>
          <w:b/>
          <w:bCs/>
          <w:sz w:val="24"/>
          <w:szCs w:val="28"/>
          <w:highlight w:val="none"/>
          <w:lang w:val="en-US" w:eastAsia="zh-CN" w:bidi="ar-SA"/>
        </w:rPr>
        <w:t>模型转换</w:t>
      </w:r>
      <w:bookmarkEnd w:id="799"/>
    </w:p>
    <w:p w14:paraId="17AAEA98">
      <w:pPr>
        <w:keepNext w:val="0"/>
        <w:keepLines w:val="0"/>
        <w:pageBreakBefore w:val="0"/>
        <w:widowControl w:val="0"/>
        <w:numPr>
          <w:ilvl w:val="0"/>
          <w:numId w:val="36"/>
        </w:numPr>
        <w:tabs>
          <w:tab w:val="left" w:pos="312"/>
          <w:tab w:val="clear" w:pos="732"/>
        </w:tabs>
        <w:kinsoku/>
        <w:wordWrap/>
        <w:overflowPunct/>
        <w:topLinePunct w:val="0"/>
        <w:autoSpaceDE/>
        <w:autoSpaceDN/>
        <w:bidi w:val="0"/>
        <w:adjustRightInd/>
        <w:snapToGrid/>
        <w:spacing w:line="360" w:lineRule="auto"/>
        <w:ind w:left="0" w:firstLine="480" w:firstLineChars="200"/>
        <w:textAlignment w:val="auto"/>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PON专业标准模型转换</w:t>
      </w:r>
    </w:p>
    <w:p w14:paraId="44E2C821">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将采集到的PON专业的配置数据（ONU、OLT等配置数据）模转成标准模型对象；</w:t>
      </w:r>
    </w:p>
    <w:p w14:paraId="697955D0">
      <w:pPr>
        <w:keepNext w:val="0"/>
        <w:keepLines w:val="0"/>
        <w:pageBreakBefore w:val="0"/>
        <w:widowControl w:val="0"/>
        <w:numPr>
          <w:ilvl w:val="0"/>
          <w:numId w:val="36"/>
        </w:numPr>
        <w:tabs>
          <w:tab w:val="left" w:pos="312"/>
          <w:tab w:val="clear" w:pos="732"/>
        </w:tabs>
        <w:kinsoku/>
        <w:wordWrap/>
        <w:overflowPunct/>
        <w:topLinePunct w:val="0"/>
        <w:autoSpaceDE/>
        <w:autoSpaceDN/>
        <w:bidi w:val="0"/>
        <w:adjustRightInd/>
        <w:snapToGrid/>
        <w:spacing w:line="360" w:lineRule="auto"/>
        <w:ind w:left="0" w:firstLine="480" w:firstLineChars="200"/>
        <w:textAlignment w:val="auto"/>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IPRAN专业标准模型转换</w:t>
      </w:r>
    </w:p>
    <w:p w14:paraId="6A5466A6">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将采集到的IPRAN专业的配置数据（A、B、U、ER等配置数据）模转成标准模型对象；</w:t>
      </w:r>
    </w:p>
    <w:p w14:paraId="04E6D83F">
      <w:pPr>
        <w:keepNext w:val="0"/>
        <w:keepLines w:val="0"/>
        <w:pageBreakBefore w:val="0"/>
        <w:widowControl w:val="0"/>
        <w:numPr>
          <w:ilvl w:val="0"/>
          <w:numId w:val="36"/>
        </w:numPr>
        <w:tabs>
          <w:tab w:val="left" w:pos="312"/>
          <w:tab w:val="clear" w:pos="732"/>
        </w:tabs>
        <w:kinsoku/>
        <w:wordWrap/>
        <w:overflowPunct/>
        <w:topLinePunct w:val="0"/>
        <w:autoSpaceDE/>
        <w:autoSpaceDN/>
        <w:bidi w:val="0"/>
        <w:adjustRightInd/>
        <w:snapToGrid/>
        <w:spacing w:line="360" w:lineRule="auto"/>
        <w:ind w:left="0" w:firstLine="480" w:firstLineChars="200"/>
        <w:textAlignment w:val="auto"/>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IP专业标准模型转换</w:t>
      </w:r>
    </w:p>
    <w:p w14:paraId="6F59AE93">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将采集到的IP专业的配置数据（交换机、路由器等配置数据）模转成标准模型对象；</w:t>
      </w:r>
    </w:p>
    <w:p w14:paraId="4A4A0F65">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数据分发</w:t>
      </w:r>
    </w:p>
    <w:p w14:paraId="0B697A8B">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入库服务</w:t>
      </w:r>
    </w:p>
    <w:p w14:paraId="4AE17A41">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采集框架处理完数据后，对数据</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进行入库。</w:t>
      </w:r>
    </w:p>
    <w:p w14:paraId="0A2F5CB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对于告警数据，经过标准化处理后，</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根据上层各系统的不同要求，将不同的处理结果数据送到相应的消息队列。</w:t>
      </w:r>
    </w:p>
    <w:p w14:paraId="1C68E40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对于性能数据文件，处理后的数据进行入库或以文件方式存储，方便上层各应用系统进行性能监控或性能数据分析。</w:t>
      </w:r>
    </w:p>
    <w:p w14:paraId="65E76D17">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对于配置数据，处理后</w:t>
      </w: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存储到相应的数据库表，供其它系统使用。</w:t>
      </w:r>
    </w:p>
    <w:p w14:paraId="5873E52A">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消息通知</w:t>
      </w:r>
    </w:p>
    <w:p w14:paraId="0FF87A1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采集框架的数据处理框架完成数据处理后，放到相应的数据存储目录后，能够发送数据已经准备好的消息给订阅方去获取数据或使用数据。</w:t>
      </w:r>
    </w:p>
    <w:p w14:paraId="1E87C3BE">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800" w:name="_Toc5411"/>
      <w:bookmarkStart w:id="801" w:name="_Toc32001"/>
      <w:bookmarkStart w:id="802" w:name="_Toc13373"/>
      <w:bookmarkStart w:id="803" w:name="_Toc50306944"/>
      <w:bookmarkStart w:id="804" w:name="_Toc11060"/>
      <w:bookmarkStart w:id="805" w:name="_Toc22592"/>
      <w:r>
        <w:rPr>
          <w:rFonts w:hint="eastAsia" w:ascii="Times New Roman" w:hAnsi="Times New Roman" w:eastAsia="宋体" w:cs="Times New Roman"/>
          <w:b/>
          <w:bCs/>
          <w:sz w:val="24"/>
          <w:szCs w:val="28"/>
          <w:highlight w:val="none"/>
          <w:lang w:val="en-US" w:eastAsia="zh-CN" w:bidi="ar-SA"/>
        </w:rPr>
        <w:t>采集服务</w:t>
      </w:r>
      <w:bookmarkEnd w:id="800"/>
      <w:bookmarkEnd w:id="801"/>
      <w:bookmarkEnd w:id="802"/>
      <w:bookmarkEnd w:id="803"/>
      <w:bookmarkEnd w:id="804"/>
      <w:bookmarkEnd w:id="805"/>
    </w:p>
    <w:p w14:paraId="1C623104">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采集任务接收</w:t>
      </w:r>
    </w:p>
    <w:p w14:paraId="49C879F7">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当收到采集任务后，采集服务能从缓存在本地的采集源和采集模板中解析到具体要采集的对象、采集协议、采集内容等信息后，进行网元协议适配连接。对于接收到采集指令包的任务后，能够对指令包进行解析。</w:t>
      </w:r>
    </w:p>
    <w:p w14:paraId="11F93060">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信息接收</w:t>
      </w:r>
    </w:p>
    <w:p w14:paraId="5C14D45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接收采控框架下发的配置信息。配置信息包括：采集源、采集模板、数据范围（以时间做限定）以及任务基本信息（如：任务标识、任务类型、版本号等）。</w:t>
      </w:r>
    </w:p>
    <w:p w14:paraId="636856FF">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请求接收</w:t>
      </w:r>
    </w:p>
    <w:p w14:paraId="3DC5C716">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采集服务通过任务派发API接收采集框架下发的采集任务，对采集任务参数进行校验，并根据任务中的参数，加载异步下发的采集源、采集模板、采集指标以及采集指令等数据。</w:t>
      </w:r>
    </w:p>
    <w:p w14:paraId="2C3AF63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1</w:t>
      </w:r>
      <w:r>
        <w:rPr>
          <w:rFonts w:ascii="Times New Roman" w:hAnsi="Times New Roman" w:eastAsia="宋体" w:cs="Times New Roman"/>
          <w:sz w:val="24"/>
          <w:szCs w:val="24"/>
          <w:highlight w:val="none"/>
          <w:lang w:val="en-US" w:eastAsia="zh-CN" w:bidi="ar-SA"/>
        </w:rPr>
        <w:t xml:space="preserve">. </w:t>
      </w:r>
      <w:r>
        <w:rPr>
          <w:rFonts w:hint="eastAsia" w:ascii="Times New Roman" w:hAnsi="Times New Roman" w:eastAsia="宋体" w:cs="Times New Roman"/>
          <w:sz w:val="24"/>
          <w:szCs w:val="24"/>
          <w:highlight w:val="none"/>
          <w:lang w:val="en-US" w:eastAsia="zh-CN" w:bidi="ar-SA"/>
        </w:rPr>
        <w:t>请求接收：采集服务接收采集任务请求，校验采集任务请求中的参数，识别漏传参数以及不合法参数；</w:t>
      </w:r>
    </w:p>
    <w:p w14:paraId="54F02AD5">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 xml:space="preserve">2. </w:t>
      </w:r>
      <w:r>
        <w:rPr>
          <w:rFonts w:hint="eastAsia" w:ascii="Times New Roman" w:hAnsi="Times New Roman" w:eastAsia="宋体" w:cs="Times New Roman"/>
          <w:sz w:val="24"/>
          <w:szCs w:val="24"/>
          <w:highlight w:val="none"/>
          <w:lang w:val="en-US" w:eastAsia="zh-CN" w:bidi="ar-SA"/>
        </w:rPr>
        <w:t>参数转换：采集服务对任务执行的参数进行转换，密码类型的参数进行解密。</w:t>
      </w:r>
    </w:p>
    <w:p w14:paraId="5F7E1922">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协议适配</w:t>
      </w:r>
    </w:p>
    <w:p w14:paraId="78B9F81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根据采集源中相关信息，能够实现与采集源（网元或网管）的接口协议适配和连接。</w:t>
      </w:r>
    </w:p>
    <w:p w14:paraId="486C74BF">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在连接时出现异常时，采集服务需要按照规则进行重试。重试次数支持自定义。</w:t>
      </w:r>
    </w:p>
    <w:p w14:paraId="356A03D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权限校验</w:t>
      </w:r>
    </w:p>
    <w:p w14:paraId="7F64789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权限校验是对消费者身份的验证，以确认请求发起方的合法性。采集服务需要校验的是采集请求是否由采控框架发起请求。</w:t>
      </w:r>
    </w:p>
    <w:p w14:paraId="133B14B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协议控制</w:t>
      </w:r>
    </w:p>
    <w:p w14:paraId="270F4BA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当网元或连接出现异常时，采集服务能够按照规则进行重试。重试次数支持自定义。</w:t>
      </w:r>
    </w:p>
    <w:p w14:paraId="357C3816">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数据检测</w:t>
      </w:r>
    </w:p>
    <w:p w14:paraId="22B4E46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在连接上采集源后，采集服务能够及时检测采集源上原始数据准备情况，数据准备好后立即进行采集；在设定的等待时间内数据始终未达到数据完整的标准，需先将部分准备好的数据进行采集，同时发送数据采集异常的消息上报。</w:t>
      </w:r>
    </w:p>
    <w:p w14:paraId="2CAC7AED">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数据处理</w:t>
      </w:r>
    </w:p>
    <w:p w14:paraId="148699C2">
      <w:pPr>
        <w:widowControl w:val="0"/>
        <w:spacing w:line="360" w:lineRule="auto"/>
        <w:ind w:left="480" w:firstLine="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采集服务能够对采集的数据进行简单的解析完成数据的归一化处理。</w:t>
      </w:r>
    </w:p>
    <w:p w14:paraId="37697D8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异常管理</w:t>
      </w:r>
    </w:p>
    <w:p w14:paraId="18B9095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采集服务对采集任务的执行进行监控，捕获任务执行过程中的异常，并提供对异常的处理能力。</w:t>
      </w:r>
    </w:p>
    <w:p w14:paraId="2BC1A5E7">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数据推送</w:t>
      </w:r>
    </w:p>
    <w:p w14:paraId="2B932DB9">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采集服务能够完</w:t>
      </w:r>
      <w:r>
        <w:rPr>
          <w:rFonts w:ascii="Times New Roman" w:hAnsi="Times New Roman" w:eastAsia="宋体" w:cs="Times New Roman"/>
          <w:sz w:val="24"/>
          <w:szCs w:val="24"/>
          <w:highlight w:val="none"/>
          <w:lang w:val="en-US" w:eastAsia="zh-CN" w:bidi="ar-SA"/>
        </w:rPr>
        <w:t>成将采集到的数据推动到云网基础数据共享平台的</w:t>
      </w:r>
      <w:r>
        <w:rPr>
          <w:rFonts w:hint="eastAsia" w:ascii="Times New Roman" w:hAnsi="Times New Roman" w:eastAsia="宋体" w:cs="Times New Roman"/>
          <w:sz w:val="24"/>
          <w:szCs w:val="24"/>
          <w:highlight w:val="none"/>
          <w:lang w:val="en-US" w:eastAsia="zh-CN" w:bidi="ar-SA"/>
        </w:rPr>
        <w:t>消息</w:t>
      </w:r>
      <w:r>
        <w:rPr>
          <w:rFonts w:ascii="Times New Roman" w:hAnsi="Times New Roman" w:eastAsia="宋体" w:cs="Times New Roman"/>
          <w:sz w:val="24"/>
          <w:szCs w:val="24"/>
          <w:highlight w:val="none"/>
          <w:lang w:val="en-US" w:eastAsia="zh-CN" w:bidi="ar-SA"/>
        </w:rPr>
        <w:t>队列</w:t>
      </w:r>
      <w:r>
        <w:rPr>
          <w:rFonts w:hint="eastAsia" w:ascii="Times New Roman" w:hAnsi="Times New Roman" w:eastAsia="宋体" w:cs="Times New Roman"/>
          <w:sz w:val="24"/>
          <w:szCs w:val="24"/>
          <w:highlight w:val="none"/>
          <w:lang w:val="en-US" w:eastAsia="zh-CN" w:bidi="ar-SA"/>
        </w:rPr>
        <w:t>、</w:t>
      </w:r>
      <w:r>
        <w:rPr>
          <w:rFonts w:ascii="Times New Roman" w:hAnsi="Times New Roman" w:eastAsia="宋体" w:cs="Times New Roman"/>
          <w:sz w:val="24"/>
          <w:szCs w:val="24"/>
          <w:highlight w:val="none"/>
          <w:lang w:val="en-US" w:eastAsia="zh-CN" w:bidi="ar-SA"/>
        </w:rPr>
        <w:t>文件系统</w:t>
      </w:r>
      <w:r>
        <w:rPr>
          <w:rFonts w:hint="eastAsia" w:ascii="Times New Roman" w:hAnsi="Times New Roman" w:eastAsia="宋体" w:cs="Times New Roman"/>
          <w:sz w:val="24"/>
          <w:szCs w:val="24"/>
          <w:highlight w:val="none"/>
          <w:lang w:val="en-US" w:eastAsia="zh-CN" w:bidi="ar-SA"/>
        </w:rPr>
        <w:t>或数据中</w:t>
      </w:r>
      <w:r>
        <w:rPr>
          <w:rFonts w:ascii="Times New Roman" w:hAnsi="Times New Roman" w:eastAsia="宋体" w:cs="Times New Roman"/>
          <w:sz w:val="24"/>
          <w:szCs w:val="24"/>
          <w:highlight w:val="none"/>
          <w:lang w:val="en-US" w:eastAsia="zh-CN" w:bidi="ar-SA"/>
        </w:rPr>
        <w:t>。</w:t>
      </w:r>
    </w:p>
    <w:p w14:paraId="0D83FB2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数据补采</w:t>
      </w:r>
    </w:p>
    <w:p w14:paraId="3460EAE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在采集源支持补采的情况下，要能接收和执行下发的补采任务。</w:t>
      </w:r>
    </w:p>
    <w:p w14:paraId="5C72558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监控信息上报</w:t>
      </w:r>
    </w:p>
    <w:p w14:paraId="7D10C066">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采集服务能够定时上报其自身所在服务器的CPU使用率、内存使用率、磁盘使用率以及IOWait等信息至采集框架。</w:t>
      </w:r>
    </w:p>
    <w:p w14:paraId="74576955">
      <w:pPr>
        <w:keepNext/>
        <w:keepLines/>
        <w:widowControl w:val="0"/>
        <w:numPr>
          <w:ilvl w:val="3"/>
          <w:numId w:val="31"/>
        </w:numPr>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06" w:name="_Toc7356"/>
      <w:bookmarkStart w:id="807" w:name="_Toc43325622"/>
      <w:bookmarkStart w:id="808" w:name="_Toc26515895"/>
      <w:bookmarkStart w:id="809" w:name="_Toc32495"/>
      <w:bookmarkStart w:id="810" w:name="_Toc26720"/>
      <w:bookmarkStart w:id="811" w:name="_Toc30650"/>
      <w:bookmarkStart w:id="812" w:name="_Toc32627"/>
      <w:bookmarkStart w:id="813" w:name="_Toc41834788"/>
      <w:bookmarkStart w:id="814" w:name="_Toc50324782"/>
      <w:bookmarkStart w:id="815" w:name="_Toc37607022"/>
      <w:r>
        <w:rPr>
          <w:rFonts w:ascii="Times New Roman" w:hAnsi="Times New Roman" w:eastAsia="宋体" w:cs="Times New Roman"/>
          <w:b/>
          <w:bCs/>
          <w:sz w:val="24"/>
          <w:szCs w:val="28"/>
          <w:highlight w:val="none"/>
          <w:lang w:val="en-US" w:eastAsia="zh-CN" w:bidi="ar-SA"/>
        </w:rPr>
        <w:t>网络控制</w:t>
      </w:r>
      <w:r>
        <w:rPr>
          <w:rFonts w:hint="eastAsia" w:ascii="Times New Roman" w:hAnsi="Times New Roman" w:eastAsia="宋体" w:cs="Times New Roman"/>
          <w:b/>
          <w:bCs/>
          <w:sz w:val="24"/>
          <w:szCs w:val="28"/>
          <w:highlight w:val="none"/>
          <w:lang w:val="en-US" w:eastAsia="zh-CN" w:bidi="ar-SA"/>
        </w:rPr>
        <w:t>框架</w:t>
      </w:r>
      <w:r>
        <w:rPr>
          <w:rFonts w:ascii="Times New Roman" w:hAnsi="Times New Roman" w:eastAsia="宋体" w:cs="Times New Roman"/>
          <w:b/>
          <w:bCs/>
          <w:sz w:val="24"/>
          <w:szCs w:val="28"/>
          <w:highlight w:val="none"/>
          <w:lang w:val="en-US" w:eastAsia="zh-CN" w:bidi="ar-SA"/>
        </w:rPr>
        <w:t>功能</w:t>
      </w:r>
      <w:bookmarkEnd w:id="806"/>
      <w:bookmarkEnd w:id="807"/>
      <w:bookmarkEnd w:id="808"/>
      <w:bookmarkEnd w:id="809"/>
      <w:bookmarkEnd w:id="810"/>
      <w:bookmarkEnd w:id="811"/>
      <w:bookmarkEnd w:id="812"/>
      <w:bookmarkEnd w:id="813"/>
      <w:bookmarkEnd w:id="814"/>
      <w:bookmarkEnd w:id="815"/>
    </w:p>
    <w:p w14:paraId="09D6756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16" w:name="_Toc37607023"/>
      <w:r>
        <w:rPr>
          <w:rFonts w:ascii="Times New Roman" w:hAnsi="Times New Roman" w:eastAsia="宋体" w:cs="Times New Roman"/>
          <w:b/>
          <w:bCs/>
          <w:sz w:val="24"/>
          <w:szCs w:val="28"/>
          <w:highlight w:val="none"/>
          <w:lang w:val="en-US" w:eastAsia="zh-CN" w:bidi="ar-SA"/>
        </w:rPr>
        <w:t>控制操作设计</w:t>
      </w:r>
      <w:bookmarkEnd w:id="816"/>
    </w:p>
    <w:p w14:paraId="49F13C2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具备</w:t>
      </w:r>
      <w:r>
        <w:rPr>
          <w:rFonts w:ascii="Times New Roman" w:hAnsi="Times New Roman" w:eastAsia="宋体" w:cs="Times New Roman"/>
          <w:sz w:val="24"/>
          <w:szCs w:val="24"/>
          <w:highlight w:val="none"/>
          <w:lang w:val="en-US" w:eastAsia="zh-CN" w:bidi="ar-SA"/>
        </w:rPr>
        <w:t>网元操作控制设计</w:t>
      </w:r>
      <w:r>
        <w:rPr>
          <w:rFonts w:hint="eastAsia" w:ascii="Times New Roman" w:hAnsi="Times New Roman" w:eastAsia="宋体" w:cs="Times New Roman"/>
          <w:sz w:val="24"/>
          <w:szCs w:val="24"/>
          <w:highlight w:val="none"/>
          <w:lang w:val="en-US" w:eastAsia="zh-CN" w:bidi="ar-SA"/>
        </w:rPr>
        <w:t>的能力，能够</w:t>
      </w:r>
      <w:r>
        <w:rPr>
          <w:rFonts w:ascii="Times New Roman" w:hAnsi="Times New Roman" w:eastAsia="宋体" w:cs="Times New Roman"/>
          <w:sz w:val="24"/>
          <w:szCs w:val="24"/>
          <w:highlight w:val="none"/>
          <w:lang w:val="en-US" w:eastAsia="zh-CN" w:bidi="ar-SA"/>
        </w:rPr>
        <w:t>按无线网、核心网、承载网、云资源等专业划分做独立建设，每个专业在对应的resource对象下设计网元操作控制API以及相关对象定义、规则。</w:t>
      </w:r>
    </w:p>
    <w:p w14:paraId="386438B6">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控制对象管理</w:t>
      </w:r>
    </w:p>
    <w:p w14:paraId="10AD52CF">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网元类型</w:t>
      </w:r>
    </w:p>
    <w:p w14:paraId="73B300F7">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具备</w:t>
      </w:r>
      <w:r>
        <w:rPr>
          <w:rFonts w:ascii="Times New Roman" w:hAnsi="Times New Roman" w:eastAsia="宋体" w:cs="Times New Roman"/>
          <w:sz w:val="24"/>
          <w:szCs w:val="24"/>
          <w:highlight w:val="none"/>
          <w:lang w:val="en-US" w:eastAsia="zh-CN" w:bidi="ar-SA"/>
        </w:rPr>
        <w:t>定义不同专业划分、不同网元设备或网管平台的分类，如UDM、PCF、OMC等。网元类型包括名称、上级类型、类型说明等信息，</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支持多层次划分管理，提供查询、新增、修改、删除等操作。</w:t>
      </w:r>
    </w:p>
    <w:p w14:paraId="053D8A5C">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网元细类</w:t>
      </w:r>
    </w:p>
    <w:p w14:paraId="04F3FF6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能够</w:t>
      </w:r>
      <w:r>
        <w:rPr>
          <w:rFonts w:ascii="Times New Roman" w:hAnsi="Times New Roman" w:eastAsia="宋体" w:cs="Times New Roman"/>
          <w:sz w:val="24"/>
          <w:szCs w:val="24"/>
          <w:highlight w:val="none"/>
          <w:lang w:val="en-US" w:eastAsia="zh-CN" w:bidi="ar-SA"/>
        </w:rPr>
        <w:t>对同一网元类型下的网元，根据不同厂商不同型号和版本，网元细类属性包括细类名称、归属网元类型、细类通讯协议、细类网元协议、状态等信息。</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支持多层次划分管理，提供查询、新增、修改、删除等操作。</w:t>
      </w:r>
    </w:p>
    <w:p w14:paraId="31189F9C">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网元管理</w:t>
      </w:r>
    </w:p>
    <w:p w14:paraId="744691F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网元指在网络上具体已部署在用的一个有源可连接的网络功能节点，包括NE/EMS/OMC，比如一个IP地址为172.18.91.31的OLT，控制平台可与其建立网络连接。一个网元归属于一个特定的网元细类。网元包括名称、区域、归属网元细类、最大连接数等信息。</w:t>
      </w:r>
    </w:p>
    <w:p w14:paraId="55FDB490">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参数管理</w:t>
      </w:r>
    </w:p>
    <w:p w14:paraId="62CB719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参数包括以下几种类型的参数：</w:t>
      </w:r>
    </w:p>
    <w:p w14:paraId="0457671F">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firstLine="480" w:firstLineChars="200"/>
        <w:jc w:val="both"/>
        <w:textAlignment w:val="auto"/>
        <w:rPr>
          <w:rFonts w:ascii="Times New Roman" w:hAnsi="Times New Roman" w:eastAsia="宋体" w:cs="Times New Roman"/>
          <w:color w:val="000000"/>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实指令参数：实指令需要的参数定义，区分</w:t>
      </w:r>
      <w:r>
        <w:rPr>
          <w:rFonts w:hint="eastAsia" w:ascii="Times New Roman" w:hAnsi="Times New Roman" w:eastAsia="宋体" w:cs="Times New Roman"/>
          <w:sz w:val="24"/>
          <w:szCs w:val="24"/>
          <w:highlight w:val="none"/>
          <w:lang w:val="en-US" w:eastAsia="zh-CN" w:bidi="ar-SA"/>
        </w:rPr>
        <w:t>入</w:t>
      </w:r>
      <w:r>
        <w:rPr>
          <w:rFonts w:ascii="Times New Roman" w:hAnsi="Times New Roman" w:eastAsia="宋体" w:cs="Times New Roman"/>
          <w:sz w:val="24"/>
          <w:szCs w:val="24"/>
          <w:highlight w:val="none"/>
          <w:lang w:val="en-US" w:eastAsia="zh-CN" w:bidi="ar-SA"/>
        </w:rPr>
        <w:t>参</w:t>
      </w:r>
      <w:r>
        <w:rPr>
          <w:rFonts w:hint="eastAsia" w:ascii="Times New Roman" w:hAnsi="Times New Roman" w:eastAsia="宋体" w:cs="Times New Roman"/>
          <w:sz w:val="24"/>
          <w:szCs w:val="24"/>
          <w:highlight w:val="none"/>
          <w:lang w:val="en-US" w:eastAsia="zh-CN" w:bidi="ar-SA"/>
        </w:rPr>
        <w:t>数</w:t>
      </w:r>
      <w:r>
        <w:rPr>
          <w:rFonts w:ascii="Times New Roman" w:hAnsi="Times New Roman" w:eastAsia="宋体" w:cs="Times New Roman"/>
          <w:sz w:val="24"/>
          <w:szCs w:val="24"/>
          <w:highlight w:val="none"/>
          <w:lang w:val="en-US" w:eastAsia="zh-CN" w:bidi="ar-SA"/>
        </w:rPr>
        <w:t>和</w:t>
      </w:r>
      <w:r>
        <w:rPr>
          <w:rFonts w:hint="eastAsia" w:ascii="Times New Roman" w:hAnsi="Times New Roman" w:eastAsia="宋体" w:cs="Times New Roman"/>
          <w:sz w:val="24"/>
          <w:szCs w:val="24"/>
          <w:highlight w:val="none"/>
          <w:lang w:val="en-US" w:eastAsia="zh-CN" w:bidi="ar-SA"/>
        </w:rPr>
        <w:t>出</w:t>
      </w:r>
      <w:r>
        <w:rPr>
          <w:rFonts w:ascii="Times New Roman" w:hAnsi="Times New Roman" w:eastAsia="宋体" w:cs="Times New Roman"/>
          <w:sz w:val="24"/>
          <w:szCs w:val="24"/>
          <w:highlight w:val="none"/>
          <w:lang w:val="en-US" w:eastAsia="zh-CN" w:bidi="ar-SA"/>
        </w:rPr>
        <w:t>参数两种类型。包括参数编码、参数名称、参数类型（入参/出参）。</w:t>
      </w:r>
    </w:p>
    <w:p w14:paraId="742EA527">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firstLine="480" w:firstLineChars="200"/>
        <w:jc w:val="both"/>
        <w:textAlignment w:val="auto"/>
        <w:rPr>
          <w:rFonts w:ascii="Times New Roman" w:hAnsi="Times New Roman" w:eastAsia="宋体" w:cs="Times New Roman"/>
          <w:color w:val="000000"/>
          <w:sz w:val="24"/>
          <w:szCs w:val="24"/>
          <w:highlight w:val="none"/>
          <w:lang w:val="en-US" w:eastAsia="zh-CN" w:bidi="ar-SA"/>
        </w:rPr>
      </w:pPr>
      <w:r>
        <w:rPr>
          <w:rFonts w:hint="eastAsia" w:ascii="Times New Roman" w:hAnsi="Times New Roman" w:eastAsia="宋体" w:cs="Times New Roman"/>
          <w:color w:val="000000"/>
          <w:sz w:val="24"/>
          <w:szCs w:val="24"/>
          <w:highlight w:val="none"/>
          <w:lang w:val="en-US" w:eastAsia="zh-CN" w:bidi="ar-SA"/>
        </w:rPr>
        <w:t>虚指令</w:t>
      </w:r>
      <w:r>
        <w:rPr>
          <w:rFonts w:ascii="Times New Roman" w:hAnsi="Times New Roman" w:eastAsia="宋体" w:cs="Times New Roman"/>
          <w:color w:val="000000"/>
          <w:sz w:val="24"/>
          <w:szCs w:val="24"/>
          <w:highlight w:val="none"/>
          <w:lang w:val="en-US" w:eastAsia="zh-CN" w:bidi="ar-SA"/>
        </w:rPr>
        <w:t>参数：指</w:t>
      </w:r>
      <w:r>
        <w:rPr>
          <w:rFonts w:hint="eastAsia" w:ascii="Times New Roman" w:hAnsi="Times New Roman" w:eastAsia="宋体" w:cs="Times New Roman"/>
          <w:color w:val="000000"/>
          <w:sz w:val="24"/>
          <w:szCs w:val="24"/>
          <w:highlight w:val="none"/>
          <w:lang w:val="en-US" w:eastAsia="zh-CN" w:bidi="ar-SA"/>
        </w:rPr>
        <w:t>该虚指令下的</w:t>
      </w:r>
      <w:r>
        <w:rPr>
          <w:rFonts w:ascii="Times New Roman" w:hAnsi="Times New Roman" w:eastAsia="宋体" w:cs="Times New Roman"/>
          <w:color w:val="000000"/>
          <w:sz w:val="24"/>
          <w:szCs w:val="24"/>
          <w:highlight w:val="none"/>
          <w:lang w:val="en-US" w:eastAsia="zh-CN" w:bidi="ar-SA"/>
        </w:rPr>
        <w:t>实指令参数抽象，抽象出了各厂家各网元所需要使用的通用参数。如IMSI号。包括编码和名称。</w:t>
      </w:r>
    </w:p>
    <w:p w14:paraId="44879DD1">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firstLine="480" w:firstLineChars="200"/>
        <w:jc w:val="both"/>
        <w:textAlignment w:val="auto"/>
        <w:rPr>
          <w:rFonts w:ascii="Times New Roman" w:hAnsi="Times New Roman" w:eastAsia="宋体" w:cs="Times New Roman"/>
          <w:color w:val="000000"/>
          <w:sz w:val="24"/>
          <w:szCs w:val="24"/>
          <w:highlight w:val="none"/>
          <w:lang w:val="en-US" w:eastAsia="zh-CN" w:bidi="ar-SA"/>
        </w:rPr>
      </w:pPr>
      <w:r>
        <w:rPr>
          <w:rFonts w:ascii="Times New Roman" w:hAnsi="Times New Roman" w:eastAsia="宋体" w:cs="Times New Roman"/>
          <w:color w:val="000000"/>
          <w:sz w:val="24"/>
          <w:szCs w:val="24"/>
          <w:highlight w:val="none"/>
          <w:lang w:val="en-US" w:eastAsia="zh-CN" w:bidi="ar-SA"/>
        </w:rPr>
        <w:t>虚指令集参数：包括</w:t>
      </w:r>
      <w:r>
        <w:rPr>
          <w:rFonts w:hint="eastAsia" w:ascii="Times New Roman" w:hAnsi="Times New Roman" w:eastAsia="宋体" w:cs="Times New Roman"/>
          <w:color w:val="000000"/>
          <w:sz w:val="24"/>
          <w:szCs w:val="24"/>
          <w:highlight w:val="none"/>
          <w:lang w:val="en-US" w:eastAsia="zh-CN" w:bidi="ar-SA"/>
        </w:rPr>
        <w:t>虚指令</w:t>
      </w:r>
      <w:r>
        <w:rPr>
          <w:rFonts w:ascii="Times New Roman" w:hAnsi="Times New Roman" w:eastAsia="宋体" w:cs="Times New Roman"/>
          <w:color w:val="000000"/>
          <w:sz w:val="24"/>
          <w:szCs w:val="24"/>
          <w:highlight w:val="none"/>
          <w:lang w:val="en-US" w:eastAsia="zh-CN" w:bidi="ar-SA"/>
        </w:rPr>
        <w:t>参数集合和</w:t>
      </w:r>
      <w:r>
        <w:rPr>
          <w:rFonts w:hint="eastAsia" w:ascii="Times New Roman" w:hAnsi="Times New Roman" w:eastAsia="宋体" w:cs="Times New Roman"/>
          <w:color w:val="000000"/>
          <w:sz w:val="24"/>
          <w:szCs w:val="24"/>
          <w:highlight w:val="none"/>
          <w:lang w:val="en-US" w:eastAsia="zh-CN" w:bidi="ar-SA"/>
        </w:rPr>
        <w:t>自定义</w:t>
      </w:r>
      <w:r>
        <w:rPr>
          <w:rFonts w:ascii="Times New Roman" w:hAnsi="Times New Roman" w:eastAsia="宋体" w:cs="Times New Roman"/>
          <w:color w:val="000000"/>
          <w:sz w:val="24"/>
          <w:szCs w:val="24"/>
          <w:highlight w:val="none"/>
          <w:lang w:val="en-US" w:eastAsia="zh-CN" w:bidi="ar-SA"/>
        </w:rPr>
        <w:t>新增的入参。</w:t>
      </w:r>
    </w:p>
    <w:p w14:paraId="7FE57ED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各类参数管理</w:t>
      </w:r>
      <w:r>
        <w:rPr>
          <w:rFonts w:hint="eastAsia" w:ascii="Times New Roman" w:hAnsi="Times New Roman" w:eastAsia="宋体" w:cs="Times New Roman"/>
          <w:sz w:val="24"/>
          <w:szCs w:val="24"/>
          <w:highlight w:val="none"/>
          <w:lang w:val="en-US" w:eastAsia="zh-CN" w:bidi="ar-SA"/>
        </w:rPr>
        <w:t>需</w:t>
      </w:r>
      <w:r>
        <w:rPr>
          <w:rFonts w:ascii="Times New Roman" w:hAnsi="Times New Roman" w:eastAsia="宋体" w:cs="Times New Roman"/>
          <w:sz w:val="24"/>
          <w:szCs w:val="24"/>
          <w:highlight w:val="none"/>
          <w:lang w:val="en-US" w:eastAsia="zh-CN" w:bidi="ar-SA"/>
        </w:rPr>
        <w:t>提供查询、新增、修改、删除功能。</w:t>
      </w:r>
    </w:p>
    <w:p w14:paraId="62C047E4">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指令</w:t>
      </w:r>
      <w:r>
        <w:rPr>
          <w:rFonts w:hint="eastAsia" w:ascii="Arial" w:hAnsi="Arial" w:eastAsia="宋体" w:cs="Times New Roman"/>
          <w:b/>
          <w:bCs/>
          <w:sz w:val="24"/>
          <w:szCs w:val="24"/>
          <w:highlight w:val="none"/>
          <w:lang w:val="en-US" w:eastAsia="zh-CN" w:bidi="ar-SA"/>
        </w:rPr>
        <w:t>设计</w:t>
      </w:r>
    </w:p>
    <w:p w14:paraId="22F15D00">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实指令</w:t>
      </w:r>
    </w:p>
    <w:p w14:paraId="0801A96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实指令</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包括</w:t>
      </w:r>
      <w:r>
        <w:rPr>
          <w:rFonts w:hint="eastAsia" w:ascii="宋体" w:hAnsi="宋体" w:eastAsia="宋体" w:cs="宋体"/>
          <w:kern w:val="0"/>
          <w:sz w:val="24"/>
          <w:szCs w:val="21"/>
          <w:highlight w:val="none"/>
          <w:lang w:val="en-US" w:eastAsia="zh-CN" w:bidi="ar"/>
        </w:rPr>
        <w:t>实指令名称、实指令编码、通信协议、指令归类（公用/控制/采集）、专业、指令操作类型（查询/修改/测试/其他）、风险等级（普通/高危）、指令模板、指令参数、回滚指令、关联回滚查询指令、互斥对冲指令、指令描述、状态（禁用/启用）等</w:t>
      </w:r>
      <w:r>
        <w:rPr>
          <w:rFonts w:ascii="Times New Roman" w:hAnsi="Times New Roman" w:eastAsia="宋体" w:cs="Times New Roman"/>
          <w:sz w:val="24"/>
          <w:szCs w:val="24"/>
          <w:highlight w:val="none"/>
          <w:lang w:val="en-US" w:eastAsia="zh-CN" w:bidi="ar-SA"/>
        </w:rPr>
        <w:t>信息。实指令管理</w:t>
      </w:r>
      <w:r>
        <w:rPr>
          <w:rFonts w:hint="eastAsia" w:ascii="Times New Roman" w:hAnsi="Times New Roman" w:eastAsia="宋体" w:cs="Times New Roman"/>
          <w:sz w:val="24"/>
          <w:szCs w:val="24"/>
          <w:highlight w:val="none"/>
          <w:lang w:val="en-US" w:eastAsia="zh-CN" w:bidi="ar-SA"/>
        </w:rPr>
        <w:t>需</w:t>
      </w:r>
      <w:r>
        <w:rPr>
          <w:rFonts w:ascii="Times New Roman" w:hAnsi="Times New Roman" w:eastAsia="宋体" w:cs="Times New Roman"/>
          <w:sz w:val="24"/>
          <w:szCs w:val="24"/>
          <w:highlight w:val="none"/>
          <w:lang w:val="en-US" w:eastAsia="zh-CN" w:bidi="ar-SA"/>
        </w:rPr>
        <w:t>提供查询、新增、修改、删除</w:t>
      </w:r>
      <w:r>
        <w:rPr>
          <w:rFonts w:hint="eastAsia" w:ascii="Times New Roman" w:hAnsi="Times New Roman" w:eastAsia="宋体" w:cs="Times New Roman"/>
          <w:sz w:val="24"/>
          <w:szCs w:val="24"/>
          <w:highlight w:val="none"/>
          <w:lang w:val="en-US" w:eastAsia="zh-CN" w:bidi="ar-SA"/>
        </w:rPr>
        <w:t>、状态设置</w:t>
      </w:r>
      <w:r>
        <w:rPr>
          <w:rFonts w:ascii="Times New Roman" w:hAnsi="Times New Roman" w:eastAsia="宋体" w:cs="Times New Roman"/>
          <w:sz w:val="24"/>
          <w:szCs w:val="24"/>
          <w:highlight w:val="none"/>
          <w:lang w:val="en-US" w:eastAsia="zh-CN" w:bidi="ar-SA"/>
        </w:rPr>
        <w:t>等操作。</w:t>
      </w:r>
    </w:p>
    <w:p w14:paraId="405F8E8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kern w:val="0"/>
          <w:sz w:val="24"/>
          <w:szCs w:val="21"/>
          <w:highlight w:val="none"/>
          <w:lang w:val="en-US" w:eastAsia="zh-CN" w:bidi="ar"/>
        </w:rPr>
        <w:t>自定义指令出参：在实指令配置新增页面能够进行自定义指令出参的配置，配置项需要至少包含参数编码、参数名称、参数值类型、参数值提取方式、提取规则等；参数提取方式需要支持正则表达式、JSON取值、python及自定义规则等。</w:t>
      </w:r>
      <w:r>
        <w:rPr>
          <w:rFonts w:ascii="Times New Roman" w:hAnsi="Times New Roman" w:eastAsia="宋体" w:cs="Times New Roman"/>
          <w:sz w:val="24"/>
          <w:szCs w:val="24"/>
          <w:highlight w:val="none"/>
          <w:lang w:val="en-US" w:eastAsia="zh-CN" w:bidi="ar-SA"/>
        </w:rPr>
        <w:t>。</w:t>
      </w:r>
    </w:p>
    <w:p w14:paraId="2F8B4968">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w:t>
      </w:r>
    </w:p>
    <w:p w14:paraId="5608FAB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包括</w:t>
      </w:r>
      <w:r>
        <w:rPr>
          <w:rFonts w:hint="eastAsia" w:ascii="宋体" w:hAnsi="宋体" w:eastAsia="宋体" w:cs="宋体"/>
          <w:kern w:val="0"/>
          <w:sz w:val="24"/>
          <w:szCs w:val="21"/>
          <w:highlight w:val="none"/>
          <w:lang w:val="en-US" w:eastAsia="zh-CN" w:bidi="ar"/>
        </w:rPr>
        <w:t>虚指令配置包括虚指令名称、虚指令编码、虚指令分类、专业、网元类型、状态（禁用/启用）、控制类型、路由方式、指令分组方式等</w:t>
      </w:r>
      <w:r>
        <w:rPr>
          <w:rFonts w:ascii="Times New Roman" w:hAnsi="Times New Roman" w:eastAsia="宋体" w:cs="Times New Roman"/>
          <w:sz w:val="24"/>
          <w:szCs w:val="24"/>
          <w:highlight w:val="none"/>
          <w:lang w:val="en-US" w:eastAsia="zh-CN" w:bidi="ar-SA"/>
        </w:rPr>
        <w:t>信息。虚指令管理</w:t>
      </w:r>
      <w:r>
        <w:rPr>
          <w:rFonts w:hint="eastAsia" w:ascii="Times New Roman" w:hAnsi="Times New Roman" w:eastAsia="宋体" w:cs="Times New Roman"/>
          <w:sz w:val="24"/>
          <w:szCs w:val="24"/>
          <w:highlight w:val="none"/>
          <w:lang w:val="en-US" w:eastAsia="zh-CN" w:bidi="ar-SA"/>
        </w:rPr>
        <w:t>需</w:t>
      </w:r>
      <w:r>
        <w:rPr>
          <w:rFonts w:ascii="Times New Roman" w:hAnsi="Times New Roman" w:eastAsia="宋体" w:cs="Times New Roman"/>
          <w:sz w:val="24"/>
          <w:szCs w:val="24"/>
          <w:highlight w:val="none"/>
          <w:lang w:val="en-US" w:eastAsia="zh-CN" w:bidi="ar-SA"/>
        </w:rPr>
        <w:t>提供查询、新增、修改、删除、</w:t>
      </w:r>
      <w:r>
        <w:rPr>
          <w:rFonts w:hint="eastAsia" w:ascii="Times New Roman" w:hAnsi="Times New Roman" w:eastAsia="宋体" w:cs="Times New Roman"/>
          <w:sz w:val="24"/>
          <w:szCs w:val="24"/>
          <w:highlight w:val="none"/>
          <w:lang w:val="en-US" w:eastAsia="zh-CN" w:bidi="ar-SA"/>
        </w:rPr>
        <w:t>虚指令设计</w:t>
      </w:r>
      <w:r>
        <w:rPr>
          <w:rFonts w:ascii="Times New Roman" w:hAnsi="Times New Roman" w:eastAsia="宋体" w:cs="Times New Roman"/>
          <w:sz w:val="24"/>
          <w:szCs w:val="24"/>
          <w:highlight w:val="none"/>
          <w:lang w:val="en-US" w:eastAsia="zh-CN" w:bidi="ar-SA"/>
        </w:rPr>
        <w:t>等操作。</w:t>
      </w:r>
    </w:p>
    <w:p w14:paraId="1EE10AB7">
      <w:pPr>
        <w:widowControl w:val="0"/>
        <w:spacing w:line="360" w:lineRule="auto"/>
        <w:ind w:firstLine="480" w:firstLineChars="200"/>
        <w:jc w:val="both"/>
        <w:rPr>
          <w:rFonts w:hint="eastAsia" w:ascii="宋体" w:hAnsi="宋体" w:eastAsia="宋体" w:cs="宋体"/>
          <w:kern w:val="0"/>
          <w:sz w:val="24"/>
          <w:szCs w:val="21"/>
          <w:highlight w:val="none"/>
          <w:lang w:val="en-US" w:eastAsia="zh-CN" w:bidi="ar"/>
        </w:rPr>
      </w:pPr>
      <w:r>
        <w:rPr>
          <w:rFonts w:hint="eastAsia" w:ascii="宋体" w:hAnsi="宋体" w:eastAsia="宋体" w:cs="宋体"/>
          <w:kern w:val="0"/>
          <w:sz w:val="24"/>
          <w:szCs w:val="21"/>
          <w:highlight w:val="none"/>
          <w:lang w:val="en-US" w:eastAsia="zh-CN" w:bidi="ar"/>
        </w:rPr>
        <w:t>虚指令设计能力：在虚指令设计页面中需要至少包含以下功能：支持对参数设计并能够对出入参进行添加或删除；支持添加指令组，点击添加指令组后依次选择同通信协议、具体的网元类型、网元细类等；自定义出参功能，可选择一个需要关联的规则。</w:t>
      </w:r>
    </w:p>
    <w:p w14:paraId="34D3193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kern w:val="0"/>
          <w:sz w:val="24"/>
          <w:szCs w:val="21"/>
          <w:highlight w:val="none"/>
          <w:lang w:val="en-US" w:eastAsia="zh-CN" w:bidi="ar"/>
        </w:rPr>
        <w:t>虚指令参数映射：针对已经配置好虚指令参数、新增好指令组和指令组下的实指令后，能够对实指令参数进行选择虚指令参数进行参数映射，同时能够选择参数值转换规则，选项至少包括，直接传值、脚本取值、已有脚本等，脚本取值要可以直接输入和编辑脚本，已有脚本要能够选择一个已存在的脚本，同时选择后能够显示脚本内容。</w:t>
      </w:r>
    </w:p>
    <w:p w14:paraId="48E94A2A">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虚指令集</w:t>
      </w:r>
    </w:p>
    <w:p w14:paraId="43DDC95D">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虚指令集通过网元类型进行管理，虚指令集设计的时候考虑互斥（指令是否能同时执行），虚指令集包括</w:t>
      </w:r>
      <w:r>
        <w:rPr>
          <w:rFonts w:hint="eastAsia" w:ascii="宋体" w:hAnsi="宋体" w:eastAsia="宋体" w:cs="宋体"/>
          <w:kern w:val="0"/>
          <w:sz w:val="24"/>
          <w:szCs w:val="21"/>
          <w:highlight w:val="none"/>
          <w:lang w:val="en-US" w:eastAsia="zh-CN" w:bidi="ar"/>
        </w:rPr>
        <w:t>虚指令集名称、虚指令集编码、类别、专业、网元类型、是否同步、状态（停用，可用）、优先级等</w:t>
      </w:r>
      <w:r>
        <w:rPr>
          <w:rFonts w:ascii="Times New Roman" w:hAnsi="Times New Roman" w:eastAsia="宋体" w:cs="Times New Roman"/>
          <w:sz w:val="24"/>
          <w:szCs w:val="24"/>
          <w:highlight w:val="none"/>
          <w:lang w:val="en-US" w:eastAsia="zh-CN" w:bidi="ar-SA"/>
        </w:rPr>
        <w:t>信息</w:t>
      </w:r>
      <w:r>
        <w:rPr>
          <w:rFonts w:hint="eastAsia" w:ascii="Times New Roman" w:hAnsi="Times New Roman" w:eastAsia="宋体" w:cs="Times New Roman"/>
          <w:sz w:val="24"/>
          <w:szCs w:val="24"/>
          <w:highlight w:val="none"/>
          <w:lang w:val="en-US" w:eastAsia="zh-CN" w:bidi="ar-SA"/>
        </w:rPr>
        <w:t>。</w:t>
      </w:r>
    </w:p>
    <w:p w14:paraId="76F3EF2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kern w:val="0"/>
          <w:sz w:val="24"/>
          <w:szCs w:val="21"/>
          <w:highlight w:val="none"/>
          <w:lang w:val="en-US" w:eastAsia="zh-CN" w:bidi="ar"/>
        </w:rPr>
        <w:t>虚指令集设计能力，能够在设计页面，选择虚指令，并能够以拖拉拽的方式放置在页面中，配合线条完成虚指令集流程图设计</w:t>
      </w:r>
      <w:r>
        <w:rPr>
          <w:rFonts w:ascii="Times New Roman" w:hAnsi="Times New Roman" w:eastAsia="宋体" w:cs="Times New Roman"/>
          <w:sz w:val="24"/>
          <w:szCs w:val="24"/>
          <w:highlight w:val="none"/>
          <w:lang w:val="en-US" w:eastAsia="zh-CN" w:bidi="ar-SA"/>
        </w:rPr>
        <w:t>。</w:t>
      </w:r>
    </w:p>
    <w:p w14:paraId="7B6EAD7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kern w:val="0"/>
          <w:sz w:val="24"/>
          <w:szCs w:val="21"/>
          <w:highlight w:val="none"/>
          <w:lang w:val="en-US" w:eastAsia="zh-CN" w:bidi="ar"/>
        </w:rPr>
        <w:t>虚指令集参数设计能力，能够在参数设计页面进行编辑，至少包含添加上游出入参来专门为一个上游系统进行适配、虚指令集参数到虚指令参数的映射关系、选择是否必填、选择格式校验脚本类型、填写校验脚本内容等</w:t>
      </w:r>
      <w:r>
        <w:rPr>
          <w:rFonts w:ascii="Times New Roman" w:hAnsi="Times New Roman" w:eastAsia="宋体" w:cs="Times New Roman"/>
          <w:sz w:val="24"/>
          <w:szCs w:val="24"/>
          <w:highlight w:val="none"/>
          <w:lang w:val="en-US" w:eastAsia="zh-CN" w:bidi="ar-SA"/>
        </w:rPr>
        <w:t>。</w:t>
      </w:r>
    </w:p>
    <w:p w14:paraId="4A25C7D3">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规则管理</w:t>
      </w:r>
    </w:p>
    <w:p w14:paraId="35590C3D">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网元路由规则</w:t>
      </w:r>
    </w:p>
    <w:p w14:paraId="686ABC6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在RES.API调用的时候，为找到RES下对应的网元实例，要对支持以下路由规则配置：</w:t>
      </w:r>
    </w:p>
    <w:p w14:paraId="77FDB469">
      <w:pPr>
        <w:widowControl w:val="0"/>
        <w:numPr>
          <w:ilvl w:val="0"/>
          <w:numId w:val="3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区域路由：根据业务请求所属区域进行匹配网元的所属区域。</w:t>
      </w:r>
    </w:p>
    <w:p w14:paraId="0BD5FA0F">
      <w:pPr>
        <w:widowControl w:val="0"/>
        <w:numPr>
          <w:ilvl w:val="0"/>
          <w:numId w:val="3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号段路由：根据业务号码或卡号自定义划成多段，对应到具体的网元。</w:t>
      </w:r>
    </w:p>
    <w:p w14:paraId="33D7AC43">
      <w:pPr>
        <w:widowControl w:val="0"/>
        <w:numPr>
          <w:ilvl w:val="0"/>
          <w:numId w:val="3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规则路由：用规则脚本定义路由逻辑。</w:t>
      </w:r>
    </w:p>
    <w:p w14:paraId="4D2EF000">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结果解析规则</w:t>
      </w:r>
    </w:p>
    <w:p w14:paraId="37B81AB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定义指令交互结果如何解析，</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支持正则表达式、JSON取值、自定义规则等。</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支持网元实指令级别和网元细类级别的规则配置，实指令级别规则优先级大于默认的网元细类级别规则。</w:t>
      </w:r>
    </w:p>
    <w:p w14:paraId="257305AA">
      <w:pPr>
        <w:widowControl w:val="0"/>
        <w:numPr>
          <w:ilvl w:val="0"/>
          <w:numId w:val="34"/>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异常处理规则</w:t>
      </w:r>
    </w:p>
    <w:p w14:paraId="2524675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定义指令交互异常后进行的操作处理，如即时重试（解决网络故障引起的失败，需定义重试间隔、最大重试次数）、自动重新执行（</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支持某类错误原因的自动重新执行操作）、容错、回滚。</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支持实指令级别和网元细类级别的规则配置，实指令级别规则优先级大于默认的网元细类级别规则。</w:t>
      </w:r>
    </w:p>
    <w:p w14:paraId="6D7FDB3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17" w:name="_Toc37607024"/>
      <w:bookmarkStart w:id="818" w:name="_Toc26515898"/>
      <w:bookmarkStart w:id="819" w:name="_Toc29812"/>
      <w:r>
        <w:rPr>
          <w:rFonts w:ascii="Times New Roman" w:hAnsi="Times New Roman" w:eastAsia="宋体" w:cs="Times New Roman"/>
          <w:b/>
          <w:bCs/>
          <w:sz w:val="24"/>
          <w:szCs w:val="28"/>
          <w:highlight w:val="none"/>
          <w:lang w:val="en-US" w:eastAsia="zh-CN" w:bidi="ar-SA"/>
        </w:rPr>
        <w:t>操作交互</w:t>
      </w:r>
      <w:bookmarkEnd w:id="817"/>
      <w:bookmarkEnd w:id="818"/>
    </w:p>
    <w:p w14:paraId="1A9E8311">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API接收</w:t>
      </w:r>
    </w:p>
    <w:p w14:paraId="212B005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控制</w:t>
      </w:r>
      <w:r>
        <w:rPr>
          <w:rFonts w:hint="eastAsia" w:ascii="Times New Roman" w:hAnsi="Times New Roman" w:eastAsia="宋体" w:cs="Times New Roman"/>
          <w:sz w:val="24"/>
          <w:szCs w:val="24"/>
          <w:highlight w:val="none"/>
          <w:lang w:val="en-US" w:eastAsia="zh-CN" w:bidi="ar-SA"/>
        </w:rPr>
        <w:t>框架将虚指令集</w:t>
      </w:r>
      <w:r>
        <w:rPr>
          <w:rFonts w:ascii="Times New Roman" w:hAnsi="Times New Roman" w:eastAsia="宋体" w:cs="Times New Roman"/>
          <w:sz w:val="24"/>
          <w:szCs w:val="24"/>
          <w:highlight w:val="none"/>
          <w:lang w:val="en-US" w:eastAsia="zh-CN" w:bidi="ar-SA"/>
        </w:rPr>
        <w:t>统一注册发布在DCOOS/EOP能力网关，对外提供统一的服务入口。将接口入参传递到采集控制功能框架，</w:t>
      </w:r>
      <w:r>
        <w:rPr>
          <w:rFonts w:hint="eastAsia" w:ascii="Times New Roman" w:hAnsi="Times New Roman" w:eastAsia="宋体" w:cs="Times New Roman"/>
          <w:sz w:val="24"/>
          <w:szCs w:val="24"/>
          <w:highlight w:val="none"/>
          <w:lang w:val="en-US" w:eastAsia="zh-CN" w:bidi="ar-SA"/>
        </w:rPr>
        <w:t>应</w:t>
      </w:r>
      <w:r>
        <w:rPr>
          <w:rFonts w:ascii="Times New Roman" w:hAnsi="Times New Roman" w:eastAsia="宋体" w:cs="Times New Roman"/>
          <w:sz w:val="24"/>
          <w:szCs w:val="24"/>
          <w:highlight w:val="none"/>
          <w:lang w:val="en-US" w:eastAsia="zh-CN" w:bidi="ar-SA"/>
        </w:rPr>
        <w:t>支持同步、异步方式。控制框架需对API调用的接口信息进行基础校验，校验规则至少包括：</w:t>
      </w:r>
    </w:p>
    <w:p w14:paraId="3D8DBC1C">
      <w:pPr>
        <w:widowControl w:val="0"/>
        <w:numPr>
          <w:ilvl w:val="0"/>
          <w:numId w:val="39"/>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服务请求名称校验</w:t>
      </w:r>
    </w:p>
    <w:p w14:paraId="79640776">
      <w:pPr>
        <w:widowControl w:val="0"/>
        <w:numPr>
          <w:ilvl w:val="0"/>
          <w:numId w:val="39"/>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服务请求参数校验，含个数及取值规则</w:t>
      </w:r>
    </w:p>
    <w:p w14:paraId="3B7C2287">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对于异步接口，校验结束后需要给调用者返回同步应答消息，包括调用成功/失败状态、错误编码/描述。</w:t>
      </w:r>
    </w:p>
    <w:p w14:paraId="290636E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对同步接口，校验不通过时给予失败应答，通过时等执行完API操作后再返回操作结果。</w:t>
      </w:r>
    </w:p>
    <w:p w14:paraId="2461691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同步API交互</w:t>
      </w:r>
    </w:p>
    <w:p w14:paraId="2CC04B66">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同步方式指的是API请求发送给控制框架后，控制框架需要保持该请求连接，在执行完网元操作后，在同本次调用中返回网元上的执行结果。常见于查询、修障等返回结果流量较低、耗时较少的操作。</w:t>
      </w:r>
    </w:p>
    <w:p w14:paraId="09A0FA8A">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异步API交互</w:t>
      </w:r>
    </w:p>
    <w:p w14:paraId="57978F0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异步方式指的是API请求发送给控制框架后，框架只进行基础校验并进行反馈，在网元上的执行结果通过控制框架的异步回调接口进行反馈。常见于业务开通等流量高、耗时较多的操作。</w:t>
      </w:r>
    </w:p>
    <w:p w14:paraId="3DEC43EA">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20" w:name="_Toc37607025"/>
      <w:bookmarkStart w:id="821" w:name="_Toc26515899"/>
      <w:r>
        <w:rPr>
          <w:rFonts w:ascii="Times New Roman" w:hAnsi="Times New Roman" w:eastAsia="宋体" w:cs="Times New Roman"/>
          <w:b/>
          <w:bCs/>
          <w:sz w:val="24"/>
          <w:szCs w:val="28"/>
          <w:highlight w:val="none"/>
          <w:lang w:val="en-US" w:eastAsia="zh-CN" w:bidi="ar-SA"/>
        </w:rPr>
        <w:t>解析转换</w:t>
      </w:r>
      <w:bookmarkEnd w:id="819"/>
      <w:bookmarkEnd w:id="820"/>
      <w:bookmarkEnd w:id="821"/>
    </w:p>
    <w:p w14:paraId="1CF64F45">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虚指令集映射</w:t>
      </w:r>
    </w:p>
    <w:p w14:paraId="08C9857C">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根据调用的API服务请求，匹配到具体的虚指令集。</w:t>
      </w:r>
    </w:p>
    <w:p w14:paraId="199690B6">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网元路由</w:t>
      </w:r>
    </w:p>
    <w:p w14:paraId="61EC70F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需要支持对控制服务可管理的控制对象进行预先配置，以实现采集控制框架对控制服务的路由派发。系统根据虚指令集参数和预设的网元路由规则进行网元设备查找，如区域路由、号段路由、规则路由、指定路由。根据查找结果可以识别网元所属厂家设备型号。</w:t>
      </w:r>
    </w:p>
    <w:p w14:paraId="00DCE71F">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实指令生成</w:t>
      </w:r>
    </w:p>
    <w:p w14:paraId="11824D4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根据操作控制设计中确定指令映射关系，实现从虚指令集到虚指令，虚指令到实指令的转换；虚指令集参数要映射转换成虚指令参数，</w:t>
      </w:r>
      <w:r>
        <w:rPr>
          <w:rFonts w:hint="eastAsia" w:ascii="Times New Roman" w:hAnsi="Times New Roman" w:eastAsia="宋体" w:cs="Times New Roman"/>
          <w:sz w:val="24"/>
          <w:szCs w:val="24"/>
          <w:highlight w:val="none"/>
          <w:lang w:val="en-US" w:eastAsia="zh-CN" w:bidi="ar-SA"/>
        </w:rPr>
        <w:t>再映射为实指令参数</w:t>
      </w:r>
      <w:r>
        <w:rPr>
          <w:rFonts w:ascii="Times New Roman" w:hAnsi="Times New Roman" w:eastAsia="宋体" w:cs="Times New Roman"/>
          <w:sz w:val="24"/>
          <w:szCs w:val="24"/>
          <w:highlight w:val="none"/>
          <w:lang w:val="en-US" w:eastAsia="zh-CN" w:bidi="ar-SA"/>
        </w:rPr>
        <w:t>。</w:t>
      </w:r>
    </w:p>
    <w:p w14:paraId="17C6AAA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根据设计制定的实指令模板类型，实现实指令和指令参数的生成。</w:t>
      </w:r>
    </w:p>
    <w:p w14:paraId="31EED66E">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服务实例路由</w:t>
      </w:r>
    </w:p>
    <w:p w14:paraId="25E01F8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控制框架生成指令后，找到能够执行该指令的服务实例，然后控制框架再跟进这些服务实例的运行情况，找到当前运行状态健康，负荷量最小的服务实例，确定由该服务实例实现实指令的执行。</w:t>
      </w:r>
    </w:p>
    <w:p w14:paraId="1EB8662F">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控制调度</w:t>
      </w:r>
    </w:p>
    <w:p w14:paraId="295D1E16">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同一个虚指令集生成同一个网元的所有实指令，</w:t>
      </w:r>
      <w:r>
        <w:rPr>
          <w:rFonts w:hint="eastAsia" w:ascii="Times New Roman" w:hAnsi="Times New Roman" w:eastAsia="宋体" w:cs="Times New Roman"/>
          <w:sz w:val="24"/>
          <w:szCs w:val="24"/>
          <w:highlight w:val="none"/>
          <w:lang w:val="en-US" w:eastAsia="zh-CN" w:bidi="ar-SA"/>
        </w:rPr>
        <w:t>根据</w:t>
      </w:r>
      <w:r>
        <w:rPr>
          <w:rFonts w:ascii="Times New Roman" w:hAnsi="Times New Roman" w:eastAsia="宋体" w:cs="Times New Roman"/>
          <w:sz w:val="24"/>
          <w:szCs w:val="24"/>
          <w:highlight w:val="none"/>
          <w:lang w:val="en-US" w:eastAsia="zh-CN" w:bidi="ar-SA"/>
        </w:rPr>
        <w:t>服务实例路由的计算结果，将指令通过HTTP接口发送给控制服务。对于同批次发送的指令包,其中不再包括逻辑含指令间的逻辑处理关系,控制服务在接收和执行这些指令时,只需要考虑顺序和优先级。</w:t>
      </w:r>
    </w:p>
    <w:p w14:paraId="7A2ED549">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指令派发时要考虑虚指令集的优先级、以及控制服务的负载均衡、服务熔断等情况。</w:t>
      </w:r>
      <w:bookmarkStart w:id="822" w:name="_Toc15965"/>
    </w:p>
    <w:p w14:paraId="08989023">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23" w:name="_Toc26515901"/>
      <w:bookmarkStart w:id="824" w:name="_Toc37607027"/>
      <w:r>
        <w:rPr>
          <w:rFonts w:ascii="Times New Roman" w:hAnsi="Times New Roman" w:eastAsia="宋体" w:cs="Times New Roman"/>
          <w:b/>
          <w:bCs/>
          <w:sz w:val="24"/>
          <w:szCs w:val="28"/>
          <w:highlight w:val="none"/>
          <w:lang w:val="en-US" w:eastAsia="zh-CN" w:bidi="ar-SA"/>
        </w:rPr>
        <w:t>控制</w:t>
      </w:r>
      <w:r>
        <w:rPr>
          <w:rFonts w:hint="eastAsia" w:ascii="Times New Roman" w:hAnsi="Times New Roman" w:eastAsia="宋体" w:cs="Times New Roman"/>
          <w:b/>
          <w:bCs/>
          <w:sz w:val="24"/>
          <w:szCs w:val="28"/>
          <w:highlight w:val="none"/>
          <w:lang w:val="en-US" w:eastAsia="zh-CN" w:bidi="ar-SA"/>
        </w:rPr>
        <w:t>结果</w:t>
      </w:r>
      <w:r>
        <w:rPr>
          <w:rFonts w:ascii="Times New Roman" w:hAnsi="Times New Roman" w:eastAsia="宋体" w:cs="Times New Roman"/>
          <w:b/>
          <w:bCs/>
          <w:sz w:val="24"/>
          <w:szCs w:val="28"/>
          <w:highlight w:val="none"/>
          <w:lang w:val="en-US" w:eastAsia="zh-CN" w:bidi="ar-SA"/>
        </w:rPr>
        <w:t>处理</w:t>
      </w:r>
      <w:bookmarkEnd w:id="822"/>
      <w:bookmarkEnd w:id="823"/>
      <w:bookmarkEnd w:id="824"/>
    </w:p>
    <w:p w14:paraId="2FFCAC2C">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结果分析</w:t>
      </w:r>
    </w:p>
    <w:p w14:paraId="0352D247">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框架接收控制服务对整个实指令包多条指令执行结果，并对本批次的结果进行封装转换，封装成API接口定义的格式。</w:t>
      </w:r>
    </w:p>
    <w:p w14:paraId="56674B8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异常处理</w:t>
      </w:r>
    </w:p>
    <w:p w14:paraId="7A8F550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处理指令执行异常情况，根据预置规则实现即实现API服务内部的回滚匹配处理，即根据回滚规则，在指令异常后自动发起回滚指令。</w:t>
      </w:r>
    </w:p>
    <w:p w14:paraId="715E2774">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25" w:name="_Toc11362"/>
      <w:r>
        <w:rPr>
          <w:rFonts w:ascii="Times New Roman" w:hAnsi="Times New Roman" w:eastAsia="宋体" w:cs="Times New Roman"/>
          <w:b/>
          <w:bCs/>
          <w:sz w:val="24"/>
          <w:szCs w:val="28"/>
          <w:highlight w:val="none"/>
          <w:lang w:val="en-US" w:eastAsia="zh-CN" w:bidi="ar-SA"/>
        </w:rPr>
        <w:t>操作服务返回</w:t>
      </w:r>
    </w:p>
    <w:p w14:paraId="1BA09E5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根据API服务接口定义的返回格式，将封装好的返回消息，通过调用服务请求中传递的回调地址，完成操作结果的返回。</w:t>
      </w:r>
    </w:p>
    <w:p w14:paraId="07625E3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bookmarkStart w:id="826" w:name="_Toc37607028"/>
      <w:bookmarkStart w:id="827" w:name="_Toc26515902"/>
      <w:r>
        <w:rPr>
          <w:rFonts w:hint="eastAsia" w:ascii="Times New Roman" w:hAnsi="Times New Roman" w:eastAsia="宋体" w:cs="Times New Roman"/>
          <w:b/>
          <w:bCs/>
          <w:sz w:val="24"/>
          <w:szCs w:val="28"/>
          <w:highlight w:val="none"/>
          <w:lang w:val="en-US" w:eastAsia="zh-CN" w:bidi="ar-SA"/>
        </w:rPr>
        <w:t>控制过程</w:t>
      </w:r>
      <w:r>
        <w:rPr>
          <w:rFonts w:ascii="Times New Roman" w:hAnsi="Times New Roman" w:eastAsia="宋体" w:cs="Times New Roman"/>
          <w:b/>
          <w:bCs/>
          <w:sz w:val="24"/>
          <w:szCs w:val="28"/>
          <w:highlight w:val="none"/>
          <w:lang w:val="en-US" w:eastAsia="zh-CN" w:bidi="ar-SA"/>
        </w:rPr>
        <w:t>管理</w:t>
      </w:r>
      <w:bookmarkEnd w:id="825"/>
      <w:bookmarkEnd w:id="826"/>
      <w:bookmarkEnd w:id="827"/>
    </w:p>
    <w:p w14:paraId="4C5A1CE9">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控制过程管理（</w:t>
      </w:r>
      <w:r>
        <w:rPr>
          <w:rFonts w:ascii="Times New Roman" w:hAnsi="Times New Roman" w:eastAsia="宋体" w:cs="Times New Roman"/>
          <w:sz w:val="24"/>
          <w:szCs w:val="24"/>
          <w:highlight w:val="none"/>
          <w:lang w:val="en-US" w:eastAsia="zh-CN" w:bidi="ar-SA"/>
        </w:rPr>
        <w:t>监控管理</w:t>
      </w:r>
      <w:r>
        <w:rPr>
          <w:rFonts w:hint="eastAsia" w:ascii="Times New Roman" w:hAnsi="Times New Roman" w:eastAsia="宋体" w:cs="Times New Roman"/>
          <w:sz w:val="24"/>
          <w:szCs w:val="24"/>
          <w:highlight w:val="none"/>
          <w:lang w:val="en-US" w:eastAsia="zh-CN" w:bidi="ar-SA"/>
        </w:rPr>
        <w:t>）</w:t>
      </w:r>
      <w:r>
        <w:rPr>
          <w:rFonts w:ascii="Times New Roman" w:hAnsi="Times New Roman" w:eastAsia="宋体" w:cs="Times New Roman"/>
          <w:sz w:val="24"/>
          <w:szCs w:val="24"/>
          <w:highlight w:val="none"/>
          <w:lang w:val="en-US" w:eastAsia="zh-CN" w:bidi="ar-SA"/>
        </w:rPr>
        <w:t>功能模块主要包含服务状态监控、日志监控等。提供各类监控的配置管理、统一展示、查询分析、告警等功能。</w:t>
      </w:r>
    </w:p>
    <w:p w14:paraId="3BF01ECE">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服务状态监控</w:t>
      </w:r>
    </w:p>
    <w:p w14:paraId="1432FBF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服务状态监控包括网元状态和控制服务实例状态两方面。一方面按需监控实际的网络连接状态，并提供稳定性分析、相关告警能力。</w:t>
      </w:r>
    </w:p>
    <w:p w14:paraId="6F734C7A">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API监控</w:t>
      </w:r>
    </w:p>
    <w:p w14:paraId="12B13AE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实现对开放的服务能力API执行情况进行监控。</w:t>
      </w:r>
    </w:p>
    <w:p w14:paraId="36A5C036">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日志监控</w:t>
      </w:r>
    </w:p>
    <w:p w14:paraId="77CBF87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日志监控功能模块监管系统日志和业务日志，同时可按需提供相关查询、告警能力。</w:t>
      </w:r>
    </w:p>
    <w:p w14:paraId="138FFBF4">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异常监控</w:t>
      </w:r>
    </w:p>
    <w:p w14:paraId="18B8FDD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对提供异常处理能力，包括网元连接异常、指令转换异常、指令执行异常、网元下发异常、结果分析异常等。</w:t>
      </w:r>
    </w:p>
    <w:p w14:paraId="5BB04A8A">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bookmarkStart w:id="828" w:name="_Toc26654"/>
      <w:r>
        <w:rPr>
          <w:rFonts w:hint="eastAsia" w:ascii="Times New Roman" w:hAnsi="Times New Roman" w:eastAsia="宋体" w:cs="Times New Roman"/>
          <w:b/>
          <w:bCs/>
          <w:sz w:val="24"/>
          <w:szCs w:val="28"/>
          <w:highlight w:val="none"/>
          <w:lang w:val="en-US" w:eastAsia="zh-CN" w:bidi="ar-SA"/>
        </w:rPr>
        <w:t>流量控制</w:t>
      </w:r>
      <w:bookmarkEnd w:id="828"/>
    </w:p>
    <w:p w14:paraId="7A8B0D45">
      <w:pPr>
        <w:widowControl/>
        <w:spacing w:line="360" w:lineRule="auto"/>
        <w:ind w:firstLine="420" w:firstLineChars="0"/>
        <w:jc w:val="left"/>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1.工单队列拆分功能开发</w:t>
      </w:r>
    </w:p>
    <w:p w14:paraId="2B13D3C6">
      <w:pPr>
        <w:widowControl/>
        <w:spacing w:line="360" w:lineRule="auto"/>
        <w:ind w:firstLine="420" w:firstLineChars="0"/>
        <w:jc w:val="left"/>
        <w:rPr>
          <w:rFonts w:hint="eastAsia" w:ascii="宋体" w:hAnsi="宋体" w:eastAsia="宋体" w:cs="宋体"/>
          <w:kern w:val="0"/>
          <w:sz w:val="24"/>
          <w:highlight w:val="none"/>
        </w:rPr>
      </w:pPr>
      <w:r>
        <w:rPr>
          <w:rFonts w:hint="eastAsia" w:ascii="宋体" w:hAnsi="宋体" w:eastAsia="宋体" w:cs="宋体"/>
          <w:kern w:val="0"/>
          <w:sz w:val="24"/>
          <w:highlight w:val="none"/>
        </w:rPr>
        <w:t>提供工单队列配置功能，能够根据业务或者网元类型将工单入不同的队列</w:t>
      </w:r>
    </w:p>
    <w:p w14:paraId="42BCA735">
      <w:pPr>
        <w:widowControl/>
        <w:spacing w:line="360" w:lineRule="auto"/>
        <w:ind w:firstLine="420" w:firstLineChars="0"/>
        <w:jc w:val="left"/>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2.队列优先级配置功能开发</w:t>
      </w:r>
    </w:p>
    <w:p w14:paraId="7C083B8C">
      <w:pPr>
        <w:widowControl/>
        <w:spacing w:line="360" w:lineRule="auto"/>
        <w:ind w:firstLine="420" w:firstLineChars="0"/>
        <w:jc w:val="left"/>
        <w:rPr>
          <w:rFonts w:hint="eastAsia" w:ascii="宋体" w:hAnsi="宋体" w:eastAsia="宋体" w:cs="宋体"/>
          <w:kern w:val="0"/>
          <w:sz w:val="24"/>
          <w:highlight w:val="none"/>
        </w:rPr>
      </w:pPr>
      <w:r>
        <w:rPr>
          <w:rFonts w:hint="eastAsia" w:ascii="宋体" w:hAnsi="宋体" w:eastAsia="宋体" w:cs="宋体"/>
          <w:kern w:val="0"/>
          <w:sz w:val="24"/>
          <w:highlight w:val="none"/>
        </w:rPr>
        <w:t>根据业务缓急程度来配置队列优先级，确定做单优先级</w:t>
      </w:r>
    </w:p>
    <w:p w14:paraId="1F7B23E3">
      <w:pPr>
        <w:widowControl/>
        <w:spacing w:line="360" w:lineRule="auto"/>
        <w:ind w:firstLine="420" w:firstLineChars="0"/>
        <w:jc w:val="left"/>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3.工单优先级页面及后台逻辑开发</w:t>
      </w:r>
    </w:p>
    <w:p w14:paraId="373894B7">
      <w:pPr>
        <w:widowControl/>
        <w:spacing w:line="360" w:lineRule="auto"/>
        <w:ind w:firstLine="420" w:firstLineChars="0"/>
        <w:jc w:val="left"/>
        <w:rPr>
          <w:rFonts w:hint="eastAsia" w:ascii="宋体" w:hAnsi="宋体" w:eastAsia="宋体" w:cs="宋体"/>
          <w:kern w:val="0"/>
          <w:sz w:val="24"/>
          <w:highlight w:val="none"/>
        </w:rPr>
      </w:pPr>
      <w:r>
        <w:rPr>
          <w:rFonts w:hint="eastAsia" w:ascii="宋体" w:hAnsi="宋体" w:eastAsia="宋体" w:cs="宋体"/>
          <w:kern w:val="0"/>
          <w:sz w:val="24"/>
          <w:highlight w:val="none"/>
        </w:rPr>
        <w:t>对统一网元的工单，提供工单优先级功能，高优先级先执行</w:t>
      </w:r>
    </w:p>
    <w:p w14:paraId="57AA033E">
      <w:pPr>
        <w:widowControl/>
        <w:spacing w:line="360" w:lineRule="auto"/>
        <w:ind w:firstLine="420" w:firstLineChars="0"/>
        <w:jc w:val="left"/>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4.队列消费速率配置功能开发</w:t>
      </w:r>
    </w:p>
    <w:p w14:paraId="5CFC7402">
      <w:pPr>
        <w:widowControl/>
        <w:spacing w:line="360" w:lineRule="auto"/>
        <w:ind w:firstLine="420" w:firstLineChars="0"/>
        <w:jc w:val="left"/>
        <w:rPr>
          <w:rFonts w:hint="eastAsia" w:ascii="宋体" w:hAnsi="宋体" w:eastAsia="宋体" w:cs="宋体"/>
          <w:kern w:val="0"/>
          <w:sz w:val="24"/>
          <w:highlight w:val="none"/>
        </w:rPr>
      </w:pPr>
      <w:r>
        <w:rPr>
          <w:rFonts w:hint="eastAsia" w:ascii="宋体" w:hAnsi="宋体" w:eastAsia="宋体" w:cs="宋体"/>
          <w:kern w:val="0"/>
          <w:sz w:val="24"/>
          <w:highlight w:val="none"/>
        </w:rPr>
        <w:t>提供手动配置队列消费速率功能，能够动态控制流量</w:t>
      </w:r>
    </w:p>
    <w:p w14:paraId="2C06F3CC">
      <w:pPr>
        <w:widowControl/>
        <w:spacing w:line="360" w:lineRule="auto"/>
        <w:ind w:firstLine="420" w:firstLineChars="0"/>
        <w:jc w:val="left"/>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5.插件连接网元失败重试机制开发</w:t>
      </w:r>
    </w:p>
    <w:p w14:paraId="2270DF8F">
      <w:pPr>
        <w:widowControl/>
        <w:spacing w:line="360" w:lineRule="auto"/>
        <w:ind w:firstLine="420" w:firstLineChars="0"/>
        <w:jc w:val="left"/>
        <w:rPr>
          <w:rFonts w:hint="eastAsia" w:ascii="宋体" w:hAnsi="宋体" w:eastAsia="宋体" w:cs="宋体"/>
          <w:kern w:val="0"/>
          <w:sz w:val="24"/>
          <w:highlight w:val="none"/>
        </w:rPr>
      </w:pPr>
      <w:r>
        <w:rPr>
          <w:rFonts w:hint="eastAsia" w:ascii="宋体" w:hAnsi="宋体" w:eastAsia="宋体" w:cs="宋体"/>
          <w:kern w:val="0"/>
          <w:sz w:val="24"/>
          <w:highlight w:val="none"/>
        </w:rPr>
        <w:t>在批量单来的时候，针对网元性能问题，若插件连不上网元时，可以将工单保留，一段时间后尝试重做</w:t>
      </w:r>
    </w:p>
    <w:p w14:paraId="5616555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bookmarkStart w:id="829" w:name="_Toc20884"/>
      <w:r>
        <w:rPr>
          <w:rFonts w:hint="eastAsia" w:ascii="Times New Roman" w:hAnsi="Times New Roman" w:eastAsia="宋体" w:cs="Times New Roman"/>
          <w:b/>
          <w:bCs/>
          <w:sz w:val="24"/>
          <w:szCs w:val="28"/>
          <w:highlight w:val="none"/>
          <w:lang w:val="en-US" w:eastAsia="zh-CN" w:bidi="ar-SA"/>
        </w:rPr>
        <w:t>控制监控</w:t>
      </w:r>
      <w:bookmarkEnd w:id="829"/>
    </w:p>
    <w:p w14:paraId="0A309271">
      <w:pPr>
        <w:spacing w:line="360" w:lineRule="auto"/>
        <w:ind w:firstLine="420" w:firstLineChars="0"/>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1.请求记录</w:t>
      </w:r>
    </w:p>
    <w:p w14:paraId="6F02DA96">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请求记录页面优化：控制监控请求记录页面优化</w:t>
      </w:r>
    </w:p>
    <w:p w14:paraId="05129CB8">
      <w:pPr>
        <w:spacing w:line="360" w:lineRule="auto"/>
        <w:ind w:firstLine="420" w:firstLineChars="0"/>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2.网元管理主备参数配置</w:t>
      </w:r>
    </w:p>
    <w:p w14:paraId="71A1D7C1">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网元管理主备参数配置：对网元能够配置主备参数，在主网元发生异常时通过切换备参数切换到备网元</w:t>
      </w:r>
    </w:p>
    <w:p w14:paraId="63F1E68A">
      <w:pPr>
        <w:spacing w:line="360" w:lineRule="auto"/>
        <w:ind w:firstLine="420" w:firstLineChars="0"/>
        <w:outlineLvl w:val="5"/>
        <w:rPr>
          <w:rFonts w:hint="eastAsia" w:ascii="宋体" w:hAnsi="宋体" w:eastAsia="宋体" w:cs="宋体"/>
          <w:kern w:val="0"/>
          <w:sz w:val="24"/>
          <w:highlight w:val="none"/>
        </w:rPr>
      </w:pPr>
      <w:r>
        <w:rPr>
          <w:rFonts w:hint="eastAsia" w:ascii="宋体" w:hAnsi="宋体" w:eastAsia="宋体" w:cs="宋体"/>
          <w:kern w:val="0"/>
          <w:sz w:val="24"/>
          <w:highlight w:val="none"/>
        </w:rPr>
        <w:t>3.网管管理主备参数切换</w:t>
      </w:r>
    </w:p>
    <w:p w14:paraId="5B039CD6">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网管管理主备参数切换：能够在网元发生异常时通知主备参数的切换，保障网元正常运行</w:t>
      </w:r>
    </w:p>
    <w:p w14:paraId="69B2C0F6">
      <w:pPr>
        <w:numPr>
          <w:ilvl w:val="0"/>
          <w:numId w:val="40"/>
        </w:numPr>
        <w:spacing w:line="360" w:lineRule="auto"/>
        <w:ind w:firstLine="420" w:firstLineChars="0"/>
        <w:outlineLvl w:val="6"/>
        <w:rPr>
          <w:rFonts w:hint="eastAsia" w:ascii="宋体" w:hAnsi="宋体" w:eastAsia="宋体" w:cs="宋体"/>
          <w:kern w:val="0"/>
          <w:sz w:val="24"/>
          <w:highlight w:val="none"/>
        </w:rPr>
      </w:pPr>
      <w:r>
        <w:rPr>
          <w:rFonts w:hint="eastAsia" w:ascii="宋体" w:hAnsi="宋体" w:eastAsia="宋体" w:cs="宋体"/>
          <w:kern w:val="0"/>
          <w:sz w:val="24"/>
          <w:highlight w:val="none"/>
        </w:rPr>
        <w:t>日志抽取功能</w:t>
      </w:r>
    </w:p>
    <w:p w14:paraId="130CBBE2">
      <w:pPr>
        <w:spacing w:line="360" w:lineRule="auto"/>
        <w:ind w:left="42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对生产日志按照类型，POD进行抽取</w:t>
      </w:r>
    </w:p>
    <w:p w14:paraId="1AE82CB6">
      <w:pPr>
        <w:numPr>
          <w:ilvl w:val="0"/>
          <w:numId w:val="40"/>
        </w:numPr>
        <w:spacing w:line="360" w:lineRule="auto"/>
        <w:ind w:firstLine="420" w:firstLineChars="0"/>
        <w:outlineLvl w:val="6"/>
        <w:rPr>
          <w:rFonts w:hint="eastAsia" w:ascii="宋体" w:hAnsi="宋体" w:eastAsia="宋体" w:cs="宋体"/>
          <w:kern w:val="0"/>
          <w:sz w:val="24"/>
          <w:highlight w:val="none"/>
        </w:rPr>
      </w:pPr>
      <w:r>
        <w:rPr>
          <w:rFonts w:hint="eastAsia" w:ascii="宋体" w:hAnsi="宋体" w:eastAsia="宋体" w:cs="宋体"/>
          <w:kern w:val="0"/>
          <w:sz w:val="24"/>
          <w:highlight w:val="none"/>
        </w:rPr>
        <w:t>日志查询功能</w:t>
      </w:r>
    </w:p>
    <w:p w14:paraId="143EE596">
      <w:pPr>
        <w:spacing w:line="360" w:lineRule="auto"/>
        <w:ind w:left="42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提供可视化页面和筛选对存储的日志进行清理</w:t>
      </w:r>
    </w:p>
    <w:p w14:paraId="40582349">
      <w:pPr>
        <w:numPr>
          <w:ilvl w:val="0"/>
          <w:numId w:val="40"/>
        </w:numPr>
        <w:spacing w:line="360" w:lineRule="auto"/>
        <w:ind w:firstLine="420" w:firstLineChars="0"/>
        <w:outlineLvl w:val="6"/>
        <w:rPr>
          <w:rFonts w:hint="eastAsia" w:ascii="宋体" w:hAnsi="宋体" w:eastAsia="宋体" w:cs="宋体"/>
          <w:kern w:val="0"/>
          <w:sz w:val="24"/>
          <w:highlight w:val="none"/>
        </w:rPr>
      </w:pPr>
      <w:r>
        <w:rPr>
          <w:rFonts w:hint="eastAsia" w:ascii="宋体" w:hAnsi="宋体" w:eastAsia="宋体" w:cs="宋体"/>
          <w:kern w:val="0"/>
          <w:sz w:val="24"/>
          <w:highlight w:val="none"/>
        </w:rPr>
        <w:t>日志下载功能</w:t>
      </w:r>
    </w:p>
    <w:p w14:paraId="6E2A76A3">
      <w:pPr>
        <w:spacing w:line="360" w:lineRule="auto"/>
        <w:ind w:left="42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日志的下载与导出</w:t>
      </w:r>
    </w:p>
    <w:p w14:paraId="410A5302">
      <w:pPr>
        <w:numPr>
          <w:ilvl w:val="0"/>
          <w:numId w:val="40"/>
        </w:numPr>
        <w:spacing w:line="360" w:lineRule="auto"/>
        <w:ind w:firstLine="420" w:firstLineChars="0"/>
        <w:outlineLvl w:val="6"/>
        <w:rPr>
          <w:rFonts w:hint="eastAsia" w:ascii="宋体" w:hAnsi="宋体" w:eastAsia="宋体" w:cs="宋体"/>
          <w:kern w:val="0"/>
          <w:sz w:val="24"/>
          <w:highlight w:val="none"/>
        </w:rPr>
      </w:pPr>
      <w:r>
        <w:rPr>
          <w:rFonts w:hint="eastAsia" w:ascii="宋体" w:hAnsi="宋体" w:eastAsia="宋体" w:cs="宋体"/>
          <w:kern w:val="0"/>
          <w:sz w:val="24"/>
          <w:highlight w:val="none"/>
        </w:rPr>
        <w:t>日志管理功能</w:t>
      </w:r>
    </w:p>
    <w:p w14:paraId="195B4DA8">
      <w:pPr>
        <w:spacing w:line="360" w:lineRule="auto"/>
        <w:ind w:left="42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日志的存储和清理等管理功能</w:t>
      </w:r>
    </w:p>
    <w:p w14:paraId="1B6E9B6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bookmarkStart w:id="830" w:name="_Toc14097"/>
      <w:r>
        <w:rPr>
          <w:rFonts w:hint="eastAsia" w:ascii="Times New Roman" w:hAnsi="Times New Roman" w:eastAsia="宋体" w:cs="Times New Roman"/>
          <w:b/>
          <w:bCs/>
          <w:sz w:val="24"/>
          <w:szCs w:val="28"/>
          <w:highlight w:val="none"/>
          <w:lang w:val="en-US" w:eastAsia="zh-CN" w:bidi="ar-SA"/>
        </w:rPr>
        <w:t>异常处理</w:t>
      </w:r>
      <w:bookmarkEnd w:id="830"/>
    </w:p>
    <w:p w14:paraId="62AC1860">
      <w:pPr>
        <w:keepNext/>
        <w:keepLines/>
        <w:widowControl w:val="0"/>
        <w:numPr>
          <w:ilvl w:val="5"/>
          <w:numId w:val="31"/>
        </w:numPr>
        <w:spacing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ES异常处理</w:t>
      </w:r>
    </w:p>
    <w:p w14:paraId="1DAD4627">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当程序连接ES出现异常时生成告警，并进行异常处理</w:t>
      </w:r>
    </w:p>
    <w:p w14:paraId="326CA3FB">
      <w:pPr>
        <w:keepNext/>
        <w:keepLines/>
        <w:widowControl w:val="0"/>
        <w:numPr>
          <w:ilvl w:val="5"/>
          <w:numId w:val="31"/>
        </w:numPr>
        <w:spacing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MQ异常处理</w:t>
      </w:r>
    </w:p>
    <w:p w14:paraId="1BE9E3B2">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当程序连接MQ出现异常时生成告警，并关闭对MQ的操作，等MQ故障处理完毕时支持恢复对MQ的操作</w:t>
      </w:r>
    </w:p>
    <w:p w14:paraId="65845528">
      <w:pPr>
        <w:keepNext/>
        <w:keepLines/>
        <w:widowControl w:val="0"/>
        <w:numPr>
          <w:ilvl w:val="5"/>
          <w:numId w:val="31"/>
        </w:numPr>
        <w:spacing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CTG-CACHE异常处理</w:t>
      </w:r>
    </w:p>
    <w:p w14:paraId="56A0016F">
      <w:pPr>
        <w:spacing w:line="360" w:lineRule="auto"/>
        <w:ind w:left="420" w:leftChars="20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当程序连接CTG-CACHE出现异常时生成告警，并进行异常处理</w:t>
      </w:r>
    </w:p>
    <w:p w14:paraId="31DD1DF9">
      <w:pPr>
        <w:keepNext/>
        <w:keepLines/>
        <w:widowControl w:val="0"/>
        <w:numPr>
          <w:ilvl w:val="5"/>
          <w:numId w:val="31"/>
        </w:numPr>
        <w:spacing w:line="360" w:lineRule="auto"/>
        <w:ind w:left="602" w:hanging="602" w:hangingChars="250"/>
        <w:jc w:val="both"/>
        <w:outlineLvl w:val="5"/>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KAFKA异常处理</w:t>
      </w:r>
    </w:p>
    <w:p w14:paraId="36583B8D">
      <w:pPr>
        <w:spacing w:line="360" w:lineRule="auto"/>
        <w:ind w:left="420" w:leftChars="200" w:firstLine="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当程序连接KAFKA出现异常时生成告警，并进行异常处理</w:t>
      </w:r>
    </w:p>
    <w:p w14:paraId="650DC042">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bookmarkStart w:id="831" w:name="_Toc8428"/>
      <w:r>
        <w:rPr>
          <w:rFonts w:hint="eastAsia" w:ascii="Times New Roman" w:hAnsi="Times New Roman" w:eastAsia="宋体" w:cs="Times New Roman"/>
          <w:b/>
          <w:bCs/>
          <w:sz w:val="24"/>
          <w:szCs w:val="28"/>
          <w:highlight w:val="none"/>
          <w:lang w:val="en-US" w:eastAsia="zh-CN" w:bidi="ar-SA"/>
        </w:rPr>
        <w:t>运维监控首页</w:t>
      </w:r>
      <w:bookmarkEnd w:id="831"/>
    </w:p>
    <w:p w14:paraId="2B72908E">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提供对采集、控制框架及服务网元连接失败、网元鉴权失败、服务调用失败、长时间无告警上报、数据生成超时、PAAS组件告警等的监控并提供短信告警能力；</w:t>
      </w:r>
    </w:p>
    <w:p w14:paraId="326050C6">
      <w:pPr>
        <w:keepNext/>
        <w:keepLines/>
        <w:widowControl w:val="0"/>
        <w:numPr>
          <w:ilvl w:val="3"/>
          <w:numId w:val="31"/>
        </w:numPr>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32" w:name="_Toc17363"/>
      <w:bookmarkStart w:id="833" w:name="_Toc5358"/>
      <w:bookmarkStart w:id="834" w:name="_Toc29936"/>
      <w:bookmarkStart w:id="835" w:name="_Toc1068"/>
      <w:bookmarkStart w:id="836" w:name="_Toc50324783"/>
      <w:bookmarkStart w:id="837" w:name="_Toc16532"/>
      <w:r>
        <w:rPr>
          <w:rFonts w:hint="eastAsia" w:ascii="Times New Roman" w:hAnsi="Times New Roman" w:eastAsia="宋体" w:cs="Times New Roman"/>
          <w:b/>
          <w:bCs/>
          <w:sz w:val="24"/>
          <w:szCs w:val="28"/>
          <w:highlight w:val="none"/>
          <w:lang w:val="en-US" w:eastAsia="zh-CN" w:bidi="ar-SA"/>
        </w:rPr>
        <w:t>控制服务</w:t>
      </w:r>
      <w:bookmarkEnd w:id="832"/>
      <w:bookmarkEnd w:id="833"/>
      <w:bookmarkEnd w:id="834"/>
      <w:bookmarkEnd w:id="835"/>
      <w:bookmarkEnd w:id="836"/>
      <w:bookmarkEnd w:id="837"/>
    </w:p>
    <w:p w14:paraId="30C535F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控制</w:t>
      </w:r>
      <w:r>
        <w:rPr>
          <w:rFonts w:hint="eastAsia" w:ascii="Times New Roman" w:hAnsi="Times New Roman" w:eastAsia="宋体" w:cs="Times New Roman"/>
          <w:spacing w:val="-3"/>
          <w:sz w:val="24"/>
          <w:szCs w:val="24"/>
          <w:highlight w:val="none"/>
          <w:lang w:val="en-US" w:eastAsia="zh-CN" w:bidi="ar-SA"/>
        </w:rPr>
        <w:t>服</w:t>
      </w:r>
      <w:r>
        <w:rPr>
          <w:rFonts w:hint="eastAsia" w:ascii="Times New Roman" w:hAnsi="Times New Roman" w:eastAsia="宋体" w:cs="Times New Roman"/>
          <w:sz w:val="24"/>
          <w:szCs w:val="24"/>
          <w:highlight w:val="none"/>
          <w:lang w:val="en-US" w:eastAsia="zh-CN" w:bidi="ar-SA"/>
        </w:rPr>
        <w:t>务</w:t>
      </w:r>
      <w:r>
        <w:rPr>
          <w:rFonts w:hint="eastAsia" w:ascii="Times New Roman" w:hAnsi="Times New Roman" w:eastAsia="宋体" w:cs="Times New Roman"/>
          <w:spacing w:val="-3"/>
          <w:sz w:val="24"/>
          <w:szCs w:val="24"/>
          <w:highlight w:val="none"/>
          <w:lang w:val="en-US" w:eastAsia="zh-CN" w:bidi="ar-SA"/>
        </w:rPr>
        <w:t>可以</w:t>
      </w:r>
      <w:r>
        <w:rPr>
          <w:rFonts w:hint="eastAsia" w:ascii="Times New Roman" w:hAnsi="Times New Roman" w:eastAsia="宋体" w:cs="Times New Roman"/>
          <w:sz w:val="24"/>
          <w:szCs w:val="24"/>
          <w:highlight w:val="none"/>
          <w:lang w:val="en-US" w:eastAsia="zh-CN" w:bidi="ar-SA"/>
        </w:rPr>
        <w:t>按MM</w:t>
      </w:r>
      <w:r>
        <w:rPr>
          <w:rFonts w:hint="eastAsia" w:ascii="Times New Roman" w:hAnsi="Times New Roman" w:eastAsia="宋体" w:cs="Times New Roman"/>
          <w:spacing w:val="-2"/>
          <w:sz w:val="24"/>
          <w:szCs w:val="24"/>
          <w:highlight w:val="none"/>
          <w:lang w:val="en-US" w:eastAsia="zh-CN" w:bidi="ar-SA"/>
        </w:rPr>
        <w:t>L</w:t>
      </w:r>
      <w:r>
        <w:rPr>
          <w:rFonts w:hint="eastAsia" w:ascii="Times New Roman" w:hAnsi="Times New Roman" w:eastAsia="宋体" w:cs="Times New Roman"/>
          <w:sz w:val="24"/>
          <w:szCs w:val="24"/>
          <w:highlight w:val="none"/>
          <w:lang w:val="en-US" w:eastAsia="zh-CN" w:bidi="ar-SA"/>
        </w:rPr>
        <w:t>、S</w:t>
      </w:r>
      <w:r>
        <w:rPr>
          <w:rFonts w:hint="eastAsia" w:ascii="Times New Roman" w:hAnsi="Times New Roman" w:eastAsia="宋体" w:cs="Times New Roman"/>
          <w:spacing w:val="-3"/>
          <w:sz w:val="24"/>
          <w:szCs w:val="24"/>
          <w:highlight w:val="none"/>
          <w:lang w:val="en-US" w:eastAsia="zh-CN" w:bidi="ar-SA"/>
        </w:rPr>
        <w:t>SH</w:t>
      </w:r>
      <w:r>
        <w:rPr>
          <w:rFonts w:hint="eastAsia" w:ascii="Times New Roman" w:hAnsi="Times New Roman" w:eastAsia="宋体" w:cs="Times New Roman"/>
          <w:sz w:val="24"/>
          <w:szCs w:val="24"/>
          <w:highlight w:val="none"/>
          <w:lang w:val="en-US" w:eastAsia="zh-CN" w:bidi="ar-SA"/>
        </w:rPr>
        <w:t>、TEL</w:t>
      </w:r>
      <w:r>
        <w:rPr>
          <w:rFonts w:hint="eastAsia" w:ascii="Times New Roman" w:hAnsi="Times New Roman" w:eastAsia="宋体" w:cs="Times New Roman"/>
          <w:spacing w:val="-3"/>
          <w:sz w:val="24"/>
          <w:szCs w:val="24"/>
          <w:highlight w:val="none"/>
          <w:lang w:val="en-US" w:eastAsia="zh-CN" w:bidi="ar-SA"/>
        </w:rPr>
        <w:t>N</w:t>
      </w:r>
      <w:r>
        <w:rPr>
          <w:rFonts w:hint="eastAsia" w:ascii="Times New Roman" w:hAnsi="Times New Roman" w:eastAsia="宋体" w:cs="Times New Roman"/>
          <w:sz w:val="24"/>
          <w:szCs w:val="24"/>
          <w:highlight w:val="none"/>
          <w:lang w:val="en-US" w:eastAsia="zh-CN" w:bidi="ar-SA"/>
        </w:rPr>
        <w:t>E</w:t>
      </w:r>
      <w:r>
        <w:rPr>
          <w:rFonts w:hint="eastAsia" w:ascii="Times New Roman" w:hAnsi="Times New Roman" w:eastAsia="宋体" w:cs="Times New Roman"/>
          <w:spacing w:val="-1"/>
          <w:sz w:val="24"/>
          <w:szCs w:val="24"/>
          <w:highlight w:val="none"/>
          <w:lang w:val="en-US" w:eastAsia="zh-CN" w:bidi="ar-SA"/>
        </w:rPr>
        <w:t>T</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NET</w:t>
      </w:r>
      <w:r>
        <w:rPr>
          <w:rFonts w:hint="eastAsia" w:ascii="Times New Roman" w:hAnsi="Times New Roman" w:eastAsia="宋体" w:cs="Times New Roman"/>
          <w:spacing w:val="-3"/>
          <w:sz w:val="24"/>
          <w:szCs w:val="24"/>
          <w:highlight w:val="none"/>
          <w:lang w:val="en-US" w:eastAsia="zh-CN" w:bidi="ar-SA"/>
        </w:rPr>
        <w:t>C</w:t>
      </w:r>
      <w:r>
        <w:rPr>
          <w:rFonts w:hint="eastAsia" w:ascii="Times New Roman" w:hAnsi="Times New Roman" w:eastAsia="宋体" w:cs="Times New Roman"/>
          <w:sz w:val="24"/>
          <w:szCs w:val="24"/>
          <w:highlight w:val="none"/>
          <w:lang w:val="en-US" w:eastAsia="zh-CN" w:bidi="ar-SA"/>
        </w:rPr>
        <w:t>ON</w:t>
      </w:r>
      <w:r>
        <w:rPr>
          <w:rFonts w:hint="eastAsia" w:ascii="Times New Roman" w:hAnsi="Times New Roman" w:eastAsia="宋体" w:cs="Times New Roman"/>
          <w:spacing w:val="-3"/>
          <w:sz w:val="24"/>
          <w:szCs w:val="24"/>
          <w:highlight w:val="none"/>
          <w:lang w:val="en-US" w:eastAsia="zh-CN" w:bidi="ar-SA"/>
        </w:rPr>
        <w:t>F</w:t>
      </w:r>
      <w:r>
        <w:rPr>
          <w:rFonts w:hint="eastAsia" w:ascii="Times New Roman" w:hAnsi="Times New Roman" w:eastAsia="宋体" w:cs="Times New Roman"/>
          <w:sz w:val="24"/>
          <w:szCs w:val="24"/>
          <w:highlight w:val="none"/>
          <w:lang w:val="en-US" w:eastAsia="zh-CN" w:bidi="ar-SA"/>
        </w:rPr>
        <w:t>、RE</w:t>
      </w:r>
      <w:r>
        <w:rPr>
          <w:rFonts w:hint="eastAsia" w:ascii="Times New Roman" w:hAnsi="Times New Roman" w:eastAsia="宋体" w:cs="Times New Roman"/>
          <w:spacing w:val="-3"/>
          <w:sz w:val="24"/>
          <w:szCs w:val="24"/>
          <w:highlight w:val="none"/>
          <w:lang w:val="en-US" w:eastAsia="zh-CN" w:bidi="ar-SA"/>
        </w:rPr>
        <w:t>ST</w:t>
      </w:r>
      <w:r>
        <w:rPr>
          <w:rFonts w:hint="eastAsia" w:ascii="Times New Roman" w:hAnsi="Times New Roman" w:eastAsia="宋体" w:cs="Times New Roman"/>
          <w:sz w:val="24"/>
          <w:szCs w:val="24"/>
          <w:highlight w:val="none"/>
          <w:lang w:val="en-US" w:eastAsia="zh-CN" w:bidi="ar-SA"/>
        </w:rPr>
        <w:t>ful</w:t>
      </w:r>
      <w:r>
        <w:rPr>
          <w:rFonts w:hint="eastAsia" w:ascii="Times New Roman" w:hAnsi="Times New Roman" w:eastAsia="宋体" w:cs="Times New Roman"/>
          <w:spacing w:val="-3"/>
          <w:sz w:val="24"/>
          <w:szCs w:val="24"/>
          <w:highlight w:val="none"/>
          <w:lang w:val="en-US" w:eastAsia="zh-CN" w:bidi="ar-SA"/>
        </w:rPr>
        <w:t>等</w:t>
      </w:r>
      <w:r>
        <w:rPr>
          <w:rFonts w:hint="eastAsia" w:ascii="Times New Roman" w:hAnsi="Times New Roman" w:eastAsia="宋体" w:cs="Times New Roman"/>
          <w:sz w:val="24"/>
          <w:szCs w:val="24"/>
          <w:highlight w:val="none"/>
          <w:lang w:val="en-US" w:eastAsia="zh-CN" w:bidi="ar-SA"/>
        </w:rPr>
        <w:t>接</w:t>
      </w:r>
      <w:r>
        <w:rPr>
          <w:rFonts w:hint="eastAsia" w:ascii="Times New Roman" w:hAnsi="Times New Roman" w:eastAsia="宋体" w:cs="Times New Roman"/>
          <w:spacing w:val="-3"/>
          <w:sz w:val="24"/>
          <w:szCs w:val="24"/>
          <w:highlight w:val="none"/>
          <w:lang w:val="en-US" w:eastAsia="zh-CN" w:bidi="ar-SA"/>
        </w:rPr>
        <w:t>口</w:t>
      </w:r>
      <w:r>
        <w:rPr>
          <w:rFonts w:hint="eastAsia" w:ascii="Times New Roman" w:hAnsi="Times New Roman" w:eastAsia="宋体" w:cs="Times New Roman"/>
          <w:sz w:val="24"/>
          <w:szCs w:val="24"/>
          <w:highlight w:val="none"/>
          <w:lang w:val="en-US" w:eastAsia="zh-CN" w:bidi="ar-SA"/>
        </w:rPr>
        <w:t>协</w:t>
      </w:r>
      <w:r>
        <w:rPr>
          <w:rFonts w:hint="eastAsia" w:ascii="Times New Roman" w:hAnsi="Times New Roman" w:eastAsia="宋体" w:cs="Times New Roman"/>
          <w:spacing w:val="-3"/>
          <w:sz w:val="24"/>
          <w:szCs w:val="24"/>
          <w:highlight w:val="none"/>
          <w:lang w:val="en-US" w:eastAsia="zh-CN" w:bidi="ar-SA"/>
        </w:rPr>
        <w:t>议</w:t>
      </w:r>
      <w:r>
        <w:rPr>
          <w:rFonts w:hint="eastAsia" w:ascii="Times New Roman" w:hAnsi="Times New Roman" w:eastAsia="宋体" w:cs="Times New Roman"/>
          <w:sz w:val="24"/>
          <w:szCs w:val="24"/>
          <w:highlight w:val="none"/>
          <w:lang w:val="en-US" w:eastAsia="zh-CN" w:bidi="ar-SA"/>
        </w:rPr>
        <w:t>划</w:t>
      </w:r>
      <w:r>
        <w:rPr>
          <w:rFonts w:hint="eastAsia" w:ascii="Times New Roman" w:hAnsi="Times New Roman" w:eastAsia="宋体" w:cs="Times New Roman"/>
          <w:spacing w:val="-3"/>
          <w:sz w:val="24"/>
          <w:szCs w:val="24"/>
          <w:highlight w:val="none"/>
          <w:lang w:val="en-US" w:eastAsia="zh-CN" w:bidi="ar-SA"/>
        </w:rPr>
        <w:t>分</w:t>
      </w:r>
      <w:r>
        <w:rPr>
          <w:rFonts w:hint="eastAsia" w:ascii="Times New Roman" w:hAnsi="Times New Roman" w:eastAsia="宋体" w:cs="Times New Roman"/>
          <w:sz w:val="24"/>
          <w:szCs w:val="24"/>
          <w:highlight w:val="none"/>
          <w:lang w:val="en-US" w:eastAsia="zh-CN" w:bidi="ar-SA"/>
        </w:rPr>
        <w:t>做</w:t>
      </w:r>
      <w:r>
        <w:rPr>
          <w:rFonts w:hint="eastAsia" w:ascii="Times New Roman" w:hAnsi="Times New Roman" w:eastAsia="宋体" w:cs="Times New Roman"/>
          <w:spacing w:val="-3"/>
          <w:sz w:val="24"/>
          <w:szCs w:val="24"/>
          <w:highlight w:val="none"/>
          <w:lang w:val="en-US" w:eastAsia="zh-CN" w:bidi="ar-SA"/>
        </w:rPr>
        <w:t>独</w:t>
      </w:r>
      <w:r>
        <w:rPr>
          <w:rFonts w:hint="eastAsia" w:ascii="Times New Roman" w:hAnsi="Times New Roman" w:eastAsia="宋体" w:cs="Times New Roman"/>
          <w:sz w:val="24"/>
          <w:szCs w:val="24"/>
          <w:highlight w:val="none"/>
          <w:lang w:val="en-US" w:eastAsia="zh-CN" w:bidi="ar-SA"/>
        </w:rPr>
        <w:t>立建</w:t>
      </w:r>
      <w:r>
        <w:rPr>
          <w:rFonts w:hint="eastAsia" w:ascii="Times New Roman" w:hAnsi="Times New Roman" w:eastAsia="宋体" w:cs="Times New Roman"/>
          <w:spacing w:val="-3"/>
          <w:sz w:val="24"/>
          <w:szCs w:val="24"/>
          <w:highlight w:val="none"/>
          <w:lang w:val="en-US" w:eastAsia="zh-CN" w:bidi="ar-SA"/>
        </w:rPr>
        <w:t>设</w:t>
      </w:r>
      <w:r>
        <w:rPr>
          <w:rFonts w:hint="eastAsia" w:ascii="Times New Roman" w:hAnsi="Times New Roman" w:eastAsia="宋体" w:cs="Times New Roman"/>
          <w:sz w:val="24"/>
          <w:szCs w:val="24"/>
          <w:highlight w:val="none"/>
          <w:lang w:val="en-US" w:eastAsia="zh-CN" w:bidi="ar-SA"/>
        </w:rPr>
        <w:t>，每个接</w:t>
      </w:r>
      <w:r>
        <w:rPr>
          <w:rFonts w:hint="eastAsia" w:ascii="Times New Roman" w:hAnsi="Times New Roman" w:eastAsia="宋体" w:cs="Times New Roman"/>
          <w:spacing w:val="-3"/>
          <w:sz w:val="24"/>
          <w:szCs w:val="24"/>
          <w:highlight w:val="none"/>
          <w:lang w:val="en-US" w:eastAsia="zh-CN" w:bidi="ar-SA"/>
        </w:rPr>
        <w:t>口</w:t>
      </w:r>
      <w:r>
        <w:rPr>
          <w:rFonts w:hint="eastAsia" w:ascii="Times New Roman" w:hAnsi="Times New Roman" w:eastAsia="宋体" w:cs="Times New Roman"/>
          <w:sz w:val="24"/>
          <w:szCs w:val="24"/>
          <w:highlight w:val="none"/>
          <w:lang w:val="en-US" w:eastAsia="zh-CN" w:bidi="ar-SA"/>
        </w:rPr>
        <w:t>协</w:t>
      </w:r>
      <w:r>
        <w:rPr>
          <w:rFonts w:hint="eastAsia" w:ascii="Times New Roman" w:hAnsi="Times New Roman" w:eastAsia="宋体" w:cs="Times New Roman"/>
          <w:spacing w:val="-3"/>
          <w:sz w:val="24"/>
          <w:szCs w:val="24"/>
          <w:highlight w:val="none"/>
          <w:lang w:val="en-US" w:eastAsia="zh-CN" w:bidi="ar-SA"/>
        </w:rPr>
        <w:t>议</w:t>
      </w:r>
      <w:r>
        <w:rPr>
          <w:rFonts w:hint="eastAsia" w:ascii="Times New Roman" w:hAnsi="Times New Roman" w:eastAsia="宋体" w:cs="Times New Roman"/>
          <w:sz w:val="24"/>
          <w:szCs w:val="24"/>
          <w:highlight w:val="none"/>
          <w:lang w:val="en-US" w:eastAsia="zh-CN" w:bidi="ar-SA"/>
        </w:rPr>
        <w:t>根</w:t>
      </w:r>
      <w:r>
        <w:rPr>
          <w:rFonts w:hint="eastAsia" w:ascii="Times New Roman" w:hAnsi="Times New Roman" w:eastAsia="宋体" w:cs="Times New Roman"/>
          <w:spacing w:val="-3"/>
          <w:sz w:val="24"/>
          <w:szCs w:val="24"/>
          <w:highlight w:val="none"/>
          <w:lang w:val="en-US" w:eastAsia="zh-CN" w:bidi="ar-SA"/>
        </w:rPr>
        <w:t>据</w:t>
      </w:r>
      <w:r>
        <w:rPr>
          <w:rFonts w:hint="eastAsia" w:ascii="Times New Roman" w:hAnsi="Times New Roman" w:eastAsia="宋体" w:cs="Times New Roman"/>
          <w:sz w:val="24"/>
          <w:szCs w:val="24"/>
          <w:highlight w:val="none"/>
          <w:lang w:val="en-US" w:eastAsia="zh-CN" w:bidi="ar-SA"/>
        </w:rPr>
        <w:t>网</w:t>
      </w:r>
      <w:r>
        <w:rPr>
          <w:rFonts w:hint="eastAsia" w:ascii="Times New Roman" w:hAnsi="Times New Roman" w:eastAsia="宋体" w:cs="Times New Roman"/>
          <w:spacing w:val="-3"/>
          <w:sz w:val="24"/>
          <w:szCs w:val="24"/>
          <w:highlight w:val="none"/>
          <w:lang w:val="en-US" w:eastAsia="zh-CN" w:bidi="ar-SA"/>
        </w:rPr>
        <w:t>元</w:t>
      </w:r>
      <w:r>
        <w:rPr>
          <w:rFonts w:hint="eastAsia" w:ascii="Times New Roman" w:hAnsi="Times New Roman" w:eastAsia="宋体" w:cs="Times New Roman"/>
          <w:sz w:val="24"/>
          <w:szCs w:val="24"/>
          <w:highlight w:val="none"/>
          <w:lang w:val="en-US" w:eastAsia="zh-CN" w:bidi="ar-SA"/>
        </w:rPr>
        <w:t>细</w:t>
      </w:r>
      <w:r>
        <w:rPr>
          <w:rFonts w:hint="eastAsia" w:ascii="Times New Roman" w:hAnsi="Times New Roman" w:eastAsia="宋体" w:cs="Times New Roman"/>
          <w:spacing w:val="-3"/>
          <w:sz w:val="24"/>
          <w:szCs w:val="24"/>
          <w:highlight w:val="none"/>
          <w:lang w:val="en-US" w:eastAsia="zh-CN" w:bidi="ar-SA"/>
        </w:rPr>
        <w:t>类</w:t>
      </w:r>
      <w:r>
        <w:rPr>
          <w:rFonts w:hint="eastAsia" w:ascii="Times New Roman" w:hAnsi="Times New Roman" w:eastAsia="宋体" w:cs="Times New Roman"/>
          <w:sz w:val="24"/>
          <w:szCs w:val="24"/>
          <w:highlight w:val="none"/>
          <w:lang w:val="en-US" w:eastAsia="zh-CN" w:bidi="ar-SA"/>
        </w:rPr>
        <w:t>的详</w:t>
      </w:r>
      <w:r>
        <w:rPr>
          <w:rFonts w:hint="eastAsia" w:ascii="Times New Roman" w:hAnsi="Times New Roman" w:eastAsia="宋体" w:cs="Times New Roman"/>
          <w:spacing w:val="-3"/>
          <w:sz w:val="24"/>
          <w:szCs w:val="24"/>
          <w:highlight w:val="none"/>
          <w:lang w:val="en-US" w:eastAsia="zh-CN" w:bidi="ar-SA"/>
        </w:rPr>
        <w:t>情</w:t>
      </w:r>
      <w:r>
        <w:rPr>
          <w:rFonts w:hint="eastAsia" w:ascii="Times New Roman" w:hAnsi="Times New Roman" w:eastAsia="宋体" w:cs="Times New Roman"/>
          <w:sz w:val="24"/>
          <w:szCs w:val="24"/>
          <w:highlight w:val="none"/>
          <w:lang w:val="en-US" w:eastAsia="zh-CN" w:bidi="ar-SA"/>
        </w:rPr>
        <w:t>配</w:t>
      </w:r>
      <w:r>
        <w:rPr>
          <w:rFonts w:hint="eastAsia" w:ascii="Times New Roman" w:hAnsi="Times New Roman" w:eastAsia="宋体" w:cs="Times New Roman"/>
          <w:spacing w:val="-3"/>
          <w:sz w:val="24"/>
          <w:szCs w:val="24"/>
          <w:highlight w:val="none"/>
          <w:lang w:val="en-US" w:eastAsia="zh-CN" w:bidi="ar-SA"/>
        </w:rPr>
        <w:t>置</w:t>
      </w:r>
      <w:r>
        <w:rPr>
          <w:rFonts w:hint="eastAsia" w:ascii="Times New Roman" w:hAnsi="Times New Roman" w:eastAsia="宋体" w:cs="Times New Roman"/>
          <w:sz w:val="24"/>
          <w:szCs w:val="24"/>
          <w:highlight w:val="none"/>
          <w:lang w:val="en-US" w:eastAsia="zh-CN" w:bidi="ar-SA"/>
        </w:rPr>
        <w:t>进</w:t>
      </w:r>
      <w:r>
        <w:rPr>
          <w:rFonts w:hint="eastAsia" w:ascii="Times New Roman" w:hAnsi="Times New Roman" w:eastAsia="宋体" w:cs="Times New Roman"/>
          <w:spacing w:val="-3"/>
          <w:sz w:val="24"/>
          <w:szCs w:val="24"/>
          <w:highlight w:val="none"/>
          <w:lang w:val="en-US" w:eastAsia="zh-CN" w:bidi="ar-SA"/>
        </w:rPr>
        <w:t>行</w:t>
      </w:r>
      <w:r>
        <w:rPr>
          <w:rFonts w:hint="eastAsia" w:ascii="Times New Roman" w:hAnsi="Times New Roman" w:eastAsia="宋体" w:cs="Times New Roman"/>
          <w:sz w:val="24"/>
          <w:szCs w:val="24"/>
          <w:highlight w:val="none"/>
          <w:lang w:val="en-US" w:eastAsia="zh-CN" w:bidi="ar-SA"/>
        </w:rPr>
        <w:t>信</w:t>
      </w:r>
      <w:r>
        <w:rPr>
          <w:rFonts w:hint="eastAsia" w:ascii="Times New Roman" w:hAnsi="Times New Roman" w:eastAsia="宋体" w:cs="Times New Roman"/>
          <w:spacing w:val="-3"/>
          <w:sz w:val="24"/>
          <w:szCs w:val="24"/>
          <w:highlight w:val="none"/>
          <w:lang w:val="en-US" w:eastAsia="zh-CN" w:bidi="ar-SA"/>
        </w:rPr>
        <w:t>息</w:t>
      </w:r>
      <w:r>
        <w:rPr>
          <w:rFonts w:hint="eastAsia" w:ascii="Times New Roman" w:hAnsi="Times New Roman" w:eastAsia="宋体" w:cs="Times New Roman"/>
          <w:sz w:val="24"/>
          <w:szCs w:val="24"/>
          <w:highlight w:val="none"/>
          <w:lang w:val="en-US" w:eastAsia="zh-CN" w:bidi="ar-SA"/>
        </w:rPr>
        <w:t>加</w:t>
      </w:r>
      <w:r>
        <w:rPr>
          <w:rFonts w:hint="eastAsia" w:ascii="Times New Roman" w:hAnsi="Times New Roman" w:eastAsia="宋体" w:cs="Times New Roman"/>
          <w:spacing w:val="-3"/>
          <w:sz w:val="24"/>
          <w:szCs w:val="24"/>
          <w:highlight w:val="none"/>
          <w:lang w:val="en-US" w:eastAsia="zh-CN" w:bidi="ar-SA"/>
        </w:rPr>
        <w:t>载</w:t>
      </w:r>
      <w:r>
        <w:rPr>
          <w:rFonts w:hint="eastAsia" w:ascii="Times New Roman" w:hAnsi="Times New Roman" w:eastAsia="宋体" w:cs="Times New Roman"/>
          <w:sz w:val="24"/>
          <w:szCs w:val="24"/>
          <w:highlight w:val="none"/>
          <w:lang w:val="en-US" w:eastAsia="zh-CN" w:bidi="ar-SA"/>
        </w:rPr>
        <w:t>。</w:t>
      </w:r>
    </w:p>
    <w:p w14:paraId="2C995A55">
      <w:pPr>
        <w:widowControl w:val="0"/>
        <w:spacing w:line="360" w:lineRule="auto"/>
        <w:ind w:firstLine="480" w:firstLineChars="200"/>
        <w:jc w:val="both"/>
        <w:rPr>
          <w:rFonts w:ascii="Times New Roman" w:hAnsi="Times New Roman" w:eastAsia="宋体" w:cs="Times New Roman"/>
          <w:spacing w:val="-3"/>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控制</w:t>
      </w:r>
      <w:r>
        <w:rPr>
          <w:rFonts w:hint="eastAsia" w:ascii="Times New Roman" w:hAnsi="Times New Roman" w:eastAsia="宋体" w:cs="Times New Roman"/>
          <w:spacing w:val="-3"/>
          <w:sz w:val="24"/>
          <w:szCs w:val="24"/>
          <w:highlight w:val="none"/>
          <w:lang w:val="en-US" w:eastAsia="zh-CN" w:bidi="ar-SA"/>
        </w:rPr>
        <w:t>服</w:t>
      </w:r>
      <w:r>
        <w:rPr>
          <w:rFonts w:hint="eastAsia" w:ascii="Times New Roman" w:hAnsi="Times New Roman" w:eastAsia="宋体" w:cs="Times New Roman"/>
          <w:sz w:val="24"/>
          <w:szCs w:val="24"/>
          <w:highlight w:val="none"/>
          <w:lang w:val="en-US" w:eastAsia="zh-CN" w:bidi="ar-SA"/>
        </w:rPr>
        <w:t>务</w:t>
      </w:r>
      <w:r>
        <w:rPr>
          <w:rFonts w:hint="eastAsia" w:ascii="Times New Roman" w:hAnsi="Times New Roman" w:eastAsia="宋体" w:cs="Times New Roman"/>
          <w:spacing w:val="-3"/>
          <w:sz w:val="24"/>
          <w:szCs w:val="24"/>
          <w:highlight w:val="none"/>
          <w:lang w:val="en-US" w:eastAsia="zh-CN" w:bidi="ar-SA"/>
        </w:rPr>
        <w:t>功</w:t>
      </w:r>
      <w:r>
        <w:rPr>
          <w:rFonts w:hint="eastAsia" w:ascii="Times New Roman" w:hAnsi="Times New Roman" w:eastAsia="宋体" w:cs="Times New Roman"/>
          <w:sz w:val="24"/>
          <w:szCs w:val="24"/>
          <w:highlight w:val="none"/>
          <w:lang w:val="en-US" w:eastAsia="zh-CN" w:bidi="ar-SA"/>
        </w:rPr>
        <w:t>能</w:t>
      </w:r>
      <w:r>
        <w:rPr>
          <w:rFonts w:hint="eastAsia" w:ascii="Times New Roman" w:hAnsi="Times New Roman" w:eastAsia="宋体" w:cs="Times New Roman"/>
          <w:spacing w:val="-3"/>
          <w:sz w:val="24"/>
          <w:szCs w:val="24"/>
          <w:highlight w:val="none"/>
          <w:lang w:val="en-US" w:eastAsia="zh-CN" w:bidi="ar-SA"/>
        </w:rPr>
        <w:t>模</w:t>
      </w:r>
      <w:r>
        <w:rPr>
          <w:rFonts w:hint="eastAsia" w:ascii="Times New Roman" w:hAnsi="Times New Roman" w:eastAsia="宋体" w:cs="Times New Roman"/>
          <w:sz w:val="24"/>
          <w:szCs w:val="24"/>
          <w:highlight w:val="none"/>
          <w:lang w:val="en-US" w:eastAsia="zh-CN" w:bidi="ar-SA"/>
        </w:rPr>
        <w:t>块</w:t>
      </w:r>
      <w:r>
        <w:rPr>
          <w:rFonts w:hint="eastAsia" w:ascii="Times New Roman" w:hAnsi="Times New Roman" w:eastAsia="宋体" w:cs="Times New Roman"/>
          <w:spacing w:val="-3"/>
          <w:sz w:val="24"/>
          <w:szCs w:val="24"/>
          <w:highlight w:val="none"/>
          <w:lang w:val="en-US" w:eastAsia="zh-CN" w:bidi="ar-SA"/>
        </w:rPr>
        <w:t>管</w:t>
      </w:r>
      <w:r>
        <w:rPr>
          <w:rFonts w:hint="eastAsia" w:ascii="Times New Roman" w:hAnsi="Times New Roman" w:eastAsia="宋体" w:cs="Times New Roman"/>
          <w:sz w:val="24"/>
          <w:szCs w:val="24"/>
          <w:highlight w:val="none"/>
          <w:lang w:val="en-US" w:eastAsia="zh-CN" w:bidi="ar-SA"/>
        </w:rPr>
        <w:t>理</w:t>
      </w:r>
      <w:r>
        <w:rPr>
          <w:rFonts w:hint="eastAsia" w:ascii="Times New Roman" w:hAnsi="Times New Roman" w:eastAsia="宋体" w:cs="Times New Roman"/>
          <w:spacing w:val="-3"/>
          <w:sz w:val="24"/>
          <w:szCs w:val="24"/>
          <w:highlight w:val="none"/>
          <w:lang w:val="en-US" w:eastAsia="zh-CN" w:bidi="ar-SA"/>
        </w:rPr>
        <w:t>实</w:t>
      </w:r>
      <w:r>
        <w:rPr>
          <w:rFonts w:hint="eastAsia" w:ascii="Times New Roman" w:hAnsi="Times New Roman" w:eastAsia="宋体" w:cs="Times New Roman"/>
          <w:sz w:val="24"/>
          <w:szCs w:val="24"/>
          <w:highlight w:val="none"/>
          <w:lang w:val="en-US" w:eastAsia="zh-CN" w:bidi="ar-SA"/>
        </w:rPr>
        <w:t>际的</w:t>
      </w:r>
      <w:r>
        <w:rPr>
          <w:rFonts w:hint="eastAsia" w:ascii="Times New Roman" w:hAnsi="Times New Roman" w:eastAsia="宋体" w:cs="Times New Roman"/>
          <w:spacing w:val="-3"/>
          <w:sz w:val="24"/>
          <w:szCs w:val="24"/>
          <w:highlight w:val="none"/>
          <w:lang w:val="en-US" w:eastAsia="zh-CN" w:bidi="ar-SA"/>
        </w:rPr>
        <w:t>网</w:t>
      </w:r>
      <w:r>
        <w:rPr>
          <w:rFonts w:hint="eastAsia" w:ascii="Times New Roman" w:hAnsi="Times New Roman" w:eastAsia="宋体" w:cs="Times New Roman"/>
          <w:sz w:val="24"/>
          <w:szCs w:val="24"/>
          <w:highlight w:val="none"/>
          <w:lang w:val="en-US" w:eastAsia="zh-CN" w:bidi="ar-SA"/>
        </w:rPr>
        <w:t>元</w:t>
      </w:r>
      <w:r>
        <w:rPr>
          <w:rFonts w:hint="eastAsia" w:ascii="Times New Roman" w:hAnsi="Times New Roman" w:eastAsia="宋体" w:cs="Times New Roman"/>
          <w:spacing w:val="-3"/>
          <w:sz w:val="24"/>
          <w:szCs w:val="24"/>
          <w:highlight w:val="none"/>
          <w:lang w:val="en-US" w:eastAsia="zh-CN" w:bidi="ar-SA"/>
        </w:rPr>
        <w:t>连</w:t>
      </w:r>
      <w:r>
        <w:rPr>
          <w:rFonts w:hint="eastAsia" w:ascii="Times New Roman" w:hAnsi="Times New Roman" w:eastAsia="宋体" w:cs="Times New Roman"/>
          <w:sz w:val="24"/>
          <w:szCs w:val="24"/>
          <w:highlight w:val="none"/>
          <w:lang w:val="en-US" w:eastAsia="zh-CN" w:bidi="ar-SA"/>
        </w:rPr>
        <w:t>接</w:t>
      </w:r>
      <w:r>
        <w:rPr>
          <w:rFonts w:hint="eastAsia" w:ascii="Times New Roman" w:hAnsi="Times New Roman" w:eastAsia="宋体" w:cs="Times New Roman"/>
          <w:spacing w:val="-3"/>
          <w:sz w:val="24"/>
          <w:szCs w:val="24"/>
          <w:highlight w:val="none"/>
          <w:lang w:val="en-US" w:eastAsia="zh-CN" w:bidi="ar-SA"/>
        </w:rPr>
        <w:t>池</w:t>
      </w:r>
      <w:r>
        <w:rPr>
          <w:rFonts w:hint="eastAsia" w:ascii="Times New Roman" w:hAnsi="Times New Roman" w:eastAsia="宋体" w:cs="Times New Roman"/>
          <w:sz w:val="24"/>
          <w:szCs w:val="24"/>
          <w:highlight w:val="none"/>
          <w:lang w:val="en-US" w:eastAsia="zh-CN" w:bidi="ar-SA"/>
        </w:rPr>
        <w:t>，</w:t>
      </w:r>
      <w:r>
        <w:rPr>
          <w:rFonts w:hint="eastAsia" w:ascii="Times New Roman" w:hAnsi="Times New Roman" w:eastAsia="宋体" w:cs="Times New Roman"/>
          <w:spacing w:val="-3"/>
          <w:sz w:val="24"/>
          <w:szCs w:val="24"/>
          <w:highlight w:val="none"/>
          <w:lang w:val="en-US" w:eastAsia="zh-CN" w:bidi="ar-SA"/>
        </w:rPr>
        <w:t>并</w:t>
      </w:r>
      <w:r>
        <w:rPr>
          <w:rFonts w:hint="eastAsia" w:ascii="Times New Roman" w:hAnsi="Times New Roman" w:eastAsia="宋体" w:cs="Times New Roman"/>
          <w:sz w:val="24"/>
          <w:szCs w:val="24"/>
          <w:highlight w:val="none"/>
          <w:lang w:val="en-US" w:eastAsia="zh-CN" w:bidi="ar-SA"/>
        </w:rPr>
        <w:t>统</w:t>
      </w:r>
      <w:r>
        <w:rPr>
          <w:rFonts w:hint="eastAsia" w:ascii="Times New Roman" w:hAnsi="Times New Roman" w:eastAsia="宋体" w:cs="Times New Roman"/>
          <w:spacing w:val="-3"/>
          <w:sz w:val="24"/>
          <w:szCs w:val="24"/>
          <w:highlight w:val="none"/>
          <w:lang w:val="en-US" w:eastAsia="zh-CN" w:bidi="ar-SA"/>
        </w:rPr>
        <w:t>一</w:t>
      </w:r>
      <w:r>
        <w:rPr>
          <w:rFonts w:hint="eastAsia" w:ascii="Times New Roman" w:hAnsi="Times New Roman" w:eastAsia="宋体" w:cs="Times New Roman"/>
          <w:sz w:val="24"/>
          <w:szCs w:val="24"/>
          <w:highlight w:val="none"/>
          <w:lang w:val="en-US" w:eastAsia="zh-CN" w:bidi="ar-SA"/>
        </w:rPr>
        <w:t>提供</w:t>
      </w:r>
      <w:r>
        <w:rPr>
          <w:rFonts w:hint="eastAsia" w:ascii="Times New Roman" w:hAnsi="Times New Roman" w:eastAsia="宋体" w:cs="Times New Roman"/>
          <w:spacing w:val="-3"/>
          <w:sz w:val="24"/>
          <w:szCs w:val="24"/>
          <w:highlight w:val="none"/>
          <w:lang w:val="en-US" w:eastAsia="zh-CN" w:bidi="ar-SA"/>
        </w:rPr>
        <w:t>调</w:t>
      </w:r>
      <w:r>
        <w:rPr>
          <w:rFonts w:hint="eastAsia" w:ascii="Times New Roman" w:hAnsi="Times New Roman" w:eastAsia="宋体" w:cs="Times New Roman"/>
          <w:sz w:val="24"/>
          <w:szCs w:val="24"/>
          <w:highlight w:val="none"/>
          <w:lang w:val="en-US" w:eastAsia="zh-CN" w:bidi="ar-SA"/>
        </w:rPr>
        <w:t>用</w:t>
      </w:r>
      <w:r>
        <w:rPr>
          <w:rFonts w:hint="eastAsia" w:ascii="Times New Roman" w:hAnsi="Times New Roman" w:eastAsia="宋体" w:cs="Times New Roman"/>
          <w:spacing w:val="-3"/>
          <w:sz w:val="24"/>
          <w:szCs w:val="24"/>
          <w:highlight w:val="none"/>
          <w:lang w:val="en-US" w:eastAsia="zh-CN" w:bidi="ar-SA"/>
        </w:rPr>
        <w:t>接</w:t>
      </w:r>
      <w:r>
        <w:rPr>
          <w:rFonts w:hint="eastAsia" w:ascii="Times New Roman" w:hAnsi="Times New Roman" w:eastAsia="宋体" w:cs="Times New Roman"/>
          <w:sz w:val="24"/>
          <w:szCs w:val="24"/>
          <w:highlight w:val="none"/>
          <w:lang w:val="en-US" w:eastAsia="zh-CN" w:bidi="ar-SA"/>
        </w:rPr>
        <w:t>口</w:t>
      </w:r>
      <w:r>
        <w:rPr>
          <w:rFonts w:hint="eastAsia" w:ascii="Times New Roman" w:hAnsi="Times New Roman" w:eastAsia="宋体" w:cs="Times New Roman"/>
          <w:spacing w:val="-3"/>
          <w:sz w:val="24"/>
          <w:szCs w:val="24"/>
          <w:highlight w:val="none"/>
          <w:lang w:val="en-US" w:eastAsia="zh-CN" w:bidi="ar-SA"/>
        </w:rPr>
        <w:t>。</w:t>
      </w:r>
    </w:p>
    <w:p w14:paraId="46848805">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实指令接收</w:t>
      </w:r>
    </w:p>
    <w:p w14:paraId="1F753658">
      <w:pPr>
        <w:widowControl w:val="0"/>
        <w:spacing w:line="360" w:lineRule="auto"/>
        <w:ind w:firstLine="480" w:firstLineChars="200"/>
        <w:jc w:val="both"/>
        <w:rPr>
          <w:rFonts w:ascii="Times New Roman" w:hAnsi="Times New Roman" w:eastAsia="宋体" w:cs="Times New Roman"/>
          <w:spacing w:val="-3"/>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控制</w:t>
      </w:r>
      <w:r>
        <w:rPr>
          <w:rFonts w:hint="eastAsia" w:ascii="Times New Roman" w:hAnsi="Times New Roman" w:eastAsia="宋体" w:cs="Times New Roman"/>
          <w:spacing w:val="-3"/>
          <w:sz w:val="24"/>
          <w:szCs w:val="24"/>
          <w:highlight w:val="none"/>
          <w:lang w:val="en-US" w:eastAsia="zh-CN" w:bidi="ar-SA"/>
        </w:rPr>
        <w:t>服</w:t>
      </w:r>
      <w:r>
        <w:rPr>
          <w:rFonts w:hint="eastAsia" w:ascii="Times New Roman" w:hAnsi="Times New Roman" w:eastAsia="宋体" w:cs="Times New Roman"/>
          <w:sz w:val="24"/>
          <w:szCs w:val="24"/>
          <w:highlight w:val="none"/>
          <w:lang w:val="en-US" w:eastAsia="zh-CN" w:bidi="ar-SA"/>
        </w:rPr>
        <w:t>务</w:t>
      </w:r>
      <w:r>
        <w:rPr>
          <w:rFonts w:hint="eastAsia" w:ascii="Times New Roman" w:hAnsi="Times New Roman" w:eastAsia="宋体" w:cs="Times New Roman"/>
          <w:spacing w:val="-3"/>
          <w:sz w:val="24"/>
          <w:szCs w:val="24"/>
          <w:highlight w:val="none"/>
          <w:lang w:val="en-US" w:eastAsia="zh-CN" w:bidi="ar-SA"/>
        </w:rPr>
        <w:t>接</w:t>
      </w:r>
      <w:r>
        <w:rPr>
          <w:rFonts w:hint="eastAsia" w:ascii="Times New Roman" w:hAnsi="Times New Roman" w:eastAsia="宋体" w:cs="Times New Roman"/>
          <w:sz w:val="24"/>
          <w:szCs w:val="24"/>
          <w:highlight w:val="none"/>
          <w:lang w:val="en-US" w:eastAsia="zh-CN" w:bidi="ar-SA"/>
        </w:rPr>
        <w:t>收</w:t>
      </w:r>
      <w:r>
        <w:rPr>
          <w:rFonts w:hint="eastAsia" w:ascii="Times New Roman" w:hAnsi="Times New Roman" w:eastAsia="宋体" w:cs="Times New Roman"/>
          <w:spacing w:val="-3"/>
          <w:sz w:val="24"/>
          <w:szCs w:val="24"/>
          <w:highlight w:val="none"/>
          <w:lang w:val="en-US" w:eastAsia="zh-CN" w:bidi="ar-SA"/>
        </w:rPr>
        <w:t>采</w:t>
      </w:r>
      <w:r>
        <w:rPr>
          <w:rFonts w:hint="eastAsia" w:ascii="Times New Roman" w:hAnsi="Times New Roman" w:eastAsia="宋体" w:cs="Times New Roman"/>
          <w:sz w:val="24"/>
          <w:szCs w:val="24"/>
          <w:highlight w:val="none"/>
          <w:lang w:val="en-US" w:eastAsia="zh-CN" w:bidi="ar-SA"/>
        </w:rPr>
        <w:t>集</w:t>
      </w:r>
      <w:r>
        <w:rPr>
          <w:rFonts w:hint="eastAsia" w:ascii="Times New Roman" w:hAnsi="Times New Roman" w:eastAsia="宋体" w:cs="Times New Roman"/>
          <w:spacing w:val="-3"/>
          <w:sz w:val="24"/>
          <w:szCs w:val="24"/>
          <w:highlight w:val="none"/>
          <w:lang w:val="en-US" w:eastAsia="zh-CN" w:bidi="ar-SA"/>
        </w:rPr>
        <w:t>控</w:t>
      </w:r>
      <w:r>
        <w:rPr>
          <w:rFonts w:hint="eastAsia" w:ascii="Times New Roman" w:hAnsi="Times New Roman" w:eastAsia="宋体" w:cs="Times New Roman"/>
          <w:sz w:val="24"/>
          <w:szCs w:val="24"/>
          <w:highlight w:val="none"/>
          <w:lang w:val="en-US" w:eastAsia="zh-CN" w:bidi="ar-SA"/>
        </w:rPr>
        <w:t>制</w:t>
      </w:r>
      <w:r>
        <w:rPr>
          <w:rFonts w:hint="eastAsia" w:ascii="Times New Roman" w:hAnsi="Times New Roman" w:eastAsia="宋体" w:cs="Times New Roman"/>
          <w:spacing w:val="-3"/>
          <w:sz w:val="24"/>
          <w:szCs w:val="24"/>
          <w:highlight w:val="none"/>
          <w:lang w:val="en-US" w:eastAsia="zh-CN" w:bidi="ar-SA"/>
        </w:rPr>
        <w:t>框</w:t>
      </w:r>
      <w:r>
        <w:rPr>
          <w:rFonts w:hint="eastAsia" w:ascii="Times New Roman" w:hAnsi="Times New Roman" w:eastAsia="宋体" w:cs="Times New Roman"/>
          <w:sz w:val="24"/>
          <w:szCs w:val="24"/>
          <w:highlight w:val="none"/>
          <w:lang w:val="en-US" w:eastAsia="zh-CN" w:bidi="ar-SA"/>
        </w:rPr>
        <w:t>架的</w:t>
      </w:r>
      <w:r>
        <w:rPr>
          <w:rFonts w:hint="eastAsia" w:ascii="Times New Roman" w:hAnsi="Times New Roman" w:eastAsia="宋体" w:cs="Times New Roman"/>
          <w:spacing w:val="-3"/>
          <w:sz w:val="24"/>
          <w:szCs w:val="24"/>
          <w:highlight w:val="none"/>
          <w:lang w:val="en-US" w:eastAsia="zh-CN" w:bidi="ar-SA"/>
        </w:rPr>
        <w:t>服</w:t>
      </w:r>
      <w:r>
        <w:rPr>
          <w:rFonts w:hint="eastAsia" w:ascii="Times New Roman" w:hAnsi="Times New Roman" w:eastAsia="宋体" w:cs="Times New Roman"/>
          <w:sz w:val="24"/>
          <w:szCs w:val="24"/>
          <w:highlight w:val="none"/>
          <w:lang w:val="en-US" w:eastAsia="zh-CN" w:bidi="ar-SA"/>
        </w:rPr>
        <w:t>务</w:t>
      </w:r>
      <w:r>
        <w:rPr>
          <w:rFonts w:hint="eastAsia" w:ascii="Times New Roman" w:hAnsi="Times New Roman" w:eastAsia="宋体" w:cs="Times New Roman"/>
          <w:spacing w:val="-3"/>
          <w:sz w:val="24"/>
          <w:szCs w:val="24"/>
          <w:highlight w:val="none"/>
          <w:lang w:val="en-US" w:eastAsia="zh-CN" w:bidi="ar-SA"/>
        </w:rPr>
        <w:t>调</w:t>
      </w:r>
      <w:r>
        <w:rPr>
          <w:rFonts w:hint="eastAsia" w:ascii="Times New Roman" w:hAnsi="Times New Roman" w:eastAsia="宋体" w:cs="Times New Roman"/>
          <w:sz w:val="24"/>
          <w:szCs w:val="24"/>
          <w:highlight w:val="none"/>
          <w:lang w:val="en-US" w:eastAsia="zh-CN" w:bidi="ar-SA"/>
        </w:rPr>
        <w:t>用</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并</w:t>
      </w:r>
      <w:r>
        <w:rPr>
          <w:rFonts w:hint="eastAsia" w:ascii="Times New Roman" w:hAnsi="Times New Roman" w:eastAsia="宋体" w:cs="Times New Roman"/>
          <w:spacing w:val="-3"/>
          <w:sz w:val="24"/>
          <w:szCs w:val="24"/>
          <w:highlight w:val="none"/>
          <w:lang w:val="en-US" w:eastAsia="zh-CN" w:bidi="ar-SA"/>
        </w:rPr>
        <w:t>将</w:t>
      </w:r>
      <w:r>
        <w:rPr>
          <w:rFonts w:hint="eastAsia" w:ascii="Times New Roman" w:hAnsi="Times New Roman" w:eastAsia="宋体" w:cs="Times New Roman"/>
          <w:sz w:val="24"/>
          <w:szCs w:val="24"/>
          <w:highlight w:val="none"/>
          <w:lang w:val="en-US" w:eastAsia="zh-CN" w:bidi="ar-SA"/>
        </w:rPr>
        <w:t>单</w:t>
      </w:r>
      <w:r>
        <w:rPr>
          <w:rFonts w:hint="eastAsia" w:ascii="Times New Roman" w:hAnsi="Times New Roman" w:eastAsia="宋体" w:cs="Times New Roman"/>
          <w:spacing w:val="-3"/>
          <w:sz w:val="24"/>
          <w:szCs w:val="24"/>
          <w:highlight w:val="none"/>
          <w:lang w:val="en-US" w:eastAsia="zh-CN" w:bidi="ar-SA"/>
        </w:rPr>
        <w:t>次</w:t>
      </w:r>
      <w:r>
        <w:rPr>
          <w:rFonts w:hint="eastAsia" w:ascii="Times New Roman" w:hAnsi="Times New Roman" w:eastAsia="宋体" w:cs="Times New Roman"/>
          <w:sz w:val="24"/>
          <w:szCs w:val="24"/>
          <w:highlight w:val="none"/>
          <w:lang w:val="en-US" w:eastAsia="zh-CN" w:bidi="ar-SA"/>
        </w:rPr>
        <w:t>调用</w:t>
      </w:r>
      <w:r>
        <w:rPr>
          <w:rFonts w:hint="eastAsia" w:ascii="Times New Roman" w:hAnsi="Times New Roman" w:eastAsia="宋体" w:cs="Times New Roman"/>
          <w:spacing w:val="-3"/>
          <w:sz w:val="24"/>
          <w:szCs w:val="24"/>
          <w:highlight w:val="none"/>
          <w:lang w:val="en-US" w:eastAsia="zh-CN" w:bidi="ar-SA"/>
        </w:rPr>
        <w:t>消</w:t>
      </w:r>
      <w:r>
        <w:rPr>
          <w:rFonts w:hint="eastAsia" w:ascii="Times New Roman" w:hAnsi="Times New Roman" w:eastAsia="宋体" w:cs="Times New Roman"/>
          <w:sz w:val="24"/>
          <w:szCs w:val="24"/>
          <w:highlight w:val="none"/>
          <w:lang w:val="en-US" w:eastAsia="zh-CN" w:bidi="ar-SA"/>
        </w:rPr>
        <w:t>息</w:t>
      </w:r>
      <w:r>
        <w:rPr>
          <w:rFonts w:hint="eastAsia" w:ascii="Times New Roman" w:hAnsi="Times New Roman" w:eastAsia="宋体" w:cs="Times New Roman"/>
          <w:spacing w:val="-3"/>
          <w:sz w:val="24"/>
          <w:szCs w:val="24"/>
          <w:highlight w:val="none"/>
          <w:lang w:val="en-US" w:eastAsia="zh-CN" w:bidi="ar-SA"/>
        </w:rPr>
        <w:t>发</w:t>
      </w:r>
      <w:r>
        <w:rPr>
          <w:rFonts w:hint="eastAsia" w:ascii="Times New Roman" w:hAnsi="Times New Roman" w:eastAsia="宋体" w:cs="Times New Roman"/>
          <w:sz w:val="24"/>
          <w:szCs w:val="24"/>
          <w:highlight w:val="none"/>
          <w:lang w:val="en-US" w:eastAsia="zh-CN" w:bidi="ar-SA"/>
        </w:rPr>
        <w:t>送</w:t>
      </w:r>
      <w:r>
        <w:rPr>
          <w:rFonts w:hint="eastAsia" w:ascii="Times New Roman" w:hAnsi="Times New Roman" w:eastAsia="宋体" w:cs="Times New Roman"/>
          <w:spacing w:val="-3"/>
          <w:sz w:val="24"/>
          <w:szCs w:val="24"/>
          <w:highlight w:val="none"/>
          <w:lang w:val="en-US" w:eastAsia="zh-CN" w:bidi="ar-SA"/>
        </w:rPr>
        <w:t>到</w:t>
      </w:r>
      <w:r>
        <w:rPr>
          <w:rFonts w:hint="eastAsia" w:ascii="Times New Roman" w:hAnsi="Times New Roman" w:eastAsia="宋体" w:cs="Times New Roman"/>
          <w:sz w:val="24"/>
          <w:szCs w:val="24"/>
          <w:highlight w:val="none"/>
          <w:lang w:val="en-US" w:eastAsia="zh-CN" w:bidi="ar-SA"/>
        </w:rPr>
        <w:t>内</w:t>
      </w:r>
      <w:r>
        <w:rPr>
          <w:rFonts w:hint="eastAsia" w:ascii="Times New Roman" w:hAnsi="Times New Roman" w:eastAsia="宋体" w:cs="Times New Roman"/>
          <w:spacing w:val="-3"/>
          <w:sz w:val="24"/>
          <w:szCs w:val="24"/>
          <w:highlight w:val="none"/>
          <w:lang w:val="en-US" w:eastAsia="zh-CN" w:bidi="ar-SA"/>
        </w:rPr>
        <w:t>部</w:t>
      </w:r>
      <w:r>
        <w:rPr>
          <w:rFonts w:hint="eastAsia" w:ascii="Times New Roman" w:hAnsi="Times New Roman" w:eastAsia="宋体" w:cs="Times New Roman"/>
          <w:sz w:val="24"/>
          <w:szCs w:val="24"/>
          <w:highlight w:val="none"/>
          <w:lang w:val="en-US" w:eastAsia="zh-CN" w:bidi="ar-SA"/>
        </w:rPr>
        <w:t>消</w:t>
      </w:r>
      <w:r>
        <w:rPr>
          <w:rFonts w:hint="eastAsia" w:ascii="Times New Roman" w:hAnsi="Times New Roman" w:eastAsia="宋体" w:cs="Times New Roman"/>
          <w:spacing w:val="-3"/>
          <w:sz w:val="24"/>
          <w:szCs w:val="24"/>
          <w:highlight w:val="none"/>
          <w:lang w:val="en-US" w:eastAsia="zh-CN" w:bidi="ar-SA"/>
        </w:rPr>
        <w:t>息</w:t>
      </w:r>
      <w:r>
        <w:rPr>
          <w:rFonts w:hint="eastAsia" w:ascii="Times New Roman" w:hAnsi="Times New Roman" w:eastAsia="宋体" w:cs="Times New Roman"/>
          <w:sz w:val="24"/>
          <w:szCs w:val="24"/>
          <w:highlight w:val="none"/>
          <w:lang w:val="en-US" w:eastAsia="zh-CN" w:bidi="ar-SA"/>
        </w:rPr>
        <w:t>队列</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并</w:t>
      </w:r>
      <w:r>
        <w:rPr>
          <w:rFonts w:hint="eastAsia" w:ascii="Times New Roman" w:hAnsi="Times New Roman" w:eastAsia="宋体" w:cs="Times New Roman"/>
          <w:spacing w:val="-3"/>
          <w:sz w:val="24"/>
          <w:szCs w:val="24"/>
          <w:highlight w:val="none"/>
          <w:lang w:val="en-US" w:eastAsia="zh-CN" w:bidi="ar-SA"/>
        </w:rPr>
        <w:t>返</w:t>
      </w:r>
      <w:r>
        <w:rPr>
          <w:rFonts w:hint="eastAsia" w:ascii="Times New Roman" w:hAnsi="Times New Roman" w:eastAsia="宋体" w:cs="Times New Roman"/>
          <w:sz w:val="24"/>
          <w:szCs w:val="24"/>
          <w:highlight w:val="none"/>
          <w:lang w:val="en-US" w:eastAsia="zh-CN" w:bidi="ar-SA"/>
        </w:rPr>
        <w:t>回同步</w:t>
      </w:r>
      <w:r>
        <w:rPr>
          <w:rFonts w:hint="eastAsia" w:ascii="Times New Roman" w:hAnsi="Times New Roman" w:eastAsia="宋体" w:cs="Times New Roman"/>
          <w:spacing w:val="-3"/>
          <w:sz w:val="24"/>
          <w:szCs w:val="24"/>
          <w:highlight w:val="none"/>
          <w:lang w:val="en-US" w:eastAsia="zh-CN" w:bidi="ar-SA"/>
        </w:rPr>
        <w:t>应</w:t>
      </w:r>
      <w:r>
        <w:rPr>
          <w:rFonts w:hint="eastAsia" w:ascii="Times New Roman" w:hAnsi="Times New Roman" w:eastAsia="宋体" w:cs="Times New Roman"/>
          <w:sz w:val="24"/>
          <w:szCs w:val="24"/>
          <w:highlight w:val="none"/>
          <w:lang w:val="en-US" w:eastAsia="zh-CN" w:bidi="ar-SA"/>
        </w:rPr>
        <w:t>答</w:t>
      </w:r>
      <w:r>
        <w:rPr>
          <w:rFonts w:hint="eastAsia" w:ascii="Times New Roman" w:hAnsi="Times New Roman" w:eastAsia="宋体" w:cs="Times New Roman"/>
          <w:spacing w:val="-3"/>
          <w:sz w:val="24"/>
          <w:szCs w:val="24"/>
          <w:highlight w:val="none"/>
          <w:lang w:val="en-US" w:eastAsia="zh-CN" w:bidi="ar-SA"/>
        </w:rPr>
        <w:t>。</w:t>
      </w:r>
    </w:p>
    <w:p w14:paraId="3142970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连接管理</w:t>
      </w:r>
    </w:p>
    <w:p w14:paraId="5725ED1E">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实现</w:t>
      </w:r>
      <w:r>
        <w:rPr>
          <w:rFonts w:hint="eastAsia" w:ascii="Times New Roman" w:hAnsi="Times New Roman" w:eastAsia="宋体" w:cs="Times New Roman"/>
          <w:spacing w:val="-3"/>
          <w:sz w:val="24"/>
          <w:szCs w:val="24"/>
          <w:highlight w:val="none"/>
          <w:lang w:val="en-US" w:eastAsia="zh-CN" w:bidi="ar-SA"/>
        </w:rPr>
        <w:t>对</w:t>
      </w:r>
      <w:r>
        <w:rPr>
          <w:rFonts w:hint="eastAsia" w:ascii="Times New Roman" w:hAnsi="Times New Roman" w:eastAsia="宋体" w:cs="Times New Roman"/>
          <w:sz w:val="24"/>
          <w:szCs w:val="24"/>
          <w:highlight w:val="none"/>
          <w:lang w:val="en-US" w:eastAsia="zh-CN" w:bidi="ar-SA"/>
        </w:rPr>
        <w:t>网</w:t>
      </w:r>
      <w:r>
        <w:rPr>
          <w:rFonts w:hint="eastAsia" w:ascii="Times New Roman" w:hAnsi="Times New Roman" w:eastAsia="宋体" w:cs="Times New Roman"/>
          <w:spacing w:val="-3"/>
          <w:sz w:val="24"/>
          <w:szCs w:val="24"/>
          <w:highlight w:val="none"/>
          <w:lang w:val="en-US" w:eastAsia="zh-CN" w:bidi="ar-SA"/>
        </w:rPr>
        <w:t>元</w:t>
      </w:r>
      <w:r>
        <w:rPr>
          <w:rFonts w:hint="eastAsia" w:ascii="Times New Roman" w:hAnsi="Times New Roman" w:eastAsia="宋体" w:cs="Times New Roman"/>
          <w:sz w:val="24"/>
          <w:szCs w:val="24"/>
          <w:highlight w:val="none"/>
          <w:lang w:val="en-US" w:eastAsia="zh-CN" w:bidi="ar-SA"/>
        </w:rPr>
        <w:t>连</w:t>
      </w:r>
      <w:r>
        <w:rPr>
          <w:rFonts w:hint="eastAsia" w:ascii="Times New Roman" w:hAnsi="Times New Roman" w:eastAsia="宋体" w:cs="Times New Roman"/>
          <w:spacing w:val="-3"/>
          <w:sz w:val="24"/>
          <w:szCs w:val="24"/>
          <w:highlight w:val="none"/>
          <w:lang w:val="en-US" w:eastAsia="zh-CN" w:bidi="ar-SA"/>
        </w:rPr>
        <w:t>接</w:t>
      </w:r>
      <w:r>
        <w:rPr>
          <w:rFonts w:hint="eastAsia" w:ascii="Times New Roman" w:hAnsi="Times New Roman" w:eastAsia="宋体" w:cs="Times New Roman"/>
          <w:sz w:val="24"/>
          <w:szCs w:val="24"/>
          <w:highlight w:val="none"/>
          <w:lang w:val="en-US" w:eastAsia="zh-CN" w:bidi="ar-SA"/>
        </w:rPr>
        <w:t>的</w:t>
      </w:r>
      <w:r>
        <w:rPr>
          <w:rFonts w:hint="eastAsia" w:ascii="Times New Roman" w:hAnsi="Times New Roman" w:eastAsia="宋体" w:cs="Times New Roman"/>
          <w:spacing w:val="-3"/>
          <w:sz w:val="24"/>
          <w:szCs w:val="24"/>
          <w:highlight w:val="none"/>
          <w:lang w:val="en-US" w:eastAsia="zh-CN" w:bidi="ar-SA"/>
        </w:rPr>
        <w:t>统</w:t>
      </w:r>
      <w:r>
        <w:rPr>
          <w:rFonts w:hint="eastAsia" w:ascii="Times New Roman" w:hAnsi="Times New Roman" w:eastAsia="宋体" w:cs="Times New Roman"/>
          <w:sz w:val="24"/>
          <w:szCs w:val="24"/>
          <w:highlight w:val="none"/>
          <w:lang w:val="en-US" w:eastAsia="zh-CN" w:bidi="ar-SA"/>
        </w:rPr>
        <w:t>一</w:t>
      </w:r>
      <w:r>
        <w:rPr>
          <w:rFonts w:hint="eastAsia" w:ascii="Times New Roman" w:hAnsi="Times New Roman" w:eastAsia="宋体" w:cs="Times New Roman"/>
          <w:spacing w:val="-3"/>
          <w:sz w:val="24"/>
          <w:szCs w:val="24"/>
          <w:highlight w:val="none"/>
          <w:lang w:val="en-US" w:eastAsia="zh-CN" w:bidi="ar-SA"/>
        </w:rPr>
        <w:t>管</w:t>
      </w:r>
      <w:r>
        <w:rPr>
          <w:rFonts w:hint="eastAsia" w:ascii="Times New Roman" w:hAnsi="Times New Roman" w:eastAsia="宋体" w:cs="Times New Roman"/>
          <w:sz w:val="24"/>
          <w:szCs w:val="24"/>
          <w:highlight w:val="none"/>
          <w:lang w:val="en-US" w:eastAsia="zh-CN" w:bidi="ar-SA"/>
        </w:rPr>
        <w:t>理，</w:t>
      </w:r>
      <w:r>
        <w:rPr>
          <w:rFonts w:hint="eastAsia" w:ascii="Times New Roman" w:hAnsi="Times New Roman" w:eastAsia="宋体" w:cs="Times New Roman"/>
          <w:spacing w:val="-3"/>
          <w:sz w:val="24"/>
          <w:szCs w:val="24"/>
          <w:highlight w:val="none"/>
          <w:lang w:val="en-US" w:eastAsia="zh-CN" w:bidi="ar-SA"/>
        </w:rPr>
        <w:t>实</w:t>
      </w:r>
      <w:r>
        <w:rPr>
          <w:rFonts w:hint="eastAsia" w:ascii="Times New Roman" w:hAnsi="Times New Roman" w:eastAsia="宋体" w:cs="Times New Roman"/>
          <w:sz w:val="24"/>
          <w:szCs w:val="24"/>
          <w:highlight w:val="none"/>
          <w:lang w:val="en-US" w:eastAsia="zh-CN" w:bidi="ar-SA"/>
        </w:rPr>
        <w:t>现</w:t>
      </w:r>
      <w:r>
        <w:rPr>
          <w:rFonts w:hint="eastAsia" w:ascii="Times New Roman" w:hAnsi="Times New Roman" w:eastAsia="宋体" w:cs="Times New Roman"/>
          <w:spacing w:val="-3"/>
          <w:sz w:val="24"/>
          <w:szCs w:val="24"/>
          <w:highlight w:val="none"/>
          <w:lang w:val="en-US" w:eastAsia="zh-CN" w:bidi="ar-SA"/>
        </w:rPr>
        <w:t>创</w:t>
      </w:r>
      <w:r>
        <w:rPr>
          <w:rFonts w:hint="eastAsia" w:ascii="Times New Roman" w:hAnsi="Times New Roman" w:eastAsia="宋体" w:cs="Times New Roman"/>
          <w:sz w:val="24"/>
          <w:szCs w:val="24"/>
          <w:highlight w:val="none"/>
          <w:lang w:val="en-US" w:eastAsia="zh-CN" w:bidi="ar-SA"/>
        </w:rPr>
        <w:t>建</w:t>
      </w:r>
      <w:r>
        <w:rPr>
          <w:rFonts w:hint="eastAsia" w:ascii="Times New Roman" w:hAnsi="Times New Roman" w:eastAsia="宋体" w:cs="Times New Roman"/>
          <w:spacing w:val="-3"/>
          <w:sz w:val="24"/>
          <w:szCs w:val="24"/>
          <w:highlight w:val="none"/>
          <w:lang w:val="en-US" w:eastAsia="zh-CN" w:bidi="ar-SA"/>
        </w:rPr>
        <w:t>连</w:t>
      </w:r>
      <w:r>
        <w:rPr>
          <w:rFonts w:hint="eastAsia" w:ascii="Times New Roman" w:hAnsi="Times New Roman" w:eastAsia="宋体" w:cs="Times New Roman"/>
          <w:sz w:val="24"/>
          <w:szCs w:val="24"/>
          <w:highlight w:val="none"/>
          <w:lang w:val="en-US" w:eastAsia="zh-CN" w:bidi="ar-SA"/>
        </w:rPr>
        <w:t>接</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断</w:t>
      </w:r>
      <w:r>
        <w:rPr>
          <w:rFonts w:hint="eastAsia" w:ascii="Times New Roman" w:hAnsi="Times New Roman" w:eastAsia="宋体" w:cs="Times New Roman"/>
          <w:spacing w:val="-3"/>
          <w:sz w:val="24"/>
          <w:szCs w:val="24"/>
          <w:highlight w:val="none"/>
          <w:lang w:val="en-US" w:eastAsia="zh-CN" w:bidi="ar-SA"/>
        </w:rPr>
        <w:t>开</w:t>
      </w:r>
      <w:r>
        <w:rPr>
          <w:rFonts w:hint="eastAsia" w:ascii="Times New Roman" w:hAnsi="Times New Roman" w:eastAsia="宋体" w:cs="Times New Roman"/>
          <w:sz w:val="24"/>
          <w:szCs w:val="24"/>
          <w:highlight w:val="none"/>
          <w:lang w:val="en-US" w:eastAsia="zh-CN" w:bidi="ar-SA"/>
        </w:rPr>
        <w:t>连接</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心</w:t>
      </w:r>
      <w:r>
        <w:rPr>
          <w:rFonts w:hint="eastAsia" w:ascii="Times New Roman" w:hAnsi="Times New Roman" w:eastAsia="宋体" w:cs="Times New Roman"/>
          <w:spacing w:val="-3"/>
          <w:sz w:val="24"/>
          <w:szCs w:val="24"/>
          <w:highlight w:val="none"/>
          <w:lang w:val="en-US" w:eastAsia="zh-CN" w:bidi="ar-SA"/>
        </w:rPr>
        <w:t>跳</w:t>
      </w:r>
      <w:r>
        <w:rPr>
          <w:rFonts w:hint="eastAsia" w:ascii="Times New Roman" w:hAnsi="Times New Roman" w:eastAsia="宋体" w:cs="Times New Roman"/>
          <w:sz w:val="24"/>
          <w:szCs w:val="24"/>
          <w:highlight w:val="none"/>
          <w:lang w:val="en-US" w:eastAsia="zh-CN" w:bidi="ar-SA"/>
        </w:rPr>
        <w:t>保</w:t>
      </w:r>
      <w:r>
        <w:rPr>
          <w:rFonts w:hint="eastAsia" w:ascii="Times New Roman" w:hAnsi="Times New Roman" w:eastAsia="宋体" w:cs="Times New Roman"/>
          <w:spacing w:val="-3"/>
          <w:sz w:val="24"/>
          <w:szCs w:val="24"/>
          <w:highlight w:val="none"/>
          <w:lang w:val="en-US" w:eastAsia="zh-CN" w:bidi="ar-SA"/>
        </w:rPr>
        <w:t>持</w:t>
      </w:r>
      <w:r>
        <w:rPr>
          <w:rFonts w:hint="eastAsia" w:ascii="Times New Roman" w:hAnsi="Times New Roman" w:eastAsia="宋体" w:cs="Times New Roman"/>
          <w:sz w:val="24"/>
          <w:szCs w:val="24"/>
          <w:highlight w:val="none"/>
          <w:lang w:val="en-US" w:eastAsia="zh-CN" w:bidi="ar-SA"/>
        </w:rPr>
        <w:t>等</w:t>
      </w:r>
      <w:r>
        <w:rPr>
          <w:rFonts w:hint="eastAsia" w:ascii="Times New Roman" w:hAnsi="Times New Roman" w:eastAsia="宋体" w:cs="Times New Roman"/>
          <w:spacing w:val="-3"/>
          <w:sz w:val="24"/>
          <w:szCs w:val="24"/>
          <w:highlight w:val="none"/>
          <w:lang w:val="en-US" w:eastAsia="zh-CN" w:bidi="ar-SA"/>
        </w:rPr>
        <w:t>连</w:t>
      </w:r>
      <w:r>
        <w:rPr>
          <w:rFonts w:hint="eastAsia" w:ascii="Times New Roman" w:hAnsi="Times New Roman" w:eastAsia="宋体" w:cs="Times New Roman"/>
          <w:sz w:val="24"/>
          <w:szCs w:val="24"/>
          <w:highlight w:val="none"/>
          <w:lang w:val="en-US" w:eastAsia="zh-CN" w:bidi="ar-SA"/>
        </w:rPr>
        <w:t>接</w:t>
      </w:r>
      <w:r>
        <w:rPr>
          <w:rFonts w:hint="eastAsia" w:ascii="Times New Roman" w:hAnsi="Times New Roman" w:eastAsia="宋体" w:cs="Times New Roman"/>
          <w:spacing w:val="-3"/>
          <w:sz w:val="24"/>
          <w:szCs w:val="24"/>
          <w:highlight w:val="none"/>
          <w:lang w:val="en-US" w:eastAsia="zh-CN" w:bidi="ar-SA"/>
        </w:rPr>
        <w:t>池</w:t>
      </w:r>
      <w:r>
        <w:rPr>
          <w:rFonts w:hint="eastAsia" w:ascii="Times New Roman" w:hAnsi="Times New Roman" w:eastAsia="宋体" w:cs="Times New Roman"/>
          <w:sz w:val="24"/>
          <w:szCs w:val="24"/>
          <w:highlight w:val="none"/>
          <w:lang w:val="en-US" w:eastAsia="zh-CN" w:bidi="ar-SA"/>
        </w:rPr>
        <w:t>管理</w:t>
      </w:r>
      <w:r>
        <w:rPr>
          <w:rFonts w:hint="eastAsia" w:ascii="Times New Roman" w:hAnsi="Times New Roman" w:eastAsia="宋体" w:cs="Times New Roman"/>
          <w:spacing w:val="-3"/>
          <w:sz w:val="24"/>
          <w:szCs w:val="24"/>
          <w:highlight w:val="none"/>
          <w:lang w:val="en-US" w:eastAsia="zh-CN" w:bidi="ar-SA"/>
        </w:rPr>
        <w:t>机</w:t>
      </w:r>
      <w:r>
        <w:rPr>
          <w:rFonts w:hint="eastAsia" w:ascii="Times New Roman" w:hAnsi="Times New Roman" w:eastAsia="宋体" w:cs="Times New Roman"/>
          <w:sz w:val="24"/>
          <w:szCs w:val="24"/>
          <w:highlight w:val="none"/>
          <w:lang w:val="en-US" w:eastAsia="zh-CN" w:bidi="ar-SA"/>
        </w:rPr>
        <w:t>制</w:t>
      </w:r>
      <w:r>
        <w:rPr>
          <w:rFonts w:hint="eastAsia" w:ascii="Times New Roman" w:hAnsi="Times New Roman" w:eastAsia="宋体" w:cs="Times New Roman"/>
          <w:spacing w:val="-3"/>
          <w:sz w:val="24"/>
          <w:szCs w:val="24"/>
          <w:highlight w:val="none"/>
          <w:lang w:val="en-US" w:eastAsia="zh-CN" w:bidi="ar-SA"/>
        </w:rPr>
        <w:t>。</w:t>
      </w:r>
    </w:p>
    <w:p w14:paraId="2650C443">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顺序控制</w:t>
      </w:r>
    </w:p>
    <w:p w14:paraId="762F1EB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根据</w:t>
      </w:r>
      <w:r>
        <w:rPr>
          <w:rFonts w:hint="eastAsia" w:ascii="Times New Roman" w:hAnsi="Times New Roman" w:eastAsia="宋体" w:cs="Times New Roman"/>
          <w:spacing w:val="-3"/>
          <w:sz w:val="24"/>
          <w:szCs w:val="24"/>
          <w:highlight w:val="none"/>
          <w:lang w:val="en-US" w:eastAsia="zh-CN" w:bidi="ar-SA"/>
        </w:rPr>
        <w:t>解</w:t>
      </w:r>
      <w:r>
        <w:rPr>
          <w:rFonts w:hint="eastAsia" w:ascii="Times New Roman" w:hAnsi="Times New Roman" w:eastAsia="宋体" w:cs="Times New Roman"/>
          <w:sz w:val="24"/>
          <w:szCs w:val="24"/>
          <w:highlight w:val="none"/>
          <w:lang w:val="en-US" w:eastAsia="zh-CN" w:bidi="ar-SA"/>
        </w:rPr>
        <w:t>析</w:t>
      </w:r>
      <w:r>
        <w:rPr>
          <w:rFonts w:hint="eastAsia" w:ascii="Times New Roman" w:hAnsi="Times New Roman" w:eastAsia="宋体" w:cs="Times New Roman"/>
          <w:spacing w:val="-3"/>
          <w:sz w:val="24"/>
          <w:szCs w:val="24"/>
          <w:highlight w:val="none"/>
          <w:lang w:val="en-US" w:eastAsia="zh-CN" w:bidi="ar-SA"/>
        </w:rPr>
        <w:t>转</w:t>
      </w:r>
      <w:r>
        <w:rPr>
          <w:rFonts w:hint="eastAsia" w:ascii="Times New Roman" w:hAnsi="Times New Roman" w:eastAsia="宋体" w:cs="Times New Roman"/>
          <w:sz w:val="24"/>
          <w:szCs w:val="24"/>
          <w:highlight w:val="none"/>
          <w:lang w:val="en-US" w:eastAsia="zh-CN" w:bidi="ar-SA"/>
        </w:rPr>
        <w:t>换</w:t>
      </w:r>
      <w:r>
        <w:rPr>
          <w:rFonts w:hint="eastAsia" w:ascii="Times New Roman" w:hAnsi="Times New Roman" w:eastAsia="宋体" w:cs="Times New Roman"/>
          <w:spacing w:val="-3"/>
          <w:sz w:val="24"/>
          <w:szCs w:val="24"/>
          <w:highlight w:val="none"/>
          <w:lang w:val="en-US" w:eastAsia="zh-CN" w:bidi="ar-SA"/>
        </w:rPr>
        <w:t>的</w:t>
      </w:r>
      <w:r>
        <w:rPr>
          <w:rFonts w:hint="eastAsia" w:ascii="Times New Roman" w:hAnsi="Times New Roman" w:eastAsia="宋体" w:cs="Times New Roman"/>
          <w:sz w:val="24"/>
          <w:szCs w:val="24"/>
          <w:highlight w:val="none"/>
          <w:lang w:val="en-US" w:eastAsia="zh-CN" w:bidi="ar-SA"/>
        </w:rPr>
        <w:t>指</w:t>
      </w:r>
      <w:r>
        <w:rPr>
          <w:rFonts w:hint="eastAsia" w:ascii="Times New Roman" w:hAnsi="Times New Roman" w:eastAsia="宋体" w:cs="Times New Roman"/>
          <w:spacing w:val="-3"/>
          <w:sz w:val="24"/>
          <w:szCs w:val="24"/>
          <w:highlight w:val="none"/>
          <w:lang w:val="en-US" w:eastAsia="zh-CN" w:bidi="ar-SA"/>
        </w:rPr>
        <w:t>令</w:t>
      </w:r>
      <w:r>
        <w:rPr>
          <w:rFonts w:hint="eastAsia" w:ascii="Times New Roman" w:hAnsi="Times New Roman" w:eastAsia="宋体" w:cs="Times New Roman"/>
          <w:sz w:val="24"/>
          <w:szCs w:val="24"/>
          <w:highlight w:val="none"/>
          <w:lang w:val="en-US" w:eastAsia="zh-CN" w:bidi="ar-SA"/>
        </w:rPr>
        <w:t>顺</w:t>
      </w:r>
      <w:r>
        <w:rPr>
          <w:rFonts w:hint="eastAsia" w:ascii="Times New Roman" w:hAnsi="Times New Roman" w:eastAsia="宋体" w:cs="Times New Roman"/>
          <w:spacing w:val="-3"/>
          <w:sz w:val="24"/>
          <w:szCs w:val="24"/>
          <w:highlight w:val="none"/>
          <w:lang w:val="en-US" w:eastAsia="zh-CN" w:bidi="ar-SA"/>
        </w:rPr>
        <w:t>序</w:t>
      </w:r>
      <w:r>
        <w:rPr>
          <w:rFonts w:hint="eastAsia" w:ascii="Times New Roman" w:hAnsi="Times New Roman" w:eastAsia="宋体" w:cs="Times New Roman"/>
          <w:sz w:val="24"/>
          <w:szCs w:val="24"/>
          <w:highlight w:val="none"/>
          <w:lang w:val="en-US" w:eastAsia="zh-CN" w:bidi="ar-SA"/>
        </w:rPr>
        <w:t>关系</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实</w:t>
      </w:r>
      <w:r>
        <w:rPr>
          <w:rFonts w:hint="eastAsia" w:ascii="Times New Roman" w:hAnsi="Times New Roman" w:eastAsia="宋体" w:cs="Times New Roman"/>
          <w:spacing w:val="-3"/>
          <w:sz w:val="24"/>
          <w:szCs w:val="24"/>
          <w:highlight w:val="none"/>
          <w:lang w:val="en-US" w:eastAsia="zh-CN" w:bidi="ar-SA"/>
        </w:rPr>
        <w:t>现</w:t>
      </w:r>
      <w:r>
        <w:rPr>
          <w:rFonts w:hint="eastAsia" w:ascii="Times New Roman" w:hAnsi="Times New Roman" w:eastAsia="宋体" w:cs="Times New Roman"/>
          <w:sz w:val="24"/>
          <w:szCs w:val="24"/>
          <w:highlight w:val="none"/>
          <w:lang w:val="en-US" w:eastAsia="zh-CN" w:bidi="ar-SA"/>
        </w:rPr>
        <w:t>指</w:t>
      </w:r>
      <w:r>
        <w:rPr>
          <w:rFonts w:hint="eastAsia" w:ascii="Times New Roman" w:hAnsi="Times New Roman" w:eastAsia="宋体" w:cs="Times New Roman"/>
          <w:spacing w:val="-3"/>
          <w:sz w:val="24"/>
          <w:szCs w:val="24"/>
          <w:highlight w:val="none"/>
          <w:lang w:val="en-US" w:eastAsia="zh-CN" w:bidi="ar-SA"/>
        </w:rPr>
        <w:t>令</w:t>
      </w:r>
      <w:r>
        <w:rPr>
          <w:rFonts w:hint="eastAsia" w:ascii="Times New Roman" w:hAnsi="Times New Roman" w:eastAsia="宋体" w:cs="Times New Roman"/>
          <w:sz w:val="24"/>
          <w:szCs w:val="24"/>
          <w:highlight w:val="none"/>
          <w:lang w:val="en-US" w:eastAsia="zh-CN" w:bidi="ar-SA"/>
        </w:rPr>
        <w:t>的</w:t>
      </w:r>
      <w:r>
        <w:rPr>
          <w:rFonts w:hint="eastAsia" w:ascii="Times New Roman" w:hAnsi="Times New Roman" w:eastAsia="宋体" w:cs="Times New Roman"/>
          <w:spacing w:val="-3"/>
          <w:sz w:val="24"/>
          <w:szCs w:val="24"/>
          <w:highlight w:val="none"/>
          <w:lang w:val="en-US" w:eastAsia="zh-CN" w:bidi="ar-SA"/>
        </w:rPr>
        <w:t>顺</w:t>
      </w:r>
      <w:r>
        <w:rPr>
          <w:rFonts w:hint="eastAsia" w:ascii="Times New Roman" w:hAnsi="Times New Roman" w:eastAsia="宋体" w:cs="Times New Roman"/>
          <w:sz w:val="24"/>
          <w:szCs w:val="24"/>
          <w:highlight w:val="none"/>
          <w:lang w:val="en-US" w:eastAsia="zh-CN" w:bidi="ar-SA"/>
        </w:rPr>
        <w:t>序</w:t>
      </w:r>
      <w:r>
        <w:rPr>
          <w:rFonts w:hint="eastAsia" w:ascii="Times New Roman" w:hAnsi="Times New Roman" w:eastAsia="宋体" w:cs="Times New Roman"/>
          <w:spacing w:val="-3"/>
          <w:sz w:val="24"/>
          <w:szCs w:val="24"/>
          <w:highlight w:val="none"/>
          <w:lang w:val="en-US" w:eastAsia="zh-CN" w:bidi="ar-SA"/>
        </w:rPr>
        <w:t>下</w:t>
      </w:r>
      <w:r>
        <w:rPr>
          <w:rFonts w:hint="eastAsia" w:ascii="Times New Roman" w:hAnsi="Times New Roman" w:eastAsia="宋体" w:cs="Times New Roman"/>
          <w:sz w:val="24"/>
          <w:szCs w:val="24"/>
          <w:highlight w:val="none"/>
          <w:lang w:val="en-US" w:eastAsia="zh-CN" w:bidi="ar-SA"/>
        </w:rPr>
        <w:t>发，</w:t>
      </w:r>
      <w:r>
        <w:rPr>
          <w:rFonts w:hint="eastAsia" w:ascii="Times New Roman" w:hAnsi="Times New Roman" w:eastAsia="宋体" w:cs="Times New Roman"/>
          <w:spacing w:val="-3"/>
          <w:sz w:val="24"/>
          <w:szCs w:val="24"/>
          <w:highlight w:val="none"/>
          <w:lang w:val="en-US" w:eastAsia="zh-CN" w:bidi="ar-SA"/>
        </w:rPr>
        <w:t>并</w:t>
      </w:r>
      <w:r>
        <w:rPr>
          <w:rFonts w:hint="eastAsia" w:ascii="Times New Roman" w:hAnsi="Times New Roman" w:eastAsia="宋体" w:cs="Times New Roman"/>
          <w:sz w:val="24"/>
          <w:szCs w:val="24"/>
          <w:highlight w:val="none"/>
          <w:lang w:val="en-US" w:eastAsia="zh-CN" w:bidi="ar-SA"/>
        </w:rPr>
        <w:t>根</w:t>
      </w:r>
      <w:r>
        <w:rPr>
          <w:rFonts w:hint="eastAsia" w:ascii="Times New Roman" w:hAnsi="Times New Roman" w:eastAsia="宋体" w:cs="Times New Roman"/>
          <w:spacing w:val="-3"/>
          <w:sz w:val="24"/>
          <w:szCs w:val="24"/>
          <w:highlight w:val="none"/>
          <w:lang w:val="en-US" w:eastAsia="zh-CN" w:bidi="ar-SA"/>
        </w:rPr>
        <w:t>据</w:t>
      </w:r>
      <w:r>
        <w:rPr>
          <w:rFonts w:hint="eastAsia" w:ascii="Times New Roman" w:hAnsi="Times New Roman" w:eastAsia="宋体" w:cs="Times New Roman"/>
          <w:sz w:val="24"/>
          <w:szCs w:val="24"/>
          <w:highlight w:val="none"/>
          <w:lang w:val="en-US" w:eastAsia="zh-CN" w:bidi="ar-SA"/>
        </w:rPr>
        <w:t>指</w:t>
      </w:r>
      <w:r>
        <w:rPr>
          <w:rFonts w:hint="eastAsia" w:ascii="Times New Roman" w:hAnsi="Times New Roman" w:eastAsia="宋体" w:cs="Times New Roman"/>
          <w:spacing w:val="-3"/>
          <w:sz w:val="24"/>
          <w:szCs w:val="24"/>
          <w:highlight w:val="none"/>
          <w:lang w:val="en-US" w:eastAsia="zh-CN" w:bidi="ar-SA"/>
        </w:rPr>
        <w:t>令</w:t>
      </w:r>
      <w:r>
        <w:rPr>
          <w:rFonts w:hint="eastAsia" w:ascii="Times New Roman" w:hAnsi="Times New Roman" w:eastAsia="宋体" w:cs="Times New Roman"/>
          <w:sz w:val="24"/>
          <w:szCs w:val="24"/>
          <w:highlight w:val="none"/>
          <w:lang w:val="en-US" w:eastAsia="zh-CN" w:bidi="ar-SA"/>
        </w:rPr>
        <w:t>执</w:t>
      </w:r>
      <w:r>
        <w:rPr>
          <w:rFonts w:hint="eastAsia" w:ascii="Times New Roman" w:hAnsi="Times New Roman" w:eastAsia="宋体" w:cs="Times New Roman"/>
          <w:spacing w:val="-3"/>
          <w:sz w:val="24"/>
          <w:szCs w:val="24"/>
          <w:highlight w:val="none"/>
          <w:lang w:val="en-US" w:eastAsia="zh-CN" w:bidi="ar-SA"/>
        </w:rPr>
        <w:t>行</w:t>
      </w:r>
      <w:r>
        <w:rPr>
          <w:rFonts w:hint="eastAsia" w:ascii="Times New Roman" w:hAnsi="Times New Roman" w:eastAsia="宋体" w:cs="Times New Roman"/>
          <w:sz w:val="24"/>
          <w:szCs w:val="24"/>
          <w:highlight w:val="none"/>
          <w:lang w:val="en-US" w:eastAsia="zh-CN" w:bidi="ar-SA"/>
        </w:rPr>
        <w:t>结</w:t>
      </w:r>
      <w:r>
        <w:rPr>
          <w:rFonts w:hint="eastAsia" w:ascii="Times New Roman" w:hAnsi="Times New Roman" w:eastAsia="宋体" w:cs="Times New Roman"/>
          <w:spacing w:val="-3"/>
          <w:sz w:val="24"/>
          <w:szCs w:val="24"/>
          <w:highlight w:val="none"/>
          <w:lang w:val="en-US" w:eastAsia="zh-CN" w:bidi="ar-SA"/>
        </w:rPr>
        <w:t>果</w:t>
      </w:r>
      <w:r>
        <w:rPr>
          <w:rFonts w:hint="eastAsia" w:ascii="Times New Roman" w:hAnsi="Times New Roman" w:eastAsia="宋体" w:cs="Times New Roman"/>
          <w:sz w:val="24"/>
          <w:szCs w:val="24"/>
          <w:highlight w:val="none"/>
          <w:lang w:val="en-US" w:eastAsia="zh-CN" w:bidi="ar-SA"/>
        </w:rPr>
        <w:t>进行</w:t>
      </w:r>
      <w:r>
        <w:rPr>
          <w:rFonts w:hint="eastAsia" w:ascii="Times New Roman" w:hAnsi="Times New Roman" w:eastAsia="宋体" w:cs="Times New Roman"/>
          <w:spacing w:val="-3"/>
          <w:sz w:val="24"/>
          <w:szCs w:val="24"/>
          <w:highlight w:val="none"/>
          <w:lang w:val="en-US" w:eastAsia="zh-CN" w:bidi="ar-SA"/>
        </w:rPr>
        <w:t>成</w:t>
      </w:r>
      <w:r>
        <w:rPr>
          <w:rFonts w:hint="eastAsia" w:ascii="Times New Roman" w:hAnsi="Times New Roman" w:eastAsia="宋体" w:cs="Times New Roman"/>
          <w:sz w:val="24"/>
          <w:szCs w:val="24"/>
          <w:highlight w:val="none"/>
          <w:lang w:val="en-US" w:eastAsia="zh-CN" w:bidi="ar-SA"/>
        </w:rPr>
        <w:t>功</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失</w:t>
      </w:r>
      <w:r>
        <w:rPr>
          <w:rFonts w:hint="eastAsia" w:ascii="Times New Roman" w:hAnsi="Times New Roman" w:eastAsia="宋体" w:cs="Times New Roman"/>
          <w:spacing w:val="-1"/>
          <w:sz w:val="24"/>
          <w:szCs w:val="24"/>
          <w:highlight w:val="none"/>
          <w:lang w:val="en-US" w:eastAsia="zh-CN" w:bidi="ar-SA"/>
        </w:rPr>
        <w:t>败</w:t>
      </w:r>
      <w:r>
        <w:rPr>
          <w:rFonts w:hint="eastAsia" w:ascii="Times New Roman" w:hAnsi="Times New Roman" w:eastAsia="宋体" w:cs="Times New Roman"/>
          <w:sz w:val="24"/>
          <w:szCs w:val="24"/>
          <w:highlight w:val="none"/>
          <w:lang w:val="en-US" w:eastAsia="zh-CN" w:bidi="ar-SA"/>
        </w:rPr>
        <w:t>/</w:t>
      </w:r>
      <w:r>
        <w:rPr>
          <w:rFonts w:hint="eastAsia" w:ascii="Times New Roman" w:hAnsi="Times New Roman" w:eastAsia="宋体" w:cs="Times New Roman"/>
          <w:spacing w:val="-3"/>
          <w:sz w:val="24"/>
          <w:szCs w:val="24"/>
          <w:highlight w:val="none"/>
          <w:lang w:val="en-US" w:eastAsia="zh-CN" w:bidi="ar-SA"/>
        </w:rPr>
        <w:t>分</w:t>
      </w:r>
      <w:r>
        <w:rPr>
          <w:rFonts w:hint="eastAsia" w:ascii="Times New Roman" w:hAnsi="Times New Roman" w:eastAsia="宋体" w:cs="Times New Roman"/>
          <w:sz w:val="24"/>
          <w:szCs w:val="24"/>
          <w:highlight w:val="none"/>
          <w:lang w:val="en-US" w:eastAsia="zh-CN" w:bidi="ar-SA"/>
        </w:rPr>
        <w:t>支</w:t>
      </w:r>
      <w:r>
        <w:rPr>
          <w:rFonts w:hint="eastAsia" w:ascii="Times New Roman" w:hAnsi="Times New Roman" w:eastAsia="宋体" w:cs="Times New Roman"/>
          <w:spacing w:val="-3"/>
          <w:sz w:val="24"/>
          <w:szCs w:val="24"/>
          <w:highlight w:val="none"/>
          <w:lang w:val="en-US" w:eastAsia="zh-CN" w:bidi="ar-SA"/>
        </w:rPr>
        <w:t>跳</w:t>
      </w:r>
      <w:r>
        <w:rPr>
          <w:rFonts w:hint="eastAsia" w:ascii="Times New Roman" w:hAnsi="Times New Roman" w:eastAsia="宋体" w:cs="Times New Roman"/>
          <w:sz w:val="24"/>
          <w:szCs w:val="24"/>
          <w:highlight w:val="none"/>
          <w:lang w:val="en-US" w:eastAsia="zh-CN" w:bidi="ar-SA"/>
        </w:rPr>
        <w:t>转</w:t>
      </w:r>
      <w:r>
        <w:rPr>
          <w:rFonts w:hint="eastAsia" w:ascii="Times New Roman" w:hAnsi="Times New Roman" w:eastAsia="宋体" w:cs="Times New Roman"/>
          <w:spacing w:val="-3"/>
          <w:sz w:val="24"/>
          <w:szCs w:val="24"/>
          <w:highlight w:val="none"/>
          <w:lang w:val="en-US" w:eastAsia="zh-CN" w:bidi="ar-SA"/>
        </w:rPr>
        <w:t>。</w:t>
      </w:r>
    </w:p>
    <w:p w14:paraId="6DD124D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流量控制</w:t>
      </w:r>
    </w:p>
    <w:p w14:paraId="4A7008A5">
      <w:pPr>
        <w:widowControl w:val="0"/>
        <w:spacing w:line="360" w:lineRule="auto"/>
        <w:ind w:firstLine="480" w:firstLineChars="200"/>
        <w:jc w:val="both"/>
        <w:rPr>
          <w:rFonts w:ascii="Times New Roman" w:hAnsi="Times New Roman" w:eastAsia="宋体" w:cs="Times New Roman"/>
          <w:spacing w:val="-2"/>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针对</w:t>
      </w:r>
      <w:r>
        <w:rPr>
          <w:rFonts w:hint="eastAsia" w:ascii="Times New Roman" w:hAnsi="Times New Roman" w:eastAsia="宋体" w:cs="Times New Roman"/>
          <w:spacing w:val="-3"/>
          <w:sz w:val="24"/>
          <w:szCs w:val="24"/>
          <w:highlight w:val="none"/>
          <w:lang w:val="en-US" w:eastAsia="zh-CN" w:bidi="ar-SA"/>
        </w:rPr>
        <w:t>具</w:t>
      </w:r>
      <w:r>
        <w:rPr>
          <w:rFonts w:hint="eastAsia" w:ascii="Times New Roman" w:hAnsi="Times New Roman" w:eastAsia="宋体" w:cs="Times New Roman"/>
          <w:sz w:val="24"/>
          <w:szCs w:val="24"/>
          <w:highlight w:val="none"/>
          <w:lang w:val="en-US" w:eastAsia="zh-CN" w:bidi="ar-SA"/>
        </w:rPr>
        <w:t>体</w:t>
      </w:r>
      <w:r>
        <w:rPr>
          <w:rFonts w:hint="eastAsia" w:ascii="Times New Roman" w:hAnsi="Times New Roman" w:eastAsia="宋体" w:cs="Times New Roman"/>
          <w:spacing w:val="-3"/>
          <w:sz w:val="24"/>
          <w:szCs w:val="24"/>
          <w:highlight w:val="none"/>
          <w:lang w:val="en-US" w:eastAsia="zh-CN" w:bidi="ar-SA"/>
        </w:rPr>
        <w:t>的</w:t>
      </w:r>
      <w:r>
        <w:rPr>
          <w:rFonts w:hint="eastAsia" w:ascii="Times New Roman" w:hAnsi="Times New Roman" w:eastAsia="宋体" w:cs="Times New Roman"/>
          <w:sz w:val="24"/>
          <w:szCs w:val="24"/>
          <w:highlight w:val="none"/>
          <w:lang w:val="en-US" w:eastAsia="zh-CN" w:bidi="ar-SA"/>
        </w:rPr>
        <w:t>控</w:t>
      </w:r>
      <w:r>
        <w:rPr>
          <w:rFonts w:hint="eastAsia" w:ascii="Times New Roman" w:hAnsi="Times New Roman" w:eastAsia="宋体" w:cs="Times New Roman"/>
          <w:spacing w:val="-3"/>
          <w:sz w:val="24"/>
          <w:szCs w:val="24"/>
          <w:highlight w:val="none"/>
          <w:lang w:val="en-US" w:eastAsia="zh-CN" w:bidi="ar-SA"/>
        </w:rPr>
        <w:t>制</w:t>
      </w:r>
      <w:r>
        <w:rPr>
          <w:rFonts w:hint="eastAsia" w:ascii="Times New Roman" w:hAnsi="Times New Roman" w:eastAsia="宋体" w:cs="Times New Roman"/>
          <w:sz w:val="24"/>
          <w:szCs w:val="24"/>
          <w:highlight w:val="none"/>
          <w:lang w:val="en-US" w:eastAsia="zh-CN" w:bidi="ar-SA"/>
        </w:rPr>
        <w:t>对</w:t>
      </w:r>
      <w:r>
        <w:rPr>
          <w:rFonts w:hint="eastAsia" w:ascii="Times New Roman" w:hAnsi="Times New Roman" w:eastAsia="宋体" w:cs="Times New Roman"/>
          <w:spacing w:val="-3"/>
          <w:sz w:val="24"/>
          <w:szCs w:val="24"/>
          <w:highlight w:val="none"/>
          <w:lang w:val="en-US" w:eastAsia="zh-CN" w:bidi="ar-SA"/>
        </w:rPr>
        <w:t>象</w:t>
      </w:r>
      <w:r>
        <w:rPr>
          <w:rFonts w:hint="eastAsia" w:ascii="Times New Roman" w:hAnsi="Times New Roman" w:eastAsia="宋体" w:cs="Times New Roman"/>
          <w:sz w:val="24"/>
          <w:szCs w:val="24"/>
          <w:highlight w:val="none"/>
          <w:lang w:val="en-US" w:eastAsia="zh-CN" w:bidi="ar-SA"/>
        </w:rPr>
        <w:t>进</w:t>
      </w:r>
      <w:r>
        <w:rPr>
          <w:rFonts w:hint="eastAsia" w:ascii="Times New Roman" w:hAnsi="Times New Roman" w:eastAsia="宋体" w:cs="Times New Roman"/>
          <w:spacing w:val="-3"/>
          <w:sz w:val="24"/>
          <w:szCs w:val="24"/>
          <w:highlight w:val="none"/>
          <w:lang w:val="en-US" w:eastAsia="zh-CN" w:bidi="ar-SA"/>
        </w:rPr>
        <w:t>行</w:t>
      </w:r>
      <w:r>
        <w:rPr>
          <w:rFonts w:hint="eastAsia" w:ascii="Times New Roman" w:hAnsi="Times New Roman" w:eastAsia="宋体" w:cs="Times New Roman"/>
          <w:sz w:val="24"/>
          <w:szCs w:val="24"/>
          <w:highlight w:val="none"/>
          <w:lang w:val="en-US" w:eastAsia="zh-CN" w:bidi="ar-SA"/>
        </w:rPr>
        <w:t>流量</w:t>
      </w:r>
      <w:r>
        <w:rPr>
          <w:rFonts w:hint="eastAsia" w:ascii="Times New Roman" w:hAnsi="Times New Roman" w:eastAsia="宋体" w:cs="Times New Roman"/>
          <w:spacing w:val="-3"/>
          <w:sz w:val="24"/>
          <w:szCs w:val="24"/>
          <w:highlight w:val="none"/>
          <w:lang w:val="en-US" w:eastAsia="zh-CN" w:bidi="ar-SA"/>
        </w:rPr>
        <w:t>控</w:t>
      </w:r>
      <w:r>
        <w:rPr>
          <w:rFonts w:hint="eastAsia" w:ascii="Times New Roman" w:hAnsi="Times New Roman" w:eastAsia="宋体" w:cs="Times New Roman"/>
          <w:sz w:val="24"/>
          <w:szCs w:val="24"/>
          <w:highlight w:val="none"/>
          <w:lang w:val="en-US" w:eastAsia="zh-CN" w:bidi="ar-SA"/>
        </w:rPr>
        <w:t>制</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在</w:t>
      </w:r>
      <w:r>
        <w:rPr>
          <w:rFonts w:hint="eastAsia" w:ascii="Times New Roman" w:hAnsi="Times New Roman" w:eastAsia="宋体" w:cs="Times New Roman"/>
          <w:spacing w:val="-3"/>
          <w:sz w:val="24"/>
          <w:szCs w:val="24"/>
          <w:highlight w:val="none"/>
          <w:lang w:val="en-US" w:eastAsia="zh-CN" w:bidi="ar-SA"/>
        </w:rPr>
        <w:t>已</w:t>
      </w:r>
      <w:r>
        <w:rPr>
          <w:rFonts w:hint="eastAsia" w:ascii="Times New Roman" w:hAnsi="Times New Roman" w:eastAsia="宋体" w:cs="Times New Roman"/>
          <w:sz w:val="24"/>
          <w:szCs w:val="24"/>
          <w:highlight w:val="none"/>
          <w:lang w:val="en-US" w:eastAsia="zh-CN" w:bidi="ar-SA"/>
        </w:rPr>
        <w:t>知</w:t>
      </w:r>
      <w:r>
        <w:rPr>
          <w:rFonts w:hint="eastAsia" w:ascii="Times New Roman" w:hAnsi="Times New Roman" w:eastAsia="宋体" w:cs="Times New Roman"/>
          <w:spacing w:val="-3"/>
          <w:sz w:val="24"/>
          <w:szCs w:val="24"/>
          <w:highlight w:val="none"/>
          <w:lang w:val="en-US" w:eastAsia="zh-CN" w:bidi="ar-SA"/>
        </w:rPr>
        <w:t>最</w:t>
      </w:r>
      <w:r>
        <w:rPr>
          <w:rFonts w:hint="eastAsia" w:ascii="Times New Roman" w:hAnsi="Times New Roman" w:eastAsia="宋体" w:cs="Times New Roman"/>
          <w:sz w:val="24"/>
          <w:szCs w:val="24"/>
          <w:highlight w:val="none"/>
          <w:lang w:val="en-US" w:eastAsia="zh-CN" w:bidi="ar-SA"/>
        </w:rPr>
        <w:t>大</w:t>
      </w:r>
      <w:r>
        <w:rPr>
          <w:rFonts w:hint="eastAsia" w:ascii="Times New Roman" w:hAnsi="Times New Roman" w:eastAsia="宋体" w:cs="Times New Roman"/>
          <w:spacing w:val="-3"/>
          <w:sz w:val="24"/>
          <w:szCs w:val="24"/>
          <w:highlight w:val="none"/>
          <w:lang w:val="en-US" w:eastAsia="zh-CN" w:bidi="ar-SA"/>
        </w:rPr>
        <w:t>连</w:t>
      </w:r>
      <w:r>
        <w:rPr>
          <w:rFonts w:hint="eastAsia" w:ascii="Times New Roman" w:hAnsi="Times New Roman" w:eastAsia="宋体" w:cs="Times New Roman"/>
          <w:sz w:val="24"/>
          <w:szCs w:val="24"/>
          <w:highlight w:val="none"/>
          <w:lang w:val="en-US" w:eastAsia="zh-CN" w:bidi="ar-SA"/>
        </w:rPr>
        <w:t>接数</w:t>
      </w:r>
      <w:r>
        <w:rPr>
          <w:rFonts w:hint="eastAsia" w:ascii="Times New Roman" w:hAnsi="Times New Roman" w:eastAsia="宋体" w:cs="Times New Roman"/>
          <w:spacing w:val="-3"/>
          <w:sz w:val="24"/>
          <w:szCs w:val="24"/>
          <w:highlight w:val="none"/>
          <w:lang w:val="en-US" w:eastAsia="zh-CN" w:bidi="ar-SA"/>
        </w:rPr>
        <w:t>的</w:t>
      </w:r>
      <w:r>
        <w:rPr>
          <w:rFonts w:hint="eastAsia" w:ascii="Times New Roman" w:hAnsi="Times New Roman" w:eastAsia="宋体" w:cs="Times New Roman"/>
          <w:sz w:val="24"/>
          <w:szCs w:val="24"/>
          <w:highlight w:val="none"/>
          <w:lang w:val="en-US" w:eastAsia="zh-CN" w:bidi="ar-SA"/>
        </w:rPr>
        <w:t>前</w:t>
      </w:r>
      <w:r>
        <w:rPr>
          <w:rFonts w:hint="eastAsia" w:ascii="Times New Roman" w:hAnsi="Times New Roman" w:eastAsia="宋体" w:cs="Times New Roman"/>
          <w:spacing w:val="-3"/>
          <w:sz w:val="24"/>
          <w:szCs w:val="24"/>
          <w:highlight w:val="none"/>
          <w:lang w:val="en-US" w:eastAsia="zh-CN" w:bidi="ar-SA"/>
        </w:rPr>
        <w:t>提</w:t>
      </w:r>
      <w:r>
        <w:rPr>
          <w:rFonts w:hint="eastAsia" w:ascii="Times New Roman" w:hAnsi="Times New Roman" w:eastAsia="宋体" w:cs="Times New Roman"/>
          <w:sz w:val="24"/>
          <w:szCs w:val="24"/>
          <w:highlight w:val="none"/>
          <w:lang w:val="en-US" w:eastAsia="zh-CN" w:bidi="ar-SA"/>
        </w:rPr>
        <w:t>下</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需</w:t>
      </w:r>
      <w:r>
        <w:rPr>
          <w:rFonts w:hint="eastAsia" w:ascii="Times New Roman" w:hAnsi="Times New Roman" w:eastAsia="宋体" w:cs="Times New Roman"/>
          <w:spacing w:val="-3"/>
          <w:sz w:val="24"/>
          <w:szCs w:val="24"/>
          <w:highlight w:val="none"/>
          <w:lang w:val="en-US" w:eastAsia="zh-CN" w:bidi="ar-SA"/>
        </w:rPr>
        <w:t>要</w:t>
      </w:r>
      <w:r>
        <w:rPr>
          <w:rFonts w:hint="eastAsia" w:ascii="Times New Roman" w:hAnsi="Times New Roman" w:eastAsia="宋体" w:cs="Times New Roman"/>
          <w:sz w:val="24"/>
          <w:szCs w:val="24"/>
          <w:highlight w:val="none"/>
          <w:lang w:val="en-US" w:eastAsia="zh-CN" w:bidi="ar-SA"/>
        </w:rPr>
        <w:t>限</w:t>
      </w:r>
      <w:r>
        <w:rPr>
          <w:rFonts w:hint="eastAsia" w:ascii="Times New Roman" w:hAnsi="Times New Roman" w:eastAsia="宋体" w:cs="Times New Roman"/>
          <w:spacing w:val="-3"/>
          <w:sz w:val="24"/>
          <w:szCs w:val="24"/>
          <w:highlight w:val="none"/>
          <w:lang w:val="en-US" w:eastAsia="zh-CN" w:bidi="ar-SA"/>
        </w:rPr>
        <w:t>定</w:t>
      </w:r>
      <w:r>
        <w:rPr>
          <w:rFonts w:hint="eastAsia" w:ascii="Times New Roman" w:hAnsi="Times New Roman" w:eastAsia="宋体" w:cs="Times New Roman"/>
          <w:sz w:val="24"/>
          <w:szCs w:val="24"/>
          <w:highlight w:val="none"/>
          <w:lang w:val="en-US" w:eastAsia="zh-CN" w:bidi="ar-SA"/>
        </w:rPr>
        <w:t>单位</w:t>
      </w:r>
      <w:r>
        <w:rPr>
          <w:rFonts w:hint="eastAsia" w:ascii="Times New Roman" w:hAnsi="Times New Roman" w:eastAsia="宋体" w:cs="Times New Roman"/>
          <w:spacing w:val="-3"/>
          <w:sz w:val="24"/>
          <w:szCs w:val="24"/>
          <w:highlight w:val="none"/>
          <w:lang w:val="en-US" w:eastAsia="zh-CN" w:bidi="ar-SA"/>
        </w:rPr>
        <w:t>时</w:t>
      </w:r>
      <w:r>
        <w:rPr>
          <w:rFonts w:hint="eastAsia" w:ascii="Times New Roman" w:hAnsi="Times New Roman" w:eastAsia="宋体" w:cs="Times New Roman"/>
          <w:sz w:val="24"/>
          <w:szCs w:val="24"/>
          <w:highlight w:val="none"/>
          <w:lang w:val="en-US" w:eastAsia="zh-CN" w:bidi="ar-SA"/>
        </w:rPr>
        <w:t>间</w:t>
      </w:r>
      <w:r>
        <w:rPr>
          <w:rFonts w:hint="eastAsia" w:ascii="Times New Roman" w:hAnsi="Times New Roman" w:eastAsia="宋体" w:cs="Times New Roman"/>
          <w:spacing w:val="-3"/>
          <w:sz w:val="24"/>
          <w:szCs w:val="24"/>
          <w:highlight w:val="none"/>
          <w:lang w:val="en-US" w:eastAsia="zh-CN" w:bidi="ar-SA"/>
        </w:rPr>
        <w:t>内</w:t>
      </w:r>
      <w:r>
        <w:rPr>
          <w:rFonts w:hint="eastAsia" w:ascii="Times New Roman" w:hAnsi="Times New Roman" w:eastAsia="宋体" w:cs="Times New Roman"/>
          <w:sz w:val="24"/>
          <w:szCs w:val="24"/>
          <w:highlight w:val="none"/>
          <w:lang w:val="en-US" w:eastAsia="zh-CN" w:bidi="ar-SA"/>
        </w:rPr>
        <w:t>允许下</w:t>
      </w:r>
      <w:r>
        <w:rPr>
          <w:rFonts w:hint="eastAsia" w:ascii="Times New Roman" w:hAnsi="Times New Roman" w:eastAsia="宋体" w:cs="Times New Roman"/>
          <w:spacing w:val="-3"/>
          <w:sz w:val="24"/>
          <w:szCs w:val="24"/>
          <w:highlight w:val="none"/>
          <w:lang w:val="en-US" w:eastAsia="zh-CN" w:bidi="ar-SA"/>
        </w:rPr>
        <w:t>发</w:t>
      </w:r>
      <w:r>
        <w:rPr>
          <w:rFonts w:hint="eastAsia" w:ascii="Times New Roman" w:hAnsi="Times New Roman" w:eastAsia="宋体" w:cs="Times New Roman"/>
          <w:sz w:val="24"/>
          <w:szCs w:val="24"/>
          <w:highlight w:val="none"/>
          <w:lang w:val="en-US" w:eastAsia="zh-CN" w:bidi="ar-SA"/>
        </w:rPr>
        <w:t>的</w:t>
      </w:r>
      <w:r>
        <w:rPr>
          <w:rFonts w:hint="eastAsia" w:ascii="Times New Roman" w:hAnsi="Times New Roman" w:eastAsia="宋体" w:cs="Times New Roman"/>
          <w:spacing w:val="-3"/>
          <w:sz w:val="24"/>
          <w:szCs w:val="24"/>
          <w:highlight w:val="none"/>
          <w:lang w:val="en-US" w:eastAsia="zh-CN" w:bidi="ar-SA"/>
        </w:rPr>
        <w:t>指</w:t>
      </w:r>
      <w:r>
        <w:rPr>
          <w:rFonts w:hint="eastAsia" w:ascii="Times New Roman" w:hAnsi="Times New Roman" w:eastAsia="宋体" w:cs="Times New Roman"/>
          <w:sz w:val="24"/>
          <w:szCs w:val="24"/>
          <w:highlight w:val="none"/>
          <w:lang w:val="en-US" w:eastAsia="zh-CN" w:bidi="ar-SA"/>
        </w:rPr>
        <w:t>令</w:t>
      </w:r>
      <w:r>
        <w:rPr>
          <w:rFonts w:hint="eastAsia" w:ascii="Times New Roman" w:hAnsi="Times New Roman" w:eastAsia="宋体" w:cs="Times New Roman"/>
          <w:spacing w:val="-3"/>
          <w:sz w:val="24"/>
          <w:szCs w:val="24"/>
          <w:highlight w:val="none"/>
          <w:lang w:val="en-US" w:eastAsia="zh-CN" w:bidi="ar-SA"/>
        </w:rPr>
        <w:t>最</w:t>
      </w:r>
      <w:r>
        <w:rPr>
          <w:rFonts w:hint="eastAsia" w:ascii="Times New Roman" w:hAnsi="Times New Roman" w:eastAsia="宋体" w:cs="Times New Roman"/>
          <w:sz w:val="24"/>
          <w:szCs w:val="24"/>
          <w:highlight w:val="none"/>
          <w:lang w:val="en-US" w:eastAsia="zh-CN" w:bidi="ar-SA"/>
        </w:rPr>
        <w:t>大</w:t>
      </w:r>
      <w:r>
        <w:rPr>
          <w:rFonts w:hint="eastAsia" w:ascii="Times New Roman" w:hAnsi="Times New Roman" w:eastAsia="宋体" w:cs="Times New Roman"/>
          <w:spacing w:val="-3"/>
          <w:sz w:val="24"/>
          <w:szCs w:val="24"/>
          <w:highlight w:val="none"/>
          <w:lang w:val="en-US" w:eastAsia="zh-CN" w:bidi="ar-SA"/>
        </w:rPr>
        <w:t>数</w:t>
      </w:r>
      <w:r>
        <w:rPr>
          <w:rFonts w:hint="eastAsia" w:ascii="Times New Roman" w:hAnsi="Times New Roman" w:eastAsia="宋体" w:cs="Times New Roman"/>
          <w:spacing w:val="-1"/>
          <w:sz w:val="24"/>
          <w:szCs w:val="24"/>
          <w:highlight w:val="none"/>
          <w:lang w:val="en-US" w:eastAsia="zh-CN" w:bidi="ar-SA"/>
        </w:rPr>
        <w:t>量</w:t>
      </w:r>
      <w:r>
        <w:rPr>
          <w:rFonts w:hint="eastAsia" w:ascii="Times New Roman" w:hAnsi="Times New Roman" w:eastAsia="宋体" w:cs="Times New Roman"/>
          <w:spacing w:val="-2"/>
          <w:sz w:val="24"/>
          <w:szCs w:val="24"/>
          <w:highlight w:val="none"/>
          <w:lang w:val="en-US" w:eastAsia="zh-CN" w:bidi="ar-SA"/>
        </w:rPr>
        <w:t>。</w:t>
      </w:r>
    </w:p>
    <w:p w14:paraId="4A8A2F47">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协议适配交互</w:t>
      </w:r>
    </w:p>
    <w:p w14:paraId="53E9B9A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适配</w:t>
      </w:r>
      <w:r>
        <w:rPr>
          <w:rFonts w:hint="eastAsia" w:ascii="Times New Roman" w:hAnsi="Times New Roman" w:eastAsia="宋体" w:cs="Times New Roman"/>
          <w:spacing w:val="-3"/>
          <w:sz w:val="24"/>
          <w:szCs w:val="24"/>
          <w:highlight w:val="none"/>
          <w:lang w:val="en-US" w:eastAsia="zh-CN" w:bidi="ar-SA"/>
        </w:rPr>
        <w:t>各</w:t>
      </w:r>
      <w:r>
        <w:rPr>
          <w:rFonts w:hint="eastAsia" w:ascii="Times New Roman" w:hAnsi="Times New Roman" w:eastAsia="宋体" w:cs="Times New Roman"/>
          <w:sz w:val="24"/>
          <w:szCs w:val="24"/>
          <w:highlight w:val="none"/>
          <w:lang w:val="en-US" w:eastAsia="zh-CN" w:bidi="ar-SA"/>
        </w:rPr>
        <w:t>种</w:t>
      </w:r>
      <w:r>
        <w:rPr>
          <w:rFonts w:hint="eastAsia" w:ascii="Times New Roman" w:hAnsi="Times New Roman" w:eastAsia="宋体" w:cs="Times New Roman"/>
          <w:spacing w:val="-3"/>
          <w:sz w:val="24"/>
          <w:szCs w:val="24"/>
          <w:highlight w:val="none"/>
          <w:lang w:val="en-US" w:eastAsia="zh-CN" w:bidi="ar-SA"/>
        </w:rPr>
        <w:t>网</w:t>
      </w:r>
      <w:r>
        <w:rPr>
          <w:rFonts w:hint="eastAsia" w:ascii="Times New Roman" w:hAnsi="Times New Roman" w:eastAsia="宋体" w:cs="Times New Roman"/>
          <w:sz w:val="24"/>
          <w:szCs w:val="24"/>
          <w:highlight w:val="none"/>
          <w:lang w:val="en-US" w:eastAsia="zh-CN" w:bidi="ar-SA"/>
        </w:rPr>
        <w:t>元</w:t>
      </w:r>
      <w:r>
        <w:rPr>
          <w:rFonts w:hint="eastAsia" w:ascii="Times New Roman" w:hAnsi="Times New Roman" w:eastAsia="宋体" w:cs="Times New Roman"/>
          <w:spacing w:val="-3"/>
          <w:sz w:val="24"/>
          <w:szCs w:val="24"/>
          <w:highlight w:val="none"/>
          <w:lang w:val="en-US" w:eastAsia="zh-CN" w:bidi="ar-SA"/>
        </w:rPr>
        <w:t>协</w:t>
      </w:r>
      <w:r>
        <w:rPr>
          <w:rFonts w:hint="eastAsia" w:ascii="Times New Roman" w:hAnsi="Times New Roman" w:eastAsia="宋体" w:cs="Times New Roman"/>
          <w:sz w:val="24"/>
          <w:szCs w:val="24"/>
          <w:highlight w:val="none"/>
          <w:lang w:val="en-US" w:eastAsia="zh-CN" w:bidi="ar-SA"/>
        </w:rPr>
        <w:t>议</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如</w:t>
      </w:r>
      <w:r>
        <w:rPr>
          <w:rFonts w:hint="eastAsia" w:ascii="Times New Roman" w:hAnsi="Times New Roman" w:eastAsia="宋体" w:cs="Times New Roman"/>
          <w:spacing w:val="-3"/>
          <w:sz w:val="24"/>
          <w:szCs w:val="24"/>
          <w:highlight w:val="none"/>
          <w:lang w:val="en-US" w:eastAsia="zh-CN" w:bidi="ar-SA"/>
        </w:rPr>
        <w:t>MM</w:t>
      </w:r>
      <w:r>
        <w:rPr>
          <w:rFonts w:hint="eastAsia" w:ascii="Times New Roman" w:hAnsi="Times New Roman" w:eastAsia="宋体" w:cs="Times New Roman"/>
          <w:sz w:val="24"/>
          <w:szCs w:val="24"/>
          <w:highlight w:val="none"/>
          <w:lang w:val="en-US" w:eastAsia="zh-CN" w:bidi="ar-SA"/>
        </w:rPr>
        <w:t>L、SS</w:t>
      </w:r>
      <w:r>
        <w:rPr>
          <w:rFonts w:hint="eastAsia" w:ascii="Times New Roman" w:hAnsi="Times New Roman" w:eastAsia="宋体" w:cs="Times New Roman"/>
          <w:spacing w:val="-3"/>
          <w:sz w:val="24"/>
          <w:szCs w:val="24"/>
          <w:highlight w:val="none"/>
          <w:lang w:val="en-US" w:eastAsia="zh-CN" w:bidi="ar-SA"/>
        </w:rPr>
        <w:t>H</w:t>
      </w:r>
      <w:r>
        <w:rPr>
          <w:rFonts w:hint="eastAsia" w:ascii="Times New Roman" w:hAnsi="Times New Roman" w:eastAsia="宋体" w:cs="Times New Roman"/>
          <w:sz w:val="24"/>
          <w:szCs w:val="24"/>
          <w:highlight w:val="none"/>
          <w:lang w:val="en-US" w:eastAsia="zh-CN" w:bidi="ar-SA"/>
        </w:rPr>
        <w:t>、T</w:t>
      </w:r>
      <w:r>
        <w:rPr>
          <w:rFonts w:hint="eastAsia" w:ascii="Times New Roman" w:hAnsi="Times New Roman" w:eastAsia="宋体" w:cs="Times New Roman"/>
          <w:spacing w:val="-3"/>
          <w:sz w:val="24"/>
          <w:szCs w:val="24"/>
          <w:highlight w:val="none"/>
          <w:lang w:val="en-US" w:eastAsia="zh-CN" w:bidi="ar-SA"/>
        </w:rPr>
        <w:t>E</w:t>
      </w:r>
      <w:r>
        <w:rPr>
          <w:rFonts w:hint="eastAsia" w:ascii="Times New Roman" w:hAnsi="Times New Roman" w:eastAsia="宋体" w:cs="Times New Roman"/>
          <w:sz w:val="24"/>
          <w:szCs w:val="24"/>
          <w:highlight w:val="none"/>
          <w:lang w:val="en-US" w:eastAsia="zh-CN" w:bidi="ar-SA"/>
        </w:rPr>
        <w:t>LNE</w:t>
      </w:r>
      <w:r>
        <w:rPr>
          <w:rFonts w:hint="eastAsia" w:ascii="Times New Roman" w:hAnsi="Times New Roman" w:eastAsia="宋体" w:cs="Times New Roman"/>
          <w:spacing w:val="-3"/>
          <w:sz w:val="24"/>
          <w:szCs w:val="24"/>
          <w:highlight w:val="none"/>
          <w:lang w:val="en-US" w:eastAsia="zh-CN" w:bidi="ar-SA"/>
        </w:rPr>
        <w:t>T</w:t>
      </w:r>
      <w:r>
        <w:rPr>
          <w:rFonts w:hint="eastAsia" w:ascii="Times New Roman" w:hAnsi="Times New Roman" w:eastAsia="宋体" w:cs="Times New Roman"/>
          <w:sz w:val="24"/>
          <w:szCs w:val="24"/>
          <w:highlight w:val="none"/>
          <w:lang w:val="en-US" w:eastAsia="zh-CN" w:bidi="ar-SA"/>
        </w:rPr>
        <w:t>、N</w:t>
      </w:r>
      <w:r>
        <w:rPr>
          <w:rFonts w:hint="eastAsia" w:ascii="Times New Roman" w:hAnsi="Times New Roman" w:eastAsia="宋体" w:cs="Times New Roman"/>
          <w:spacing w:val="-3"/>
          <w:sz w:val="24"/>
          <w:szCs w:val="24"/>
          <w:highlight w:val="none"/>
          <w:lang w:val="en-US" w:eastAsia="zh-CN" w:bidi="ar-SA"/>
        </w:rPr>
        <w:t>E</w:t>
      </w:r>
      <w:r>
        <w:rPr>
          <w:rFonts w:hint="eastAsia" w:ascii="Times New Roman" w:hAnsi="Times New Roman" w:eastAsia="宋体" w:cs="Times New Roman"/>
          <w:sz w:val="24"/>
          <w:szCs w:val="24"/>
          <w:highlight w:val="none"/>
          <w:lang w:val="en-US" w:eastAsia="zh-CN" w:bidi="ar-SA"/>
        </w:rPr>
        <w:t>TCO</w:t>
      </w:r>
      <w:r>
        <w:rPr>
          <w:rFonts w:hint="eastAsia" w:ascii="Times New Roman" w:hAnsi="Times New Roman" w:eastAsia="宋体" w:cs="Times New Roman"/>
          <w:spacing w:val="-3"/>
          <w:sz w:val="24"/>
          <w:szCs w:val="24"/>
          <w:highlight w:val="none"/>
          <w:lang w:val="en-US" w:eastAsia="zh-CN" w:bidi="ar-SA"/>
        </w:rPr>
        <w:t>NF</w:t>
      </w:r>
      <w:r>
        <w:rPr>
          <w:rFonts w:hint="eastAsia" w:ascii="Times New Roman" w:hAnsi="Times New Roman" w:eastAsia="宋体" w:cs="Times New Roman"/>
          <w:sz w:val="24"/>
          <w:szCs w:val="24"/>
          <w:highlight w:val="none"/>
          <w:lang w:val="en-US" w:eastAsia="zh-CN" w:bidi="ar-SA"/>
        </w:rPr>
        <w:t>、RES</w:t>
      </w:r>
      <w:r>
        <w:rPr>
          <w:rFonts w:hint="eastAsia" w:ascii="Times New Roman" w:hAnsi="Times New Roman" w:eastAsia="宋体" w:cs="Times New Roman"/>
          <w:spacing w:val="-3"/>
          <w:sz w:val="24"/>
          <w:szCs w:val="24"/>
          <w:highlight w:val="none"/>
          <w:lang w:val="en-US" w:eastAsia="zh-CN" w:bidi="ar-SA"/>
        </w:rPr>
        <w:t>T</w:t>
      </w:r>
      <w:r>
        <w:rPr>
          <w:rFonts w:hint="eastAsia" w:ascii="Times New Roman" w:hAnsi="Times New Roman" w:eastAsia="宋体" w:cs="Times New Roman"/>
          <w:sz w:val="24"/>
          <w:szCs w:val="24"/>
          <w:highlight w:val="none"/>
          <w:lang w:val="en-US" w:eastAsia="zh-CN" w:bidi="ar-SA"/>
        </w:rPr>
        <w:t>ful等</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实</w:t>
      </w:r>
      <w:r>
        <w:rPr>
          <w:rFonts w:hint="eastAsia" w:ascii="Times New Roman" w:hAnsi="Times New Roman" w:eastAsia="宋体" w:cs="Times New Roman"/>
          <w:spacing w:val="-3"/>
          <w:sz w:val="24"/>
          <w:szCs w:val="24"/>
          <w:highlight w:val="none"/>
          <w:lang w:val="en-US" w:eastAsia="zh-CN" w:bidi="ar-SA"/>
        </w:rPr>
        <w:t>现</w:t>
      </w:r>
      <w:r>
        <w:rPr>
          <w:rFonts w:hint="eastAsia" w:ascii="Times New Roman" w:hAnsi="Times New Roman" w:eastAsia="宋体" w:cs="Times New Roman"/>
          <w:sz w:val="24"/>
          <w:szCs w:val="24"/>
          <w:highlight w:val="none"/>
          <w:lang w:val="en-US" w:eastAsia="zh-CN" w:bidi="ar-SA"/>
        </w:rPr>
        <w:t>不</w:t>
      </w:r>
      <w:r>
        <w:rPr>
          <w:rFonts w:hint="eastAsia" w:ascii="Times New Roman" w:hAnsi="Times New Roman" w:eastAsia="宋体" w:cs="Times New Roman"/>
          <w:spacing w:val="-3"/>
          <w:sz w:val="24"/>
          <w:szCs w:val="24"/>
          <w:highlight w:val="none"/>
          <w:lang w:val="en-US" w:eastAsia="zh-CN" w:bidi="ar-SA"/>
        </w:rPr>
        <w:t>同</w:t>
      </w:r>
      <w:r>
        <w:rPr>
          <w:rFonts w:hint="eastAsia" w:ascii="Times New Roman" w:hAnsi="Times New Roman" w:eastAsia="宋体" w:cs="Times New Roman"/>
          <w:sz w:val="24"/>
          <w:szCs w:val="24"/>
          <w:highlight w:val="none"/>
          <w:lang w:val="en-US" w:eastAsia="zh-CN" w:bidi="ar-SA"/>
        </w:rPr>
        <w:t>协议</w:t>
      </w:r>
      <w:r>
        <w:rPr>
          <w:rFonts w:hint="eastAsia" w:ascii="Times New Roman" w:hAnsi="Times New Roman" w:eastAsia="宋体" w:cs="Times New Roman"/>
          <w:spacing w:val="-3"/>
          <w:sz w:val="24"/>
          <w:szCs w:val="24"/>
          <w:highlight w:val="none"/>
          <w:lang w:val="en-US" w:eastAsia="zh-CN" w:bidi="ar-SA"/>
        </w:rPr>
        <w:t>消</w:t>
      </w:r>
      <w:r>
        <w:rPr>
          <w:rFonts w:hint="eastAsia" w:ascii="Times New Roman" w:hAnsi="Times New Roman" w:eastAsia="宋体" w:cs="Times New Roman"/>
          <w:sz w:val="24"/>
          <w:szCs w:val="24"/>
          <w:highlight w:val="none"/>
          <w:lang w:val="en-US" w:eastAsia="zh-CN" w:bidi="ar-SA"/>
        </w:rPr>
        <w:t>息的封装</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解</w:t>
      </w:r>
      <w:r>
        <w:rPr>
          <w:rFonts w:hint="eastAsia" w:ascii="Times New Roman" w:hAnsi="Times New Roman" w:eastAsia="宋体" w:cs="Times New Roman"/>
          <w:spacing w:val="-3"/>
          <w:sz w:val="24"/>
          <w:szCs w:val="24"/>
          <w:highlight w:val="none"/>
          <w:lang w:val="en-US" w:eastAsia="zh-CN" w:bidi="ar-SA"/>
        </w:rPr>
        <w:t>析</w:t>
      </w:r>
      <w:r>
        <w:rPr>
          <w:rFonts w:hint="eastAsia" w:ascii="Times New Roman" w:hAnsi="Times New Roman" w:eastAsia="宋体" w:cs="Times New Roman"/>
          <w:sz w:val="24"/>
          <w:szCs w:val="24"/>
          <w:highlight w:val="none"/>
          <w:lang w:val="en-US" w:eastAsia="zh-CN" w:bidi="ar-SA"/>
        </w:rPr>
        <w:t>逻</w:t>
      </w:r>
      <w:r>
        <w:rPr>
          <w:rFonts w:hint="eastAsia" w:ascii="Times New Roman" w:hAnsi="Times New Roman" w:eastAsia="宋体" w:cs="Times New Roman"/>
          <w:spacing w:val="-3"/>
          <w:sz w:val="24"/>
          <w:szCs w:val="24"/>
          <w:highlight w:val="none"/>
          <w:lang w:val="en-US" w:eastAsia="zh-CN" w:bidi="ar-SA"/>
        </w:rPr>
        <w:t>辑</w:t>
      </w:r>
      <w:r>
        <w:rPr>
          <w:rFonts w:hint="eastAsia" w:ascii="Times New Roman" w:hAnsi="Times New Roman" w:eastAsia="宋体" w:cs="Times New Roman"/>
          <w:spacing w:val="-1"/>
          <w:sz w:val="24"/>
          <w:szCs w:val="24"/>
          <w:highlight w:val="none"/>
          <w:lang w:val="en-US" w:eastAsia="zh-CN" w:bidi="ar-SA"/>
        </w:rPr>
        <w:t>。</w:t>
      </w:r>
      <w:r>
        <w:rPr>
          <w:rFonts w:hint="eastAsia" w:ascii="Times New Roman" w:hAnsi="Times New Roman" w:eastAsia="宋体" w:cs="Times New Roman"/>
          <w:spacing w:val="-3"/>
          <w:sz w:val="24"/>
          <w:szCs w:val="24"/>
          <w:highlight w:val="none"/>
          <w:lang w:val="en-US" w:eastAsia="zh-CN" w:bidi="ar-SA"/>
        </w:rPr>
        <w:t>完</w:t>
      </w:r>
      <w:r>
        <w:rPr>
          <w:rFonts w:hint="eastAsia" w:ascii="Times New Roman" w:hAnsi="Times New Roman" w:eastAsia="宋体" w:cs="Times New Roman"/>
          <w:sz w:val="24"/>
          <w:szCs w:val="24"/>
          <w:highlight w:val="none"/>
          <w:lang w:val="en-US" w:eastAsia="zh-CN" w:bidi="ar-SA"/>
        </w:rPr>
        <w:t>成</w:t>
      </w:r>
      <w:r>
        <w:rPr>
          <w:rFonts w:hint="eastAsia" w:ascii="Times New Roman" w:hAnsi="Times New Roman" w:eastAsia="宋体" w:cs="Times New Roman"/>
          <w:spacing w:val="-3"/>
          <w:sz w:val="24"/>
          <w:szCs w:val="24"/>
          <w:highlight w:val="none"/>
          <w:lang w:val="en-US" w:eastAsia="zh-CN" w:bidi="ar-SA"/>
        </w:rPr>
        <w:t>与</w:t>
      </w:r>
      <w:r>
        <w:rPr>
          <w:rFonts w:hint="eastAsia" w:ascii="Times New Roman" w:hAnsi="Times New Roman" w:eastAsia="宋体" w:cs="Times New Roman"/>
          <w:sz w:val="24"/>
          <w:szCs w:val="24"/>
          <w:highlight w:val="none"/>
          <w:lang w:val="en-US" w:eastAsia="zh-CN" w:bidi="ar-SA"/>
        </w:rPr>
        <w:t>网元</w:t>
      </w:r>
      <w:r>
        <w:rPr>
          <w:rFonts w:hint="eastAsia" w:ascii="Times New Roman" w:hAnsi="Times New Roman" w:eastAsia="宋体" w:cs="Times New Roman"/>
          <w:spacing w:val="-3"/>
          <w:sz w:val="24"/>
          <w:szCs w:val="24"/>
          <w:highlight w:val="none"/>
          <w:lang w:val="en-US" w:eastAsia="zh-CN" w:bidi="ar-SA"/>
        </w:rPr>
        <w:t>侧</w:t>
      </w:r>
      <w:r>
        <w:rPr>
          <w:rFonts w:hint="eastAsia" w:ascii="Times New Roman" w:hAnsi="Times New Roman" w:eastAsia="宋体" w:cs="Times New Roman"/>
          <w:sz w:val="24"/>
          <w:szCs w:val="24"/>
          <w:highlight w:val="none"/>
          <w:lang w:val="en-US" w:eastAsia="zh-CN" w:bidi="ar-SA"/>
        </w:rPr>
        <w:t>的</w:t>
      </w:r>
      <w:r>
        <w:rPr>
          <w:rFonts w:hint="eastAsia" w:ascii="Times New Roman" w:hAnsi="Times New Roman" w:eastAsia="宋体" w:cs="Times New Roman"/>
          <w:spacing w:val="-3"/>
          <w:sz w:val="24"/>
          <w:szCs w:val="24"/>
          <w:highlight w:val="none"/>
          <w:lang w:val="en-US" w:eastAsia="zh-CN" w:bidi="ar-SA"/>
        </w:rPr>
        <w:t>指</w:t>
      </w:r>
      <w:r>
        <w:rPr>
          <w:rFonts w:hint="eastAsia" w:ascii="Times New Roman" w:hAnsi="Times New Roman" w:eastAsia="宋体" w:cs="Times New Roman"/>
          <w:sz w:val="24"/>
          <w:szCs w:val="24"/>
          <w:highlight w:val="none"/>
          <w:lang w:val="en-US" w:eastAsia="zh-CN" w:bidi="ar-SA"/>
        </w:rPr>
        <w:t>令</w:t>
      </w:r>
      <w:r>
        <w:rPr>
          <w:rFonts w:hint="eastAsia" w:ascii="Times New Roman" w:hAnsi="Times New Roman" w:eastAsia="宋体" w:cs="Times New Roman"/>
          <w:spacing w:val="-3"/>
          <w:sz w:val="24"/>
          <w:szCs w:val="24"/>
          <w:highlight w:val="none"/>
          <w:lang w:val="en-US" w:eastAsia="zh-CN" w:bidi="ar-SA"/>
        </w:rPr>
        <w:t>信</w:t>
      </w:r>
      <w:r>
        <w:rPr>
          <w:rFonts w:hint="eastAsia" w:ascii="Times New Roman" w:hAnsi="Times New Roman" w:eastAsia="宋体" w:cs="Times New Roman"/>
          <w:sz w:val="24"/>
          <w:szCs w:val="24"/>
          <w:highlight w:val="none"/>
          <w:lang w:val="en-US" w:eastAsia="zh-CN" w:bidi="ar-SA"/>
        </w:rPr>
        <w:t>息</w:t>
      </w:r>
      <w:r>
        <w:rPr>
          <w:rFonts w:hint="eastAsia" w:ascii="Times New Roman" w:hAnsi="Times New Roman" w:eastAsia="宋体" w:cs="Times New Roman"/>
          <w:spacing w:val="-3"/>
          <w:sz w:val="24"/>
          <w:szCs w:val="24"/>
          <w:highlight w:val="none"/>
          <w:lang w:val="en-US" w:eastAsia="zh-CN" w:bidi="ar-SA"/>
        </w:rPr>
        <w:t>发</w:t>
      </w:r>
      <w:r>
        <w:rPr>
          <w:rFonts w:hint="eastAsia" w:ascii="Times New Roman" w:hAnsi="Times New Roman" w:eastAsia="宋体" w:cs="Times New Roman"/>
          <w:sz w:val="24"/>
          <w:szCs w:val="24"/>
          <w:highlight w:val="none"/>
          <w:lang w:val="en-US" w:eastAsia="zh-CN" w:bidi="ar-SA"/>
        </w:rPr>
        <w:t>送</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接收</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同</w:t>
      </w:r>
      <w:r>
        <w:rPr>
          <w:rFonts w:hint="eastAsia" w:ascii="Times New Roman" w:hAnsi="Times New Roman" w:eastAsia="宋体" w:cs="Times New Roman"/>
          <w:spacing w:val="-3"/>
          <w:sz w:val="24"/>
          <w:szCs w:val="24"/>
          <w:highlight w:val="none"/>
          <w:lang w:val="en-US" w:eastAsia="zh-CN" w:bidi="ar-SA"/>
        </w:rPr>
        <w:t>时</w:t>
      </w:r>
      <w:r>
        <w:rPr>
          <w:rFonts w:hint="eastAsia" w:ascii="Times New Roman" w:hAnsi="Times New Roman" w:eastAsia="宋体" w:cs="Times New Roman"/>
          <w:sz w:val="24"/>
          <w:szCs w:val="24"/>
          <w:highlight w:val="none"/>
          <w:lang w:val="en-US" w:eastAsia="zh-CN" w:bidi="ar-SA"/>
        </w:rPr>
        <w:t>包</w:t>
      </w:r>
      <w:r>
        <w:rPr>
          <w:rFonts w:hint="eastAsia" w:ascii="Times New Roman" w:hAnsi="Times New Roman" w:eastAsia="宋体" w:cs="Times New Roman"/>
          <w:spacing w:val="-3"/>
          <w:sz w:val="24"/>
          <w:szCs w:val="24"/>
          <w:highlight w:val="none"/>
          <w:lang w:val="en-US" w:eastAsia="zh-CN" w:bidi="ar-SA"/>
        </w:rPr>
        <w:t>括</w:t>
      </w:r>
      <w:r>
        <w:rPr>
          <w:rFonts w:hint="eastAsia" w:ascii="Times New Roman" w:hAnsi="Times New Roman" w:eastAsia="宋体" w:cs="Times New Roman"/>
          <w:sz w:val="24"/>
          <w:szCs w:val="24"/>
          <w:highlight w:val="none"/>
          <w:lang w:val="en-US" w:eastAsia="zh-CN" w:bidi="ar-SA"/>
        </w:rPr>
        <w:t>登</w:t>
      </w:r>
      <w:r>
        <w:rPr>
          <w:rFonts w:hint="eastAsia" w:ascii="Times New Roman" w:hAnsi="Times New Roman" w:eastAsia="宋体" w:cs="Times New Roman"/>
          <w:spacing w:val="-3"/>
          <w:sz w:val="24"/>
          <w:szCs w:val="24"/>
          <w:highlight w:val="none"/>
          <w:lang w:val="en-US" w:eastAsia="zh-CN" w:bidi="ar-SA"/>
        </w:rPr>
        <w:t>陆</w:t>
      </w:r>
      <w:r>
        <w:rPr>
          <w:rFonts w:hint="eastAsia" w:ascii="Times New Roman" w:hAnsi="Times New Roman" w:eastAsia="宋体" w:cs="Times New Roman"/>
          <w:sz w:val="24"/>
          <w:szCs w:val="24"/>
          <w:highlight w:val="none"/>
          <w:lang w:val="en-US" w:eastAsia="zh-CN" w:bidi="ar-SA"/>
        </w:rPr>
        <w:t>、</w:t>
      </w:r>
      <w:r>
        <w:rPr>
          <w:rFonts w:hint="eastAsia" w:ascii="Times New Roman" w:hAnsi="Times New Roman" w:eastAsia="宋体" w:cs="Times New Roman"/>
          <w:spacing w:val="-3"/>
          <w:sz w:val="24"/>
          <w:szCs w:val="24"/>
          <w:highlight w:val="none"/>
          <w:lang w:val="en-US" w:eastAsia="zh-CN" w:bidi="ar-SA"/>
        </w:rPr>
        <w:t>指</w:t>
      </w:r>
      <w:r>
        <w:rPr>
          <w:rFonts w:hint="eastAsia" w:ascii="Times New Roman" w:hAnsi="Times New Roman" w:eastAsia="宋体" w:cs="Times New Roman"/>
          <w:sz w:val="24"/>
          <w:szCs w:val="24"/>
          <w:highlight w:val="none"/>
          <w:lang w:val="en-US" w:eastAsia="zh-CN" w:bidi="ar-SA"/>
        </w:rPr>
        <w:t>令预</w:t>
      </w:r>
      <w:r>
        <w:rPr>
          <w:rFonts w:hint="eastAsia" w:ascii="Times New Roman" w:hAnsi="Times New Roman" w:eastAsia="宋体" w:cs="Times New Roman"/>
          <w:spacing w:val="-3"/>
          <w:sz w:val="24"/>
          <w:szCs w:val="24"/>
          <w:highlight w:val="none"/>
          <w:lang w:val="en-US" w:eastAsia="zh-CN" w:bidi="ar-SA"/>
        </w:rPr>
        <w:t>处</w:t>
      </w:r>
      <w:r>
        <w:rPr>
          <w:rFonts w:hint="eastAsia" w:ascii="Times New Roman" w:hAnsi="Times New Roman" w:eastAsia="宋体" w:cs="Times New Roman"/>
          <w:sz w:val="24"/>
          <w:szCs w:val="24"/>
          <w:highlight w:val="none"/>
          <w:lang w:val="en-US" w:eastAsia="zh-CN" w:bidi="ar-SA"/>
        </w:rPr>
        <w:t>理</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指</w:t>
      </w:r>
      <w:r>
        <w:rPr>
          <w:rFonts w:hint="eastAsia" w:ascii="Times New Roman" w:hAnsi="Times New Roman" w:eastAsia="宋体" w:cs="Times New Roman"/>
          <w:spacing w:val="-3"/>
          <w:sz w:val="24"/>
          <w:szCs w:val="24"/>
          <w:highlight w:val="none"/>
          <w:lang w:val="en-US" w:eastAsia="zh-CN" w:bidi="ar-SA"/>
        </w:rPr>
        <w:t>令</w:t>
      </w:r>
      <w:r>
        <w:rPr>
          <w:rFonts w:hint="eastAsia" w:ascii="Times New Roman" w:hAnsi="Times New Roman" w:eastAsia="宋体" w:cs="Times New Roman"/>
          <w:sz w:val="24"/>
          <w:szCs w:val="24"/>
          <w:highlight w:val="none"/>
          <w:lang w:val="en-US" w:eastAsia="zh-CN" w:bidi="ar-SA"/>
        </w:rPr>
        <w:t>结果解</w:t>
      </w:r>
      <w:r>
        <w:rPr>
          <w:rFonts w:hint="eastAsia" w:ascii="Times New Roman" w:hAnsi="Times New Roman" w:eastAsia="宋体" w:cs="Times New Roman"/>
          <w:spacing w:val="-3"/>
          <w:sz w:val="24"/>
          <w:szCs w:val="24"/>
          <w:highlight w:val="none"/>
          <w:lang w:val="en-US" w:eastAsia="zh-CN" w:bidi="ar-SA"/>
        </w:rPr>
        <w:t>析</w:t>
      </w:r>
      <w:r>
        <w:rPr>
          <w:rFonts w:hint="eastAsia" w:ascii="Times New Roman" w:hAnsi="Times New Roman" w:eastAsia="宋体" w:cs="Times New Roman"/>
          <w:sz w:val="24"/>
          <w:szCs w:val="24"/>
          <w:highlight w:val="none"/>
          <w:lang w:val="en-US" w:eastAsia="zh-CN" w:bidi="ar-SA"/>
        </w:rPr>
        <w:t>判</w:t>
      </w:r>
      <w:r>
        <w:rPr>
          <w:rFonts w:hint="eastAsia" w:ascii="Times New Roman" w:hAnsi="Times New Roman" w:eastAsia="宋体" w:cs="Times New Roman"/>
          <w:spacing w:val="-3"/>
          <w:sz w:val="24"/>
          <w:szCs w:val="24"/>
          <w:highlight w:val="none"/>
          <w:lang w:val="en-US" w:eastAsia="zh-CN" w:bidi="ar-SA"/>
        </w:rPr>
        <w:t>断。</w:t>
      </w:r>
    </w:p>
    <w:p w14:paraId="268029DE">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异步回调</w:t>
      </w:r>
    </w:p>
    <w:p w14:paraId="2A10CE6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应支持</w:t>
      </w:r>
      <w:r>
        <w:rPr>
          <w:rFonts w:hint="eastAsia" w:ascii="Times New Roman" w:hAnsi="Times New Roman" w:eastAsia="宋体" w:cs="Times New Roman"/>
          <w:spacing w:val="-3"/>
          <w:sz w:val="24"/>
          <w:szCs w:val="24"/>
          <w:highlight w:val="none"/>
          <w:lang w:val="en-US" w:eastAsia="zh-CN" w:bidi="ar-SA"/>
        </w:rPr>
        <w:t>异</w:t>
      </w:r>
      <w:r>
        <w:rPr>
          <w:rFonts w:hint="eastAsia" w:ascii="Times New Roman" w:hAnsi="Times New Roman" w:eastAsia="宋体" w:cs="Times New Roman"/>
          <w:sz w:val="24"/>
          <w:szCs w:val="24"/>
          <w:highlight w:val="none"/>
          <w:lang w:val="en-US" w:eastAsia="zh-CN" w:bidi="ar-SA"/>
        </w:rPr>
        <w:t>步</w:t>
      </w:r>
      <w:r>
        <w:rPr>
          <w:rFonts w:hint="eastAsia" w:ascii="Times New Roman" w:hAnsi="Times New Roman" w:eastAsia="宋体" w:cs="Times New Roman"/>
          <w:spacing w:val="-3"/>
          <w:sz w:val="24"/>
          <w:szCs w:val="24"/>
          <w:highlight w:val="none"/>
          <w:lang w:val="en-US" w:eastAsia="zh-CN" w:bidi="ar-SA"/>
        </w:rPr>
        <w:t>网</w:t>
      </w:r>
      <w:r>
        <w:rPr>
          <w:rFonts w:hint="eastAsia" w:ascii="Times New Roman" w:hAnsi="Times New Roman" w:eastAsia="宋体" w:cs="Times New Roman"/>
          <w:sz w:val="24"/>
          <w:szCs w:val="24"/>
          <w:highlight w:val="none"/>
          <w:lang w:val="en-US" w:eastAsia="zh-CN" w:bidi="ar-SA"/>
        </w:rPr>
        <w:t>元</w:t>
      </w:r>
      <w:r>
        <w:rPr>
          <w:rFonts w:hint="eastAsia" w:ascii="Times New Roman" w:hAnsi="Times New Roman" w:eastAsia="宋体" w:cs="Times New Roman"/>
          <w:spacing w:val="-3"/>
          <w:sz w:val="24"/>
          <w:szCs w:val="24"/>
          <w:highlight w:val="none"/>
          <w:lang w:val="en-US" w:eastAsia="zh-CN" w:bidi="ar-SA"/>
        </w:rPr>
        <w:t>的</w:t>
      </w:r>
      <w:r>
        <w:rPr>
          <w:rFonts w:hint="eastAsia" w:ascii="Times New Roman" w:hAnsi="Times New Roman" w:eastAsia="宋体" w:cs="Times New Roman"/>
          <w:sz w:val="24"/>
          <w:szCs w:val="24"/>
          <w:highlight w:val="none"/>
          <w:lang w:val="en-US" w:eastAsia="zh-CN" w:bidi="ar-SA"/>
        </w:rPr>
        <w:t>交</w:t>
      </w:r>
      <w:r>
        <w:rPr>
          <w:rFonts w:hint="eastAsia" w:ascii="Times New Roman" w:hAnsi="Times New Roman" w:eastAsia="宋体" w:cs="Times New Roman"/>
          <w:spacing w:val="-3"/>
          <w:sz w:val="24"/>
          <w:szCs w:val="24"/>
          <w:highlight w:val="none"/>
          <w:lang w:val="en-US" w:eastAsia="zh-CN" w:bidi="ar-SA"/>
        </w:rPr>
        <w:t>互</w:t>
      </w:r>
      <w:r>
        <w:rPr>
          <w:rFonts w:hint="eastAsia" w:ascii="Times New Roman" w:hAnsi="Times New Roman" w:eastAsia="宋体" w:cs="Times New Roman"/>
          <w:sz w:val="24"/>
          <w:szCs w:val="24"/>
          <w:highlight w:val="none"/>
          <w:lang w:val="en-US" w:eastAsia="zh-CN" w:bidi="ar-SA"/>
        </w:rPr>
        <w:t>，</w:t>
      </w:r>
      <w:r>
        <w:rPr>
          <w:rFonts w:hint="eastAsia" w:ascii="Times New Roman" w:hAnsi="Times New Roman" w:eastAsia="宋体" w:cs="Times New Roman"/>
          <w:spacing w:val="-3"/>
          <w:sz w:val="24"/>
          <w:szCs w:val="24"/>
          <w:highlight w:val="none"/>
          <w:lang w:val="en-US" w:eastAsia="zh-CN" w:bidi="ar-SA"/>
        </w:rPr>
        <w:t>提</w:t>
      </w:r>
      <w:r>
        <w:rPr>
          <w:rFonts w:hint="eastAsia" w:ascii="Times New Roman" w:hAnsi="Times New Roman" w:eastAsia="宋体" w:cs="Times New Roman"/>
          <w:sz w:val="24"/>
          <w:szCs w:val="24"/>
          <w:highlight w:val="none"/>
          <w:lang w:val="en-US" w:eastAsia="zh-CN" w:bidi="ar-SA"/>
        </w:rPr>
        <w:t>供结</w:t>
      </w:r>
      <w:r>
        <w:rPr>
          <w:rFonts w:hint="eastAsia" w:ascii="Times New Roman" w:hAnsi="Times New Roman" w:eastAsia="宋体" w:cs="Times New Roman"/>
          <w:spacing w:val="-3"/>
          <w:sz w:val="24"/>
          <w:szCs w:val="24"/>
          <w:highlight w:val="none"/>
          <w:lang w:val="en-US" w:eastAsia="zh-CN" w:bidi="ar-SA"/>
        </w:rPr>
        <w:t>果</w:t>
      </w:r>
      <w:r>
        <w:rPr>
          <w:rFonts w:hint="eastAsia" w:ascii="Times New Roman" w:hAnsi="Times New Roman" w:eastAsia="宋体" w:cs="Times New Roman"/>
          <w:sz w:val="24"/>
          <w:szCs w:val="24"/>
          <w:highlight w:val="none"/>
          <w:lang w:val="en-US" w:eastAsia="zh-CN" w:bidi="ar-SA"/>
        </w:rPr>
        <w:t>回</w:t>
      </w:r>
      <w:r>
        <w:rPr>
          <w:rFonts w:hint="eastAsia" w:ascii="Times New Roman" w:hAnsi="Times New Roman" w:eastAsia="宋体" w:cs="Times New Roman"/>
          <w:spacing w:val="-3"/>
          <w:sz w:val="24"/>
          <w:szCs w:val="24"/>
          <w:highlight w:val="none"/>
          <w:lang w:val="en-US" w:eastAsia="zh-CN" w:bidi="ar-SA"/>
        </w:rPr>
        <w:t>收</w:t>
      </w:r>
      <w:r>
        <w:rPr>
          <w:rFonts w:hint="eastAsia" w:ascii="Times New Roman" w:hAnsi="Times New Roman" w:eastAsia="宋体" w:cs="Times New Roman"/>
          <w:sz w:val="24"/>
          <w:szCs w:val="24"/>
          <w:highlight w:val="none"/>
          <w:lang w:val="en-US" w:eastAsia="zh-CN" w:bidi="ar-SA"/>
        </w:rPr>
        <w:t>服</w:t>
      </w:r>
      <w:r>
        <w:rPr>
          <w:rFonts w:hint="eastAsia" w:ascii="Times New Roman" w:hAnsi="Times New Roman" w:eastAsia="宋体" w:cs="Times New Roman"/>
          <w:spacing w:val="-3"/>
          <w:sz w:val="24"/>
          <w:szCs w:val="24"/>
          <w:highlight w:val="none"/>
          <w:lang w:val="en-US" w:eastAsia="zh-CN" w:bidi="ar-SA"/>
        </w:rPr>
        <w:t>务</w:t>
      </w:r>
      <w:r>
        <w:rPr>
          <w:rFonts w:hint="eastAsia" w:ascii="Times New Roman" w:hAnsi="Times New Roman" w:eastAsia="宋体" w:cs="Times New Roman"/>
          <w:sz w:val="24"/>
          <w:szCs w:val="24"/>
          <w:highlight w:val="none"/>
          <w:lang w:val="en-US" w:eastAsia="zh-CN" w:bidi="ar-SA"/>
        </w:rPr>
        <w:t>端</w:t>
      </w:r>
      <w:r>
        <w:rPr>
          <w:rFonts w:hint="eastAsia" w:ascii="Times New Roman" w:hAnsi="Times New Roman" w:eastAsia="宋体" w:cs="Times New Roman"/>
          <w:spacing w:val="-3"/>
          <w:sz w:val="24"/>
          <w:szCs w:val="24"/>
          <w:highlight w:val="none"/>
          <w:lang w:val="en-US" w:eastAsia="zh-CN" w:bidi="ar-SA"/>
        </w:rPr>
        <w:t>，</w:t>
      </w:r>
      <w:r>
        <w:rPr>
          <w:rFonts w:hint="eastAsia" w:ascii="Times New Roman" w:hAnsi="Times New Roman" w:eastAsia="宋体" w:cs="Times New Roman"/>
          <w:sz w:val="24"/>
          <w:szCs w:val="24"/>
          <w:highlight w:val="none"/>
          <w:lang w:val="en-US" w:eastAsia="zh-CN" w:bidi="ar-SA"/>
        </w:rPr>
        <w:t>供</w:t>
      </w:r>
      <w:r>
        <w:rPr>
          <w:rFonts w:hint="eastAsia" w:ascii="Times New Roman" w:hAnsi="Times New Roman" w:eastAsia="宋体" w:cs="Times New Roman"/>
          <w:spacing w:val="-3"/>
          <w:sz w:val="24"/>
          <w:szCs w:val="24"/>
          <w:highlight w:val="none"/>
          <w:lang w:val="en-US" w:eastAsia="zh-CN" w:bidi="ar-SA"/>
        </w:rPr>
        <w:t>网</w:t>
      </w:r>
      <w:r>
        <w:rPr>
          <w:rFonts w:hint="eastAsia" w:ascii="Times New Roman" w:hAnsi="Times New Roman" w:eastAsia="宋体" w:cs="Times New Roman"/>
          <w:sz w:val="24"/>
          <w:szCs w:val="24"/>
          <w:highlight w:val="none"/>
          <w:lang w:val="en-US" w:eastAsia="zh-CN" w:bidi="ar-SA"/>
        </w:rPr>
        <w:t>元主</w:t>
      </w:r>
      <w:r>
        <w:rPr>
          <w:rFonts w:hint="eastAsia" w:ascii="Times New Roman" w:hAnsi="Times New Roman" w:eastAsia="宋体" w:cs="Times New Roman"/>
          <w:spacing w:val="-3"/>
          <w:sz w:val="24"/>
          <w:szCs w:val="24"/>
          <w:highlight w:val="none"/>
          <w:lang w:val="en-US" w:eastAsia="zh-CN" w:bidi="ar-SA"/>
        </w:rPr>
        <w:t>动</w:t>
      </w:r>
      <w:r>
        <w:rPr>
          <w:rFonts w:hint="eastAsia" w:ascii="Times New Roman" w:hAnsi="Times New Roman" w:eastAsia="宋体" w:cs="Times New Roman"/>
          <w:sz w:val="24"/>
          <w:szCs w:val="24"/>
          <w:highlight w:val="none"/>
          <w:lang w:val="en-US" w:eastAsia="zh-CN" w:bidi="ar-SA"/>
        </w:rPr>
        <w:t>调</w:t>
      </w:r>
      <w:r>
        <w:rPr>
          <w:rFonts w:hint="eastAsia" w:ascii="Times New Roman" w:hAnsi="Times New Roman" w:eastAsia="宋体" w:cs="Times New Roman"/>
          <w:spacing w:val="-3"/>
          <w:sz w:val="24"/>
          <w:szCs w:val="24"/>
          <w:highlight w:val="none"/>
          <w:lang w:val="en-US" w:eastAsia="zh-CN" w:bidi="ar-SA"/>
        </w:rPr>
        <w:t>用</w:t>
      </w:r>
      <w:r>
        <w:rPr>
          <w:rFonts w:hint="eastAsia" w:ascii="Times New Roman" w:hAnsi="Times New Roman" w:eastAsia="宋体" w:cs="Times New Roman"/>
          <w:sz w:val="24"/>
          <w:szCs w:val="24"/>
          <w:highlight w:val="none"/>
          <w:lang w:val="en-US" w:eastAsia="zh-CN" w:bidi="ar-SA"/>
        </w:rPr>
        <w:t>以</w:t>
      </w:r>
      <w:r>
        <w:rPr>
          <w:rFonts w:hint="eastAsia" w:ascii="Times New Roman" w:hAnsi="Times New Roman" w:eastAsia="宋体" w:cs="Times New Roman"/>
          <w:spacing w:val="-3"/>
          <w:sz w:val="24"/>
          <w:szCs w:val="24"/>
          <w:highlight w:val="none"/>
          <w:lang w:val="en-US" w:eastAsia="zh-CN" w:bidi="ar-SA"/>
        </w:rPr>
        <w:t>返</w:t>
      </w:r>
      <w:r>
        <w:rPr>
          <w:rFonts w:hint="eastAsia" w:ascii="Times New Roman" w:hAnsi="Times New Roman" w:eastAsia="宋体" w:cs="Times New Roman"/>
          <w:sz w:val="24"/>
          <w:szCs w:val="24"/>
          <w:highlight w:val="none"/>
          <w:lang w:val="en-US" w:eastAsia="zh-CN" w:bidi="ar-SA"/>
        </w:rPr>
        <w:t>回</w:t>
      </w:r>
      <w:r>
        <w:rPr>
          <w:rFonts w:hint="eastAsia" w:ascii="Times New Roman" w:hAnsi="Times New Roman" w:eastAsia="宋体" w:cs="Times New Roman"/>
          <w:spacing w:val="-3"/>
          <w:sz w:val="24"/>
          <w:szCs w:val="24"/>
          <w:highlight w:val="none"/>
          <w:lang w:val="en-US" w:eastAsia="zh-CN" w:bidi="ar-SA"/>
        </w:rPr>
        <w:t>指</w:t>
      </w:r>
      <w:r>
        <w:rPr>
          <w:rFonts w:hint="eastAsia" w:ascii="Times New Roman" w:hAnsi="Times New Roman" w:eastAsia="宋体" w:cs="Times New Roman"/>
          <w:sz w:val="24"/>
          <w:szCs w:val="24"/>
          <w:highlight w:val="none"/>
          <w:lang w:val="en-US" w:eastAsia="zh-CN" w:bidi="ar-SA"/>
        </w:rPr>
        <w:t>令</w:t>
      </w:r>
      <w:r>
        <w:rPr>
          <w:rFonts w:hint="eastAsia" w:ascii="Times New Roman" w:hAnsi="Times New Roman" w:eastAsia="宋体" w:cs="Times New Roman"/>
          <w:spacing w:val="-3"/>
          <w:sz w:val="24"/>
          <w:szCs w:val="24"/>
          <w:highlight w:val="none"/>
          <w:lang w:val="en-US" w:eastAsia="zh-CN" w:bidi="ar-SA"/>
        </w:rPr>
        <w:t>结</w:t>
      </w:r>
      <w:r>
        <w:rPr>
          <w:rFonts w:hint="eastAsia" w:ascii="Times New Roman" w:hAnsi="Times New Roman" w:eastAsia="宋体" w:cs="Times New Roman"/>
          <w:sz w:val="24"/>
          <w:szCs w:val="24"/>
          <w:highlight w:val="none"/>
          <w:lang w:val="en-US" w:eastAsia="zh-CN" w:bidi="ar-SA"/>
        </w:rPr>
        <w:t>果。</w:t>
      </w:r>
      <w:r>
        <w:rPr>
          <w:rFonts w:hint="eastAsia" w:ascii="Times New Roman" w:hAnsi="Times New Roman" w:eastAsia="宋体" w:cs="Times New Roman"/>
          <w:spacing w:val="-3"/>
          <w:sz w:val="24"/>
          <w:szCs w:val="24"/>
          <w:highlight w:val="none"/>
          <w:lang w:val="en-US" w:eastAsia="zh-CN" w:bidi="ar-SA"/>
        </w:rPr>
        <w:t>该</w:t>
      </w:r>
      <w:r>
        <w:rPr>
          <w:rFonts w:hint="eastAsia" w:ascii="Times New Roman" w:hAnsi="Times New Roman" w:eastAsia="宋体" w:cs="Times New Roman"/>
          <w:sz w:val="24"/>
          <w:szCs w:val="24"/>
          <w:highlight w:val="none"/>
          <w:lang w:val="en-US" w:eastAsia="zh-CN" w:bidi="ar-SA"/>
        </w:rPr>
        <w:t>服</w:t>
      </w:r>
      <w:r>
        <w:rPr>
          <w:rFonts w:hint="eastAsia" w:ascii="Times New Roman" w:hAnsi="Times New Roman" w:eastAsia="宋体" w:cs="Times New Roman"/>
          <w:spacing w:val="-3"/>
          <w:sz w:val="24"/>
          <w:szCs w:val="24"/>
          <w:highlight w:val="none"/>
          <w:lang w:val="en-US" w:eastAsia="zh-CN" w:bidi="ar-SA"/>
        </w:rPr>
        <w:t>务</w:t>
      </w:r>
      <w:r>
        <w:rPr>
          <w:rFonts w:hint="eastAsia" w:ascii="Times New Roman" w:hAnsi="Times New Roman" w:eastAsia="宋体" w:cs="Times New Roman"/>
          <w:sz w:val="24"/>
          <w:szCs w:val="24"/>
          <w:highlight w:val="none"/>
          <w:lang w:val="en-US" w:eastAsia="zh-CN" w:bidi="ar-SA"/>
        </w:rPr>
        <w:t>需统一</w:t>
      </w:r>
      <w:r>
        <w:rPr>
          <w:rFonts w:hint="eastAsia" w:ascii="Times New Roman" w:hAnsi="Times New Roman" w:eastAsia="宋体" w:cs="Times New Roman"/>
          <w:spacing w:val="-3"/>
          <w:sz w:val="24"/>
          <w:szCs w:val="24"/>
          <w:highlight w:val="none"/>
          <w:lang w:val="en-US" w:eastAsia="zh-CN" w:bidi="ar-SA"/>
        </w:rPr>
        <w:t>注册</w:t>
      </w:r>
      <w:r>
        <w:rPr>
          <w:rFonts w:hint="eastAsia" w:ascii="Times New Roman" w:hAnsi="Times New Roman" w:eastAsia="宋体" w:cs="Times New Roman"/>
          <w:sz w:val="24"/>
          <w:szCs w:val="24"/>
          <w:highlight w:val="none"/>
          <w:lang w:val="en-US" w:eastAsia="zh-CN" w:bidi="ar-SA"/>
        </w:rPr>
        <w:t>到DC</w:t>
      </w:r>
      <w:r>
        <w:rPr>
          <w:rFonts w:hint="eastAsia" w:ascii="Times New Roman" w:hAnsi="Times New Roman" w:eastAsia="宋体" w:cs="Times New Roman"/>
          <w:spacing w:val="-3"/>
          <w:sz w:val="24"/>
          <w:szCs w:val="24"/>
          <w:highlight w:val="none"/>
          <w:lang w:val="en-US" w:eastAsia="zh-CN" w:bidi="ar-SA"/>
        </w:rPr>
        <w:t>O</w:t>
      </w:r>
      <w:r>
        <w:rPr>
          <w:rFonts w:hint="eastAsia" w:ascii="Times New Roman" w:hAnsi="Times New Roman" w:eastAsia="宋体" w:cs="Times New Roman"/>
          <w:sz w:val="24"/>
          <w:szCs w:val="24"/>
          <w:highlight w:val="none"/>
          <w:lang w:val="en-US" w:eastAsia="zh-CN" w:bidi="ar-SA"/>
        </w:rPr>
        <w:t>OS/</w:t>
      </w:r>
      <w:r>
        <w:rPr>
          <w:rFonts w:hint="eastAsia" w:ascii="Times New Roman" w:hAnsi="Times New Roman" w:eastAsia="宋体" w:cs="Times New Roman"/>
          <w:spacing w:val="-3"/>
          <w:sz w:val="24"/>
          <w:szCs w:val="24"/>
          <w:highlight w:val="none"/>
          <w:lang w:val="en-US" w:eastAsia="zh-CN" w:bidi="ar-SA"/>
        </w:rPr>
        <w:t>E</w:t>
      </w:r>
      <w:r>
        <w:rPr>
          <w:rFonts w:hint="eastAsia" w:ascii="Times New Roman" w:hAnsi="Times New Roman" w:eastAsia="宋体" w:cs="Times New Roman"/>
          <w:sz w:val="24"/>
          <w:szCs w:val="24"/>
          <w:highlight w:val="none"/>
          <w:lang w:val="en-US" w:eastAsia="zh-CN" w:bidi="ar-SA"/>
        </w:rPr>
        <w:t>OP</w:t>
      </w:r>
      <w:r>
        <w:rPr>
          <w:rFonts w:hint="eastAsia" w:ascii="Times New Roman" w:hAnsi="Times New Roman" w:eastAsia="宋体" w:cs="Times New Roman"/>
          <w:spacing w:val="-3"/>
          <w:sz w:val="24"/>
          <w:szCs w:val="24"/>
          <w:highlight w:val="none"/>
          <w:lang w:val="en-US" w:eastAsia="zh-CN" w:bidi="ar-SA"/>
        </w:rPr>
        <w:t>能</w:t>
      </w:r>
      <w:r>
        <w:rPr>
          <w:rFonts w:hint="eastAsia" w:ascii="Times New Roman" w:hAnsi="Times New Roman" w:eastAsia="宋体" w:cs="Times New Roman"/>
          <w:sz w:val="24"/>
          <w:szCs w:val="24"/>
          <w:highlight w:val="none"/>
          <w:lang w:val="en-US" w:eastAsia="zh-CN" w:bidi="ar-SA"/>
        </w:rPr>
        <w:t>力网</w:t>
      </w:r>
      <w:r>
        <w:rPr>
          <w:rFonts w:hint="eastAsia" w:ascii="Times New Roman" w:hAnsi="Times New Roman" w:eastAsia="宋体" w:cs="Times New Roman"/>
          <w:spacing w:val="-2"/>
          <w:sz w:val="24"/>
          <w:szCs w:val="24"/>
          <w:highlight w:val="none"/>
          <w:lang w:val="en-US" w:eastAsia="zh-CN" w:bidi="ar-SA"/>
        </w:rPr>
        <w:t>关</w:t>
      </w:r>
      <w:r>
        <w:rPr>
          <w:rFonts w:hint="eastAsia" w:ascii="Times New Roman" w:hAnsi="Times New Roman" w:eastAsia="宋体" w:cs="Times New Roman"/>
          <w:spacing w:val="-3"/>
          <w:sz w:val="24"/>
          <w:szCs w:val="24"/>
          <w:highlight w:val="none"/>
          <w:lang w:val="en-US" w:eastAsia="zh-CN" w:bidi="ar-SA"/>
        </w:rPr>
        <w:t>。</w:t>
      </w:r>
    </w:p>
    <w:p w14:paraId="2B65EE6F">
      <w:pPr>
        <w:keepNext/>
        <w:keepLines/>
        <w:widowControl w:val="0"/>
        <w:numPr>
          <w:ilvl w:val="3"/>
          <w:numId w:val="31"/>
        </w:numPr>
        <w:tabs>
          <w:tab w:val="left" w:pos="397"/>
        </w:tabs>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38" w:name="_Toc12119"/>
      <w:bookmarkStart w:id="839" w:name="_Toc10791"/>
      <w:bookmarkStart w:id="840" w:name="_Toc1353"/>
      <w:bookmarkStart w:id="841" w:name="_Toc25535"/>
      <w:bookmarkStart w:id="842" w:name="_Toc20116"/>
      <w:r>
        <w:rPr>
          <w:rFonts w:hint="eastAsia" w:ascii="Times New Roman" w:hAnsi="Times New Roman" w:eastAsia="宋体" w:cs="Times New Roman"/>
          <w:b/>
          <w:bCs/>
          <w:sz w:val="24"/>
          <w:szCs w:val="28"/>
          <w:highlight w:val="none"/>
          <w:lang w:val="en-US" w:eastAsia="zh-CN" w:bidi="ar-SA"/>
        </w:rPr>
        <w:t>框架与服务接口</w:t>
      </w:r>
      <w:bookmarkEnd w:id="838"/>
      <w:bookmarkEnd w:id="839"/>
      <w:bookmarkEnd w:id="840"/>
      <w:bookmarkEnd w:id="841"/>
      <w:bookmarkEnd w:id="842"/>
    </w:p>
    <w:p w14:paraId="1A349E62">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采集框架与采集服务接口</w:t>
      </w:r>
    </w:p>
    <w:p w14:paraId="068515DE">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采集服务注册API</w:t>
      </w:r>
    </w:p>
    <w:p w14:paraId="4AAF39D9">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采集服务在启动之后，会通过采集框架提供的注册API，将采集服务的服务ID、服务实例ID以及服务调用的IP以及端口上报给采集框架。采集框架通过采集服务上报的IP以及端口调用采集服务提供的采集能力。</w:t>
      </w:r>
    </w:p>
    <w:p w14:paraId="70538AE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采集服务上报的信息包含：采集服务ID、采集服务实例ID、采集服务地址、采集服务能力说明、时间等信息。</w:t>
      </w:r>
    </w:p>
    <w:p w14:paraId="53453FCE">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注销API</w:t>
      </w:r>
    </w:p>
    <w:p w14:paraId="7B567219">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在采集服务停止之前或者采集服务停用之前，调用采集框架提供的采集服务注销API，采集框架在收到注册请求后将不在对该服务进行任务调度。</w:t>
      </w:r>
    </w:p>
    <w:p w14:paraId="24816E78">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采集框架注册API需要完成调测的参数包含：服务ID、服务实例ID、时间等信息。</w:t>
      </w:r>
    </w:p>
    <w:p w14:paraId="3E1CDE20">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心跳检测API</w:t>
      </w:r>
    </w:p>
    <w:p w14:paraId="3F1B7206">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采集服务运行过程中，采集服务会通过不间断上报心跳数据，来证明采集服务还属于存活状态，当超过3个周期未上报心跳数据，采集框架则认为采集服务丢失，不在派发采集任务。</w:t>
      </w:r>
    </w:p>
    <w:p w14:paraId="46985F85">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心跳检测API需要联调的参数包含：采集服务ID、采集服务实例ID、时间等信息。</w:t>
      </w:r>
    </w:p>
    <w:p w14:paraId="7570107C">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采集服务器性能上报API</w:t>
      </w:r>
    </w:p>
    <w:p w14:paraId="7B617BF0">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采集服务在运行过程中需要将采集服务的服务器性能信息通过采集服务器性能上报API上报至采集框架。</w:t>
      </w:r>
    </w:p>
    <w:p w14:paraId="077A17F0">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上报的信息包含：CPU使用率、内存使用率、磁盘使用率、Io Wait数据、IOStat数据以及时间等信息。</w:t>
      </w:r>
    </w:p>
    <w:p w14:paraId="76B84B4E">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采集源下发API</w:t>
      </w:r>
    </w:p>
    <w:p w14:paraId="6396EA57">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采集框架通过采集源下发API将采集框架配置的采集源信息以及采集源参数下发至采集服务，供采集服务进行数据采集的时候使用。</w:t>
      </w:r>
    </w:p>
    <w:p w14:paraId="0668119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下发的采集源信息包含：采集源ID、专业、差昂家、区域、网元类型、型号、版本、IP、协议、数据版本以及采集源参数等。</w:t>
      </w:r>
    </w:p>
    <w:p w14:paraId="17E13E7B">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采集源查询API</w:t>
      </w:r>
    </w:p>
    <w:p w14:paraId="59644F2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当采集源数据更新或者采集服务需要主动获取采集源数据的时候，采集服务通过采集源查询API获取采集源信息。</w:t>
      </w:r>
    </w:p>
    <w:p w14:paraId="4563FA1B">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获取的采集源信息包含：采集源ID、专业、差昂家、区域、网元类型、型号、版本、IP、协议、数据版本以及采集源参数等，查询的参数为采集源ID。</w:t>
      </w:r>
    </w:p>
    <w:p w14:paraId="69E16428">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采集源批量查询API</w:t>
      </w:r>
    </w:p>
    <w:p w14:paraId="7E87DE97">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采集服务需要批量获取采集源信息的时候，通过调用采集员批量查询API获取采集源信息。</w:t>
      </w:r>
    </w:p>
    <w:p w14:paraId="46BA51B6">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获取的采集源信息包含：采集源ID、专业、差昂家、区域、网元类型、型号、版本、IP、协议、数据版本以及采集源参数等，查询的参数为专业和区域。</w:t>
      </w:r>
    </w:p>
    <w:p w14:paraId="1DD416B4">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采集模板下发API</w:t>
      </w:r>
    </w:p>
    <w:p w14:paraId="784D8694">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采集框架通过采集模板下发API将采集模板信息下发至采集服务中，供采集服务进行数据采集时使用。</w:t>
      </w:r>
    </w:p>
    <w:p w14:paraId="2ED327F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采集模板下发的信息包含：模板ID、数据类型、专业、数据版本以及资源类型与指标的对应关系。</w:t>
      </w:r>
    </w:p>
    <w:p w14:paraId="20A08E24">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采集模板查询API</w:t>
      </w:r>
    </w:p>
    <w:p w14:paraId="7308D59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采集服务需要主动获取采集模板信息的时候，通过采集模板查询API查询采集模板的信息。</w:t>
      </w:r>
    </w:p>
    <w:p w14:paraId="6351435B">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采集模板查询的信息包含：模板ID、数据类型、专业、数据版本以及资源类型与指标的对应关系。查询参数为：采集模板ID。</w:t>
      </w:r>
    </w:p>
    <w:p w14:paraId="331F3A45">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采集模板批量查询API</w:t>
      </w:r>
    </w:p>
    <w:p w14:paraId="6DB759E6">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采集服务需要主动批量查询采集模板信息的时候，通过采集模板批量查询API查询采集模板信息。</w:t>
      </w:r>
    </w:p>
    <w:p w14:paraId="277B8250">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采集模板查询的信息包含：模板ID、数据类型、专业、数据版本以及资源类型与指标的对应关系。查询参数为：专业。</w:t>
      </w:r>
    </w:p>
    <w:p w14:paraId="107DFBCB">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采集指标下发API</w:t>
      </w:r>
    </w:p>
    <w:p w14:paraId="04339499">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采集框架通过采集指标下发API将采集指标信息下发至采集服务，供采集服务后续在进行数据采集时使用。</w:t>
      </w:r>
    </w:p>
    <w:p w14:paraId="3B6259F6">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采集指标下发的信息包含：指标ID、指标编码、指标名称、专业、资源类型、厂家、型号、数据类型、指令信息以及数据版本等。</w:t>
      </w:r>
    </w:p>
    <w:p w14:paraId="6DC09059">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采集指标查询API</w:t>
      </w:r>
    </w:p>
    <w:p w14:paraId="0CDD56AB">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当采集服务需要主动查询采集指标信息的时候，通过调用采集指标查询API查询采集指标信息。</w:t>
      </w:r>
    </w:p>
    <w:p w14:paraId="5C2FB9AE">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采集指标查询的信息包含：指标ID、指标编码、指标名称、专业、资源类型、厂家、型号、数据类型、指令信息以及数据版本等。查询的参数为：采集指标ID。</w:t>
      </w:r>
    </w:p>
    <w:p w14:paraId="11D58F78">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采集指标批量查询API</w:t>
      </w:r>
    </w:p>
    <w:p w14:paraId="243158CA">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当采集服务需要主动批量查询采集指标信息的时候，通过调用采集指标查询API查询采集指标信息。</w:t>
      </w:r>
    </w:p>
    <w:p w14:paraId="517C8F95">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采集指标查询的信息包含：指标ID、指标编码、指标名称、专业、资源类型、厂家、型号、数据类型、指令信息以及数据版本等。</w:t>
      </w:r>
    </w:p>
    <w:p w14:paraId="4B2A7BCB">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采集任务派发API</w:t>
      </w:r>
    </w:p>
    <w:p w14:paraId="34087BDD">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当采集任务触发执行的时候，采集框架通过采集任务派发API，将采集任务派发给采集服务执行。</w:t>
      </w:r>
    </w:p>
    <w:p w14:paraId="2EB2AAE6">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采集任务派发的信息包含：任务ID、任务实例ID、采集服务ID、采集服务实例ID、采集源ID集合、模板ID、数据版本、动作乐行、采集方式等信息。</w:t>
      </w:r>
    </w:p>
    <w:p w14:paraId="00F9C589">
      <w:pPr>
        <w:widowControl w:val="0"/>
        <w:numPr>
          <w:ilvl w:val="0"/>
          <w:numId w:val="41"/>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采集任务状态/结果上报API</w:t>
      </w:r>
    </w:p>
    <w:p w14:paraId="0E4503C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采集服务在执行采集任务的过程中，需要将任务执行的关键过程、结果以及产生的告警、异常信息等通过采集任务状态/结果上报API上报至采集框架。</w:t>
      </w:r>
    </w:p>
    <w:p w14:paraId="534D8047">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上报的信息包含：任务ID、任务实例ID、服务ID、服务实例ID、结束标识、消息类型、当前采集源ID、当前步骤、消息、详情等信息。</w:t>
      </w:r>
    </w:p>
    <w:p w14:paraId="6F6CB24E">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控制框架与控制服务接口</w:t>
      </w:r>
    </w:p>
    <w:p w14:paraId="62A264CF">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控制框架注册接口</w:t>
      </w:r>
    </w:p>
    <w:p w14:paraId="303AB5A2">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控制框架提供注册接口，IP插件主动注册信息，控制框架维护注册信息，框架通过注册信息用于和IP插件交互，主要是数据下发。</w:t>
      </w:r>
    </w:p>
    <w:p w14:paraId="63636940">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注册接口的信息主要包括控制服务ID、控制服务名称、控制服务实例ID、控制服务IP、端口、调度编码等信息。</w:t>
      </w:r>
    </w:p>
    <w:p w14:paraId="00671E06">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控制框架注销接口</w:t>
      </w:r>
    </w:p>
    <w:p w14:paraId="43EAE3C5">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控制框架提供注销接口，IP插件主动注销信息，控制框架移除该控制服务的注册信息。</w:t>
      </w:r>
    </w:p>
    <w:p w14:paraId="6AE50C3D">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注销接口的信息主要包括控制服务ID、控制服务实例ID等信息。</w:t>
      </w:r>
    </w:p>
    <w:p w14:paraId="10AA757B">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控制框架心跳检测接口</w:t>
      </w:r>
    </w:p>
    <w:p w14:paraId="52707F0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控制框架提供心跳检测接口，IP插件定时上报心跳信息，控制框架维护心跳信息，针对长时间未上报心跳的控制服务，控制框架移除注册信息，用于服务实例运行是否正常运行状态检测。</w:t>
      </w:r>
    </w:p>
    <w:p w14:paraId="70A5FDE1">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心跳检测接口的信息主要包括控制服务ID、控制服务实例ID、时间戳等信息。</w:t>
      </w:r>
    </w:p>
    <w:p w14:paraId="3D71FAB5">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操作指令接收接口</w:t>
      </w:r>
    </w:p>
    <w:p w14:paraId="7D63AA13">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操作指令接收接口，控制框架将执行的指令、指令参数以及对应的网元等信息通过该接口下发给插件，IP插件根据接收信息执行网元连接、指令下、结果解析等操作，插件根据接收同异步类型，返回同步结果信息或异步响应消息。</w:t>
      </w:r>
    </w:p>
    <w:p w14:paraId="122F0A36">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操作指令接收接口的信息主要包括指令集流水号、虚指令集ID、控制服务ID、控制服务实例ID、指令集合、参数集合、网元设备ID等信息。</w:t>
      </w:r>
    </w:p>
    <w:p w14:paraId="5F8F2F72">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异步指令响应接口</w:t>
      </w:r>
    </w:p>
    <w:p w14:paraId="7023F404">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控制框架提供异步指令响应接口，IP插件处理完异步请求后，将执行结果通过该接口发送给控制框架，框架对插件执行结果进行处理。</w:t>
      </w:r>
    </w:p>
    <w:p w14:paraId="04309ECD">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异步指令响应接口的信息主要包括指令集流水号、控制服务ID、控制服务实例ID、指令结果编码、执行结果描述、指令执行结果消息集合等信息。</w:t>
      </w:r>
    </w:p>
    <w:p w14:paraId="60255DC7">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网元/网元参数下发接口</w:t>
      </w:r>
    </w:p>
    <w:p w14:paraId="28D11EE2">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IP插件提供网元/网元参数下发接口，控制框架将该专业的某个网元及网元参数等信息通过该接口下发给插件，IP插件维护网元及网元参数等信息。</w:t>
      </w:r>
    </w:p>
    <w:p w14:paraId="054BB247">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网元/网元参数下发接口的信息主要包括网元设备ID网元设备名称、专业、区域、网元类型、网元细类、设备厂家、型号、版本、协议类型、网元连接IP、网元连接端口、网元通信交互模式、并发连接数、失败重连次数、失败重连间隔、网元通讯连接方式、流控数、流控单位、网元参数值列表、数据版本等信息。</w:t>
      </w:r>
    </w:p>
    <w:p w14:paraId="6CB5D3DE">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网元/网元参数查询接口</w:t>
      </w:r>
    </w:p>
    <w:p w14:paraId="345BBC42">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控制框架提供网元/网元参数查询接口，IP插件通过该接口查询专业下某一个网元信息。</w:t>
      </w:r>
    </w:p>
    <w:p w14:paraId="29191E66">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网元/网元参数查询接口的信息主要包括网元设备ID网元设备名称、专业、区域、网元类型、网元细类、设备厂家、型号、版本、协议类型、网元连接IP、网元连接端口、网元通信交互模式、并发连接数、失败重连次数、失败重连间隔、网元通讯连接方式、流控数、流控单位、网元参数值列表、数据版本等信息。</w:t>
      </w:r>
    </w:p>
    <w:p w14:paraId="056ED975">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网元/网元参数批量查询接口</w:t>
      </w:r>
    </w:p>
    <w:p w14:paraId="4F266D0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控制框架提供网元/网元参数查询接口，IP插件通过该接口查询专业下所有网元信息。</w:t>
      </w:r>
    </w:p>
    <w:p w14:paraId="07D053ED">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网元/网元参数批量查询接口的信息为IP专业下所有网元信息集合，每个网元信息主要包括网元设备ID网元设备名称、专业、区域、网元类型、网元细类、设备厂家、型号、版本、协议类型、网元连接IP、网元连接端口、网元通信交互模式、并发连接数、失败重连次数、失败重连间隔、网元通讯连接方式、流控数、流控单位、网元参数值列表、数据版本等信息。</w:t>
      </w:r>
    </w:p>
    <w:p w14:paraId="7D8CDED5">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指令下发接口</w:t>
      </w:r>
    </w:p>
    <w:p w14:paraId="7CF3958E">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IP插件提供指令下发接口，控制框架将该专业的某条指令等信息通过该接口下发给插件，IP插件维护指令信息。</w:t>
      </w:r>
    </w:p>
    <w:p w14:paraId="5B50F5C7">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指令下发接口的信息主要包括指令ID、指令模板、指令序号、指令类型、数据版本、危险指令等级等字段。</w:t>
      </w:r>
    </w:p>
    <w:p w14:paraId="74278E8A">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指令查询接口</w:t>
      </w:r>
    </w:p>
    <w:p w14:paraId="0E99E6F0">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控制框架提供指令查询接口，IP插件通过该接口查询专业下某条指令信息。</w:t>
      </w:r>
    </w:p>
    <w:p w14:paraId="3D76A57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指令查询接口的信息主要包括指令ID、指令模板、指令序号、指令类型、数据版本、危险指令等级等字段。</w:t>
      </w:r>
    </w:p>
    <w:p w14:paraId="33DF12F2">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指令批量查询接口</w:t>
      </w:r>
    </w:p>
    <w:p w14:paraId="74A5E4D9">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控制框架提供指令批量查询接口，IP插件通过该接口查询专业下所有指令信息。</w:t>
      </w:r>
    </w:p>
    <w:p w14:paraId="48835FB1">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指令批量查询接口的信息为IP专业下所有指令集合，每条指令信息主要包括指令ID、指令模板、指令序号、指令类型、数据版本、危险指令等级等字段。</w:t>
      </w:r>
    </w:p>
    <w:p w14:paraId="52443428">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结果解析规则下发接口</w:t>
      </w:r>
    </w:p>
    <w:p w14:paraId="7B88CCFE">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IP插件提供结果解析规则下发接口，控制框架将该专业的某条结果解析规则信息通过该接口下发给插件，IP插件维护结果解析规则信息。</w:t>
      </w:r>
    </w:p>
    <w:p w14:paraId="618D5BBD">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结果解析规则下发接口的信息主要包括规则ID、规则级别、解析类型、自定义的结果编码、自定义的结果描述、错误消息提取类型、错误消息提取脚本、数据版本等字段。</w:t>
      </w:r>
    </w:p>
    <w:p w14:paraId="067D933C">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结果解析规则查询接口</w:t>
      </w:r>
    </w:p>
    <w:p w14:paraId="460A8C43">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控制框架提供结果解析规则查询接口，IP插件通过该接口查询专业下某条结果解析规则信息。</w:t>
      </w:r>
    </w:p>
    <w:p w14:paraId="4CAEC430">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结果解析规则查询接口的信息主要包括规则ID、规则级别、解析类型、自定义的结果编码、自定义的结果描述、错误消息提取类型、错误消息提取脚本、数据版本等字段。</w:t>
      </w:r>
    </w:p>
    <w:p w14:paraId="1BDCB9E7">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结果解析规则批量查询接口</w:t>
      </w:r>
    </w:p>
    <w:p w14:paraId="333029CA">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控制框架提供结果解析规则批量查询接口，IP插件通过该接口查询专业下所有结果解析规则信息。</w:t>
      </w:r>
    </w:p>
    <w:p w14:paraId="1E1DCD51">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结果解析规则批量查询接口的信息为IP专业下所有结果解析规则集合，每条结果解析规则信息主要包括规则ID、规则级别、解析类型、自定义的结果编码、自定义的结果描述、错误消息提取类型、错误消息提取脚本、数据版本等字段。</w:t>
      </w:r>
    </w:p>
    <w:p w14:paraId="0CC2DA69">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异常规则下发接口</w:t>
      </w:r>
    </w:p>
    <w:p w14:paraId="6DF9049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IP插件提供结异常规则下发接口，控制框架将该专业的某条异常规则信息通过该接口下发给插件，IP插件维护异常规则信息。</w:t>
      </w:r>
    </w:p>
    <w:p w14:paraId="34731FC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异常规则下发接口的信息主要包括规则ID、处理类型、规则级别、优先级、网元细类、网元ID、虚指令集ID、实指令ID、自定义的结果编码、数据版本等字段。</w:t>
      </w:r>
    </w:p>
    <w:p w14:paraId="45C16997">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异常规则查询接口</w:t>
      </w:r>
    </w:p>
    <w:p w14:paraId="53DB7E5B">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控制框架提供异常规则查询接口，IP插件通过该接口查询专业下某条异常规则信息。</w:t>
      </w:r>
    </w:p>
    <w:p w14:paraId="6BC3BB73">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异常规则查询接口的信息主要包括规则ID、处理类型、规则级别、优先级、网元细类、网元ID、虚指令集ID、实指令ID、自定义的结果编码、数据版本等字段。</w:t>
      </w:r>
    </w:p>
    <w:p w14:paraId="584749E5">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异常规则批量查询接口</w:t>
      </w:r>
    </w:p>
    <w:p w14:paraId="0B92B957">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控制框架提供异常规则批量查询接口，IP插件通过该接口查询专业下所有异常规则信息。</w:t>
      </w:r>
    </w:p>
    <w:p w14:paraId="467A9F99">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异常规则查询批量接口的信息为IP专业下所有异常规则集合，每条异常规则主要包括规则ID、处理类型、规则级别、优先级、网元细类、网元ID、虚指令集ID、实指令ID、自定义的结果编码、数据版本等字段。</w:t>
      </w:r>
    </w:p>
    <w:p w14:paraId="176EBBF0">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指令处理规则下发接口</w:t>
      </w:r>
    </w:p>
    <w:p w14:paraId="6C7CBE3F">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IP插件提供结指令处理规则下发接口，控制框架将该专业的某条指令处理规则信息通过该接口下发给插件，IP插件维护指令处理规则信息。</w:t>
      </w:r>
    </w:p>
    <w:p w14:paraId="2FCB1446">
      <w:pPr>
        <w:widowControl w:val="0"/>
        <w:spacing w:line="360" w:lineRule="auto"/>
        <w:ind w:firstLine="480" w:firstLineChars="200"/>
        <w:jc w:val="both"/>
        <w:rPr>
          <w:rFonts w:hint="eastAsia" w:ascii="宋体" w:hAnsi="宋体" w:eastAsia="宋体" w:cs="宋体"/>
          <w:b/>
          <w:sz w:val="24"/>
          <w:szCs w:val="24"/>
          <w:highlight w:val="none"/>
          <w:lang w:val="en-US" w:eastAsia="zh-CN" w:bidi="ar-SA"/>
        </w:rPr>
      </w:pPr>
      <w:r>
        <w:rPr>
          <w:rFonts w:hint="eastAsia" w:ascii="宋体" w:hAnsi="宋体" w:eastAsia="宋体" w:cs="宋体"/>
          <w:sz w:val="24"/>
          <w:szCs w:val="24"/>
          <w:highlight w:val="none"/>
          <w:lang w:val="en-US" w:eastAsia="zh-CN" w:bidi="ar-SA"/>
        </w:rPr>
        <w:t>指令处理规则下发接口的信息主要包括规则ID、处理类型、虚指令集ID、指令ID、控制跳转逻辑入参编码、控制跳转逻辑内容、循环条件、循环脚本内容、数据版本等字段。</w:t>
      </w:r>
    </w:p>
    <w:p w14:paraId="485DA610">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指令处理规则查询接口</w:t>
      </w:r>
    </w:p>
    <w:p w14:paraId="4BE04BD5">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控制框架提供指令处理规则查询接口，IP插件通过该接口查询专业下某条指令处理规则信息。</w:t>
      </w:r>
    </w:p>
    <w:p w14:paraId="64E06E3C">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指令处理规则查询接口的信息主要包括规则ID、处理类型、虚指令集ID、指令ID、控制跳转逻辑入参编码、控制跳转逻辑内容、循环条件、循环脚本内容、数据版本等字段。</w:t>
      </w:r>
    </w:p>
    <w:p w14:paraId="0B05569C">
      <w:pPr>
        <w:widowControl w:val="0"/>
        <w:numPr>
          <w:ilvl w:val="0"/>
          <w:numId w:val="42"/>
        </w:numPr>
        <w:spacing w:line="360" w:lineRule="auto"/>
        <w:ind w:left="420" w:hanging="420" w:firstLineChars="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指令处理规则批量查询接口</w:t>
      </w:r>
    </w:p>
    <w:p w14:paraId="44249713">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控制框架提供指令处理规则批量查询接口，IP插件通过该接口查询专业下所有指令处理规则信息。</w:t>
      </w:r>
    </w:p>
    <w:p w14:paraId="25E842A3">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指令处理规则批量查询接口的信息为IP专业下所有异常规则集合，每条指令处理规则主要包括规则ID、处理类型、虚指令集ID、指令ID、控制跳转逻辑入参编码、控制跳转逻辑内容、循环条件、循环脚本内容、数据版本等字段。</w:t>
      </w:r>
    </w:p>
    <w:p w14:paraId="3ADCD4D5">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843" w:name="_Toc3407"/>
      <w:bookmarkStart w:id="844" w:name="_Toc3139"/>
      <w:bookmarkStart w:id="845" w:name="_Toc24400"/>
      <w:bookmarkStart w:id="846" w:name="_Toc18792"/>
      <w:bookmarkStart w:id="847" w:name="_Toc29319"/>
      <w:r>
        <w:rPr>
          <w:rFonts w:hint="eastAsia" w:ascii="Times New Roman" w:hAnsi="Times New Roman" w:eastAsia="宋体" w:cs="Times New Roman"/>
          <w:b/>
          <w:bCs/>
          <w:sz w:val="24"/>
          <w:szCs w:val="28"/>
          <w:highlight w:val="none"/>
          <w:lang w:val="en-US" w:eastAsia="zh-CN" w:bidi="ar-SA"/>
        </w:rPr>
        <w:t>运维保障功能优化升级</w:t>
      </w:r>
      <w:bookmarkEnd w:id="843"/>
      <w:bookmarkEnd w:id="844"/>
      <w:bookmarkEnd w:id="845"/>
      <w:bookmarkEnd w:id="846"/>
      <w:bookmarkEnd w:id="847"/>
    </w:p>
    <w:p w14:paraId="52E31557">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完善监控及异常处理功能</w:t>
      </w:r>
    </w:p>
    <w:p w14:paraId="5F0A5CDA">
      <w:pPr>
        <w:spacing w:line="360" w:lineRule="auto"/>
        <w:ind w:firstLine="480" w:firstLineChars="200"/>
        <w:rPr>
          <w:rFonts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增加了采集数据质量监控，增加任务实例采集源采集完整性检验机制以及对失败采集源的一键补采功能。</w:t>
      </w:r>
    </w:p>
    <w:p w14:paraId="0B3B5FD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控制模块运行机制优化</w:t>
      </w:r>
    </w:p>
    <w:p w14:paraId="4F481C14">
      <w:pPr>
        <w:spacing w:line="360" w:lineRule="auto"/>
        <w:ind w:firstLine="480" w:firstLineChars="200"/>
        <w:rPr>
          <w:rFonts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优化了规则存储加载机制，支持脚本的复用，零加载用于保证服务启动效率，减少内存占用。</w:t>
      </w:r>
    </w:p>
    <w:p w14:paraId="06C48E8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运行监控模块优化</w:t>
      </w:r>
    </w:p>
    <w:p w14:paraId="15E42CD6">
      <w:pPr>
        <w:spacing w:line="360" w:lineRule="auto"/>
        <w:ind w:firstLine="480" w:firstLineChars="200"/>
        <w:rPr>
          <w:rFonts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实现业务开通API调用异常的错误原因及编码的定制化提取，方便上游识别并做出对应处理。增加了部分业务场景的告警监控。</w:t>
      </w:r>
    </w:p>
    <w:p w14:paraId="3E0CA51D">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运维保障模块优化</w:t>
      </w:r>
    </w:p>
    <w:p w14:paraId="5DDA6E11">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增加了灰度发布，MQ容灾机制，以及过大对象入MQ主动拦截等功能，同时优化了部分配置流程，增加了设备启动禁用以及批量导出的功能等。</w:t>
      </w:r>
    </w:p>
    <w:p w14:paraId="2402F43A">
      <w:pPr>
        <w:keepNext/>
        <w:keepLines/>
        <w:widowControl w:val="0"/>
        <w:numPr>
          <w:ilvl w:val="3"/>
          <w:numId w:val="31"/>
        </w:numPr>
        <w:tabs>
          <w:tab w:val="left" w:pos="397"/>
        </w:tabs>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48" w:name="_Toc26738"/>
      <w:bookmarkStart w:id="849" w:name="_Toc28615"/>
      <w:bookmarkStart w:id="850" w:name="_Toc19341"/>
      <w:bookmarkStart w:id="851" w:name="_Toc6894"/>
      <w:bookmarkStart w:id="852" w:name="_Toc981"/>
      <w:bookmarkStart w:id="853" w:name="_Toc15585"/>
      <w:bookmarkStart w:id="854" w:name="_Toc87285796"/>
      <w:r>
        <w:rPr>
          <w:rFonts w:hint="eastAsia" w:ascii="Times New Roman" w:hAnsi="Times New Roman" w:eastAsia="宋体" w:cs="Times New Roman"/>
          <w:b/>
          <w:bCs/>
          <w:sz w:val="24"/>
          <w:szCs w:val="28"/>
          <w:highlight w:val="none"/>
          <w:lang w:val="en-US" w:eastAsia="zh-CN" w:bidi="ar-SA"/>
        </w:rPr>
        <w:t>动环专业</w:t>
      </w:r>
      <w:bookmarkEnd w:id="848"/>
      <w:bookmarkEnd w:id="849"/>
      <w:bookmarkEnd w:id="850"/>
      <w:bookmarkEnd w:id="851"/>
      <w:bookmarkEnd w:id="852"/>
      <w:bookmarkEnd w:id="853"/>
      <w:bookmarkEnd w:id="854"/>
    </w:p>
    <w:p w14:paraId="03FFA6E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采集场景</w:t>
      </w:r>
    </w:p>
    <w:p w14:paraId="2DECC843">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告警采集</w:t>
      </w:r>
    </w:p>
    <w:p w14:paraId="25A50859">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实时告警数据采用F</w:t>
      </w:r>
      <w:r>
        <w:rPr>
          <w:rFonts w:ascii="Times New Roman" w:hAnsi="Times New Roman" w:eastAsia="宋体" w:cs="Times New Roman"/>
          <w:sz w:val="24"/>
          <w:szCs w:val="24"/>
          <w:highlight w:val="none"/>
          <w:lang w:val="en-US" w:eastAsia="zh-CN" w:bidi="ar-SA"/>
        </w:rPr>
        <w:t>SU</w:t>
      </w:r>
      <w:r>
        <w:rPr>
          <w:rFonts w:hint="eastAsia" w:ascii="Times New Roman" w:hAnsi="Times New Roman" w:eastAsia="宋体" w:cs="Times New Roman"/>
          <w:sz w:val="24"/>
          <w:szCs w:val="24"/>
          <w:highlight w:val="none"/>
          <w:lang w:val="en-US" w:eastAsia="zh-CN" w:bidi="ar-SA"/>
        </w:rPr>
        <w:t>主动上报加告警同步方式。</w:t>
      </w:r>
    </w:p>
    <w:p w14:paraId="339A535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实时告警主推是在F</w:t>
      </w:r>
      <w:r>
        <w:rPr>
          <w:rFonts w:ascii="Times New Roman" w:hAnsi="Times New Roman" w:eastAsia="宋体" w:cs="Times New Roman"/>
          <w:sz w:val="24"/>
          <w:szCs w:val="24"/>
          <w:highlight w:val="none"/>
          <w:lang w:val="en-US" w:eastAsia="zh-CN" w:bidi="ar-SA"/>
        </w:rPr>
        <w:t>SU</w:t>
      </w:r>
      <w:r>
        <w:rPr>
          <w:rFonts w:hint="eastAsia" w:ascii="Times New Roman" w:hAnsi="Times New Roman" w:eastAsia="宋体" w:cs="Times New Roman"/>
          <w:sz w:val="24"/>
          <w:szCs w:val="24"/>
          <w:highlight w:val="none"/>
          <w:lang w:val="en-US" w:eastAsia="zh-CN" w:bidi="ar-SA"/>
        </w:rPr>
        <w:t>侧接口发起，通过</w:t>
      </w:r>
      <w:r>
        <w:rPr>
          <w:rFonts w:ascii="Times New Roman" w:hAnsi="Times New Roman" w:eastAsia="宋体" w:cs="Times New Roman"/>
          <w:sz w:val="24"/>
          <w:szCs w:val="24"/>
          <w:highlight w:val="none"/>
          <w:lang w:val="en-US" w:eastAsia="zh-CN" w:bidi="ar-SA"/>
        </w:rPr>
        <w:t>B</w:t>
      </w:r>
      <w:r>
        <w:rPr>
          <w:rFonts w:hint="eastAsia" w:ascii="Times New Roman" w:hAnsi="Times New Roman" w:eastAsia="宋体" w:cs="Times New Roman"/>
          <w:sz w:val="24"/>
          <w:szCs w:val="24"/>
          <w:highlight w:val="none"/>
          <w:lang w:val="en-US" w:eastAsia="zh-CN" w:bidi="ar-SA"/>
        </w:rPr>
        <w:t>接口标准协议，实时向采控平台侧主推F</w:t>
      </w:r>
      <w:r>
        <w:rPr>
          <w:rFonts w:ascii="Times New Roman" w:hAnsi="Times New Roman" w:eastAsia="宋体" w:cs="Times New Roman"/>
          <w:sz w:val="24"/>
          <w:szCs w:val="24"/>
          <w:highlight w:val="none"/>
          <w:lang w:val="en-US" w:eastAsia="zh-CN" w:bidi="ar-SA"/>
        </w:rPr>
        <w:t>SU</w:t>
      </w:r>
      <w:r>
        <w:rPr>
          <w:rFonts w:hint="eastAsia" w:ascii="Times New Roman" w:hAnsi="Times New Roman" w:eastAsia="宋体" w:cs="Times New Roman"/>
          <w:sz w:val="24"/>
          <w:szCs w:val="24"/>
          <w:highlight w:val="none"/>
          <w:lang w:val="en-US" w:eastAsia="zh-CN" w:bidi="ar-SA"/>
        </w:rPr>
        <w:t>侧中的告警信息，包括告警信息、告警恢复信息等。</w:t>
      </w:r>
    </w:p>
    <w:p w14:paraId="4DBA6523">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提供告警同步接口能力，查询获取F</w:t>
      </w:r>
      <w:r>
        <w:rPr>
          <w:rFonts w:ascii="Times New Roman" w:hAnsi="Times New Roman" w:eastAsia="宋体" w:cs="Times New Roman"/>
          <w:sz w:val="24"/>
          <w:szCs w:val="24"/>
          <w:highlight w:val="none"/>
          <w:lang w:val="en-US" w:eastAsia="zh-CN" w:bidi="ar-SA"/>
        </w:rPr>
        <w:t>SU</w:t>
      </w:r>
      <w:r>
        <w:rPr>
          <w:rFonts w:hint="eastAsia" w:ascii="Times New Roman" w:hAnsi="Times New Roman" w:eastAsia="宋体" w:cs="Times New Roman"/>
          <w:sz w:val="24"/>
          <w:szCs w:val="24"/>
          <w:highlight w:val="none"/>
          <w:lang w:val="en-US" w:eastAsia="zh-CN" w:bidi="ar-SA"/>
        </w:rPr>
        <w:t>侧全量的活动告警信息。</w:t>
      </w:r>
    </w:p>
    <w:p w14:paraId="25C31AB8">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性能数据采集</w:t>
      </w:r>
    </w:p>
    <w:p w14:paraId="476ABBF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通过B接口协议报文查询模拟量监测点（AI）、数字量监测点（DI）的实时运行数据，远程控制点（DO）、遥调测点（AO），并可实现远程控制和远程参数设置。</w:t>
      </w:r>
    </w:p>
    <w:p w14:paraId="7E74D1E4">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实时性能数据采集流程：</w:t>
      </w:r>
    </w:p>
    <w:p w14:paraId="40B6EFCD">
      <w:pPr>
        <w:widowControl w:val="0"/>
        <w:numPr>
          <w:ilvl w:val="0"/>
          <w:numId w:val="43"/>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动环系统通过DCOOS平台调用采控框架注册的API；</w:t>
      </w:r>
    </w:p>
    <w:p w14:paraId="4AAF5DB8">
      <w:pPr>
        <w:widowControl w:val="0"/>
        <w:numPr>
          <w:ilvl w:val="0"/>
          <w:numId w:val="43"/>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采控框架接收调用API的操作服务请求，生成指令并下发到采控服务；</w:t>
      </w:r>
    </w:p>
    <w:p w14:paraId="1688366A">
      <w:pPr>
        <w:widowControl w:val="0"/>
        <w:numPr>
          <w:ilvl w:val="0"/>
          <w:numId w:val="43"/>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采控服务将执行结果上报给采控框架；</w:t>
      </w:r>
    </w:p>
    <w:p w14:paraId="53BA0265">
      <w:pPr>
        <w:widowControl w:val="0"/>
        <w:numPr>
          <w:ilvl w:val="0"/>
          <w:numId w:val="43"/>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采控框架按业务需求进行数据处理，并将处理的数据以同步或异步方式返回给动环系统</w:t>
      </w:r>
      <w:r>
        <w:rPr>
          <w:rFonts w:hint="eastAsia" w:ascii="Times New Roman" w:hAnsi="Times New Roman" w:eastAsia="宋体" w:cs="Times New Roman"/>
          <w:sz w:val="24"/>
          <w:szCs w:val="24"/>
          <w:highlight w:val="none"/>
          <w:lang w:val="en-US" w:eastAsia="zh-CN" w:bidi="ar-SA"/>
        </w:rPr>
        <w:t>。</w:t>
      </w:r>
    </w:p>
    <w:p w14:paraId="53FD6834">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历史数据采集</w:t>
      </w:r>
    </w:p>
    <w:p w14:paraId="2CCC5D6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FSU存储的监控点监测值历史记录以文件形式保存，不主动向采控服务发送。</w:t>
      </w:r>
    </w:p>
    <w:p w14:paraId="08A90C27">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历史性能数据采集流程：</w:t>
      </w:r>
    </w:p>
    <w:p w14:paraId="576CE828">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插件服务接收采集任务，定时</w:t>
      </w:r>
      <w:r>
        <w:rPr>
          <w:rFonts w:ascii="Times New Roman" w:hAnsi="Times New Roman" w:eastAsia="宋体" w:cs="Times New Roman"/>
          <w:sz w:val="24"/>
          <w:szCs w:val="24"/>
          <w:highlight w:val="none"/>
          <w:lang w:val="en-US" w:eastAsia="zh-CN" w:bidi="ar-SA"/>
        </w:rPr>
        <w:t>FTP方式读取SU的历史数据文件</w:t>
      </w:r>
      <w:r>
        <w:rPr>
          <w:rFonts w:hint="eastAsia" w:ascii="Times New Roman" w:hAnsi="Times New Roman" w:eastAsia="宋体" w:cs="Times New Roman"/>
          <w:sz w:val="24"/>
          <w:szCs w:val="24"/>
          <w:highlight w:val="none"/>
          <w:lang w:val="en-US" w:eastAsia="zh-CN" w:bidi="ar-SA"/>
        </w:rPr>
        <w:t>；</w:t>
      </w:r>
    </w:p>
    <w:p w14:paraId="257D07A1">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插件服务将数据文件上送数据共享平台。</w:t>
      </w:r>
    </w:p>
    <w:p w14:paraId="7C66A67F">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标准化数据采集</w:t>
      </w:r>
    </w:p>
    <w:p w14:paraId="4119F5B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用于</w:t>
      </w:r>
      <w:r>
        <w:rPr>
          <w:rFonts w:ascii="Times New Roman" w:hAnsi="Times New Roman" w:eastAsia="宋体" w:cs="Times New Roman"/>
          <w:sz w:val="24"/>
          <w:szCs w:val="24"/>
          <w:highlight w:val="none"/>
          <w:lang w:val="en-US" w:eastAsia="zh-CN" w:bidi="ar-SA"/>
        </w:rPr>
        <w:t>FSU</w:t>
      </w:r>
      <w:r>
        <w:rPr>
          <w:rFonts w:hint="eastAsia" w:ascii="Times New Roman" w:hAnsi="Times New Roman" w:eastAsia="宋体" w:cs="Times New Roman"/>
          <w:sz w:val="24"/>
          <w:szCs w:val="24"/>
          <w:highlight w:val="none"/>
          <w:lang w:val="en-US" w:eastAsia="zh-CN" w:bidi="ar-SA"/>
        </w:rPr>
        <w:t>监控测点配置的数据，FSU与采控服务之间FTP传送的标准化配置文件由3个XML格式文件组成：《标准化监控点全表》、《标准化监控点配置方案全表》、《FSU监控点配置方案表》。</w:t>
      </w:r>
    </w:p>
    <w:p w14:paraId="6E5CDDB3">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厂家配置文件采集</w:t>
      </w:r>
    </w:p>
    <w:p w14:paraId="5B31A6DD">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FSU正常工作所需的配置文件，除去标准化配置文件外，其余配置文件均称为厂家配置文件。定期采集厂家配置文件进行备份。</w:t>
      </w:r>
    </w:p>
    <w:p w14:paraId="1247AFB7">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采集场景-FSU统一接入功能</w:t>
      </w:r>
      <w:r>
        <w:rPr>
          <w:rFonts w:ascii="Times New Roman" w:hAnsi="Times New Roman" w:eastAsia="宋体" w:cs="Times New Roman"/>
          <w:b/>
          <w:bCs/>
          <w:sz w:val="24"/>
          <w:szCs w:val="28"/>
          <w:highlight w:val="none"/>
          <w:lang w:val="en-US" w:eastAsia="zh-CN" w:bidi="ar-SA"/>
        </w:rPr>
        <w:tab/>
      </w:r>
    </w:p>
    <w:p w14:paraId="71E1905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FSU注册功能：</w:t>
      </w:r>
    </w:p>
    <w:p w14:paraId="2148CFAD">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SC启动注册服务，等待FSU注册、下发标准化配置文件，注册验证</w:t>
      </w:r>
      <w:r>
        <w:rPr>
          <w:rFonts w:hint="eastAsia" w:ascii="Times New Roman" w:hAnsi="Times New Roman" w:eastAsia="宋体" w:cs="Times New Roman"/>
          <w:kern w:val="0"/>
          <w:sz w:val="24"/>
          <w:highlight w:val="none"/>
          <w:lang w:val="en-US" w:eastAsia="zh-CN"/>
        </w:rPr>
        <w:t>等完整注册流程。</w:t>
      </w:r>
    </w:p>
    <w:p w14:paraId="70896011">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FSU注册校验</w:t>
      </w:r>
      <w:r>
        <w:rPr>
          <w:rFonts w:hint="eastAsia" w:ascii="Arial" w:hAnsi="Arial" w:eastAsia="宋体" w:cs="Times New Roman"/>
          <w:b/>
          <w:bCs/>
          <w:sz w:val="24"/>
          <w:szCs w:val="24"/>
          <w:highlight w:val="none"/>
          <w:lang w:val="en-US" w:eastAsia="zh-CN" w:bidi="ar-SA"/>
        </w:rPr>
        <w:t>能力</w:t>
      </w:r>
      <w:r>
        <w:rPr>
          <w:rFonts w:ascii="Arial" w:hAnsi="Arial" w:eastAsia="宋体" w:cs="Times New Roman"/>
          <w:b/>
          <w:bCs/>
          <w:sz w:val="24"/>
          <w:szCs w:val="24"/>
          <w:highlight w:val="none"/>
          <w:lang w:val="en-US" w:eastAsia="zh-CN" w:bidi="ar-SA"/>
        </w:rPr>
        <w:t>：</w:t>
      </w:r>
    </w:p>
    <w:p w14:paraId="6CB3B3C4">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接收FSU注册请求后，请求网管校验</w:t>
      </w:r>
      <w:r>
        <w:rPr>
          <w:rFonts w:hint="eastAsia" w:ascii="Times New Roman" w:hAnsi="Times New Roman" w:eastAsia="宋体" w:cs="Times New Roman"/>
          <w:kern w:val="0"/>
          <w:sz w:val="24"/>
          <w:highlight w:val="none"/>
        </w:rPr>
        <w:t>能力</w:t>
      </w:r>
      <w:r>
        <w:rPr>
          <w:rFonts w:ascii="Times New Roman" w:hAnsi="Times New Roman" w:eastAsia="宋体" w:cs="Times New Roman"/>
          <w:kern w:val="0"/>
          <w:sz w:val="24"/>
          <w:highlight w:val="none"/>
        </w:rPr>
        <w:t>，返回注册成功和失败</w:t>
      </w:r>
    </w:p>
    <w:p w14:paraId="24BDDF37">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FSU心跳监控：</w:t>
      </w:r>
    </w:p>
    <w:p w14:paraId="66736259">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注册成功后，开启心跳机制，</w:t>
      </w:r>
      <w:r>
        <w:rPr>
          <w:rFonts w:hint="eastAsia" w:ascii="Times New Roman" w:hAnsi="Times New Roman" w:eastAsia="宋体" w:cs="Times New Roman"/>
          <w:kern w:val="0"/>
          <w:sz w:val="24"/>
          <w:highlight w:val="none"/>
          <w:lang w:val="en-US" w:eastAsia="zh-CN"/>
        </w:rPr>
        <w:t>轮询</w:t>
      </w:r>
      <w:r>
        <w:rPr>
          <w:rFonts w:ascii="Times New Roman" w:hAnsi="Times New Roman" w:eastAsia="宋体" w:cs="Times New Roman"/>
          <w:kern w:val="0"/>
          <w:sz w:val="24"/>
          <w:highlight w:val="none"/>
        </w:rPr>
        <w:t>监听FSU是否正常运行，异常情况产生告警</w:t>
      </w:r>
    </w:p>
    <w:p w14:paraId="565C5E06">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采集场景-性能采集当天历史性能数据采集：</w:t>
      </w:r>
    </w:p>
    <w:p w14:paraId="328A050D">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采集当天历史性能数据推送数据共享平台</w:t>
      </w:r>
      <w:r>
        <w:rPr>
          <w:rFonts w:hint="eastAsia" w:ascii="Times New Roman" w:hAnsi="Times New Roman" w:eastAsia="宋体" w:cs="Times New Roman"/>
          <w:kern w:val="0"/>
          <w:sz w:val="24"/>
          <w:highlight w:val="none"/>
        </w:rPr>
        <w:t>Ctdfs</w:t>
      </w:r>
      <w:r>
        <w:rPr>
          <w:rFonts w:ascii="Times New Roman" w:hAnsi="Times New Roman" w:eastAsia="宋体" w:cs="Times New Roman"/>
          <w:kern w:val="0"/>
          <w:sz w:val="24"/>
          <w:highlight w:val="none"/>
        </w:rPr>
        <w:t>目录，并将采集通知推送数据共享平台Kafka</w:t>
      </w:r>
    </w:p>
    <w:p w14:paraId="1EDEB38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异步回调服务</w:t>
      </w:r>
      <w:r>
        <w:rPr>
          <w:rFonts w:hint="eastAsia" w:ascii="Times New Roman" w:hAnsi="Times New Roman" w:eastAsia="宋体" w:cs="Times New Roman"/>
          <w:b/>
          <w:bCs/>
          <w:sz w:val="24"/>
          <w:szCs w:val="28"/>
          <w:highlight w:val="none"/>
          <w:lang w:val="en-US" w:eastAsia="zh-CN" w:bidi="ar-SA"/>
        </w:rPr>
        <w:t>：</w:t>
      </w:r>
    </w:p>
    <w:p w14:paraId="13F17D5B">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接收FSU上报数据，注册和告警转发给采集服务，控制异步回调给上游系统</w:t>
      </w:r>
    </w:p>
    <w:p w14:paraId="2514EBB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资享数据同步</w:t>
      </w:r>
      <w:r>
        <w:rPr>
          <w:rFonts w:ascii="Times New Roman" w:hAnsi="Times New Roman" w:eastAsia="宋体" w:cs="Times New Roman"/>
          <w:b/>
          <w:bCs/>
          <w:sz w:val="24"/>
          <w:szCs w:val="28"/>
          <w:highlight w:val="none"/>
          <w:lang w:val="en-US" w:eastAsia="zh-CN" w:bidi="ar-SA"/>
        </w:rPr>
        <w:tab/>
      </w:r>
    </w:p>
    <w:p w14:paraId="483ACD1E">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全量数据同步：</w:t>
      </w:r>
    </w:p>
    <w:p w14:paraId="11478B76">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动环系统提供资源数据查询</w:t>
      </w:r>
      <w:r>
        <w:rPr>
          <w:rFonts w:hint="eastAsia" w:ascii="Times New Roman" w:hAnsi="Times New Roman" w:eastAsia="宋体" w:cs="Times New Roman"/>
          <w:kern w:val="0"/>
          <w:sz w:val="24"/>
          <w:highlight w:val="none"/>
        </w:rPr>
        <w:t>能力</w:t>
      </w:r>
      <w:r>
        <w:rPr>
          <w:rFonts w:ascii="Times New Roman" w:hAnsi="Times New Roman" w:eastAsia="宋体" w:cs="Times New Roman"/>
          <w:kern w:val="0"/>
          <w:sz w:val="24"/>
          <w:highlight w:val="none"/>
        </w:rPr>
        <w:t>，采控通过</w:t>
      </w:r>
      <w:r>
        <w:rPr>
          <w:rFonts w:hint="eastAsia" w:ascii="Times New Roman" w:hAnsi="Times New Roman" w:eastAsia="宋体" w:cs="Times New Roman"/>
          <w:kern w:val="0"/>
          <w:sz w:val="24"/>
          <w:highlight w:val="none"/>
        </w:rPr>
        <w:t>能力</w:t>
      </w:r>
      <w:r>
        <w:rPr>
          <w:rFonts w:ascii="Times New Roman" w:hAnsi="Times New Roman" w:eastAsia="宋体" w:cs="Times New Roman"/>
          <w:kern w:val="0"/>
          <w:sz w:val="24"/>
          <w:highlight w:val="none"/>
        </w:rPr>
        <w:t>查询全量资源数据进行数据的同步。</w:t>
      </w:r>
    </w:p>
    <w:p w14:paraId="69CE26C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增量数据同步：</w:t>
      </w:r>
    </w:p>
    <w:p w14:paraId="32346059">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ascii="Times New Roman" w:hAnsi="Times New Roman" w:eastAsia="宋体" w:cs="Times New Roman"/>
          <w:sz w:val="24"/>
          <w:szCs w:val="24"/>
          <w:highlight w:val="none"/>
          <w:lang w:val="en-US" w:eastAsia="zh-CN" w:bidi="ar-SA"/>
        </w:rPr>
        <w:t xml:space="preserve">当资源数据在动环系统有更改的操作（增删改），动环系统则通过 HTTP </w:t>
      </w:r>
      <w:r>
        <w:rPr>
          <w:rFonts w:hint="eastAsia" w:ascii="Times New Roman" w:hAnsi="Times New Roman" w:eastAsia="宋体" w:cs="Times New Roman"/>
          <w:sz w:val="24"/>
          <w:szCs w:val="24"/>
          <w:highlight w:val="none"/>
          <w:lang w:val="en-US" w:eastAsia="zh-CN" w:bidi="ar-SA"/>
        </w:rPr>
        <w:t>能力</w:t>
      </w:r>
      <w:r>
        <w:rPr>
          <w:rFonts w:ascii="Times New Roman" w:hAnsi="Times New Roman" w:eastAsia="宋体" w:cs="Times New Roman"/>
          <w:sz w:val="24"/>
          <w:szCs w:val="24"/>
          <w:highlight w:val="none"/>
          <w:lang w:val="en-US" w:eastAsia="zh-CN" w:bidi="ar-SA"/>
        </w:rPr>
        <w:t>方式将更改的数据送至采控框架，并保证时效性。</w:t>
      </w:r>
    </w:p>
    <w:p w14:paraId="34C7CFE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控制场景</w:t>
      </w:r>
    </w:p>
    <w:p w14:paraId="7970C2DE">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远程开关机控制</w:t>
      </w:r>
    </w:p>
    <w:p w14:paraId="14BE7D78">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远程开关机控制由采控平台控制框架侧接口发起，控制服务接收指令通过适配B接口协议再下发到FSU。</w:t>
      </w:r>
    </w:p>
    <w:p w14:paraId="6F21CCFE">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开关机流程：</w:t>
      </w:r>
    </w:p>
    <w:p w14:paraId="38573B4C">
      <w:pPr>
        <w:widowControl w:val="0"/>
        <w:numPr>
          <w:ilvl w:val="0"/>
          <w:numId w:val="44"/>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接收开关机任务：控制服务接收来自控制框架中下发的开关控制任务；</w:t>
      </w:r>
    </w:p>
    <w:p w14:paraId="5DF6991C">
      <w:pPr>
        <w:widowControl w:val="0"/>
        <w:numPr>
          <w:ilvl w:val="0"/>
          <w:numId w:val="44"/>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校验开关参数，控制服务校验参数信息，若无法识别，控制任务状态上报，任务执行状态为失败；</w:t>
      </w:r>
    </w:p>
    <w:p w14:paraId="03603BB8">
      <w:pPr>
        <w:widowControl w:val="0"/>
        <w:numPr>
          <w:ilvl w:val="0"/>
          <w:numId w:val="44"/>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协议适配：控制服务转换控制框架下发的参数，通过B接口协议规范进行下发至FSU；</w:t>
      </w:r>
    </w:p>
    <w:p w14:paraId="3E4F0256">
      <w:pPr>
        <w:widowControl w:val="0"/>
        <w:numPr>
          <w:ilvl w:val="0"/>
          <w:numId w:val="44"/>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接收FSU响应结果：控制服务接收FSU接口响应信息；</w:t>
      </w:r>
    </w:p>
    <w:p w14:paraId="7A7255E2">
      <w:pPr>
        <w:widowControl w:val="0"/>
        <w:numPr>
          <w:ilvl w:val="0"/>
          <w:numId w:val="44"/>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数据预处理：控制服务的数据处理模块预处理FSU响应的结果，包括解析、归一化等；</w:t>
      </w:r>
    </w:p>
    <w:p w14:paraId="276842C4">
      <w:pPr>
        <w:widowControl w:val="0"/>
        <w:numPr>
          <w:ilvl w:val="0"/>
          <w:numId w:val="44"/>
        </w:numPr>
        <w:spacing w:line="360" w:lineRule="auto"/>
        <w:ind w:left="900" w:hanging="420" w:firstLineChars="0"/>
        <w:jc w:val="both"/>
        <w:rPr>
          <w:rFonts w:hint="eastAsia" w:ascii="Times New Roman" w:hAnsi="Times New Roman" w:eastAsia="宋体" w:cs="Times New Roman"/>
          <w:sz w:val="24"/>
          <w:szCs w:val="24"/>
          <w:highlight w:val="none"/>
          <w:lang w:val="en-US" w:eastAsia="zh-CN" w:bidi="ar-SA"/>
        </w:rPr>
      </w:pPr>
      <w:r>
        <w:rPr>
          <w:rFonts w:hint="eastAsia" w:ascii="宋体" w:hAnsi="宋体" w:eastAsia="宋体" w:cs="宋体"/>
          <w:sz w:val="24"/>
          <w:szCs w:val="24"/>
          <w:highlight w:val="none"/>
          <w:lang w:val="en-US" w:eastAsia="zh-CN" w:bidi="ar-SA"/>
        </w:rPr>
        <w:t>开关机控制结果响应：控制服务按照控制框架协议响应开关机控制任务结果。</w:t>
      </w:r>
    </w:p>
    <w:p w14:paraId="57F2BDE3">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远程遥调控制</w:t>
      </w:r>
    </w:p>
    <w:p w14:paraId="65904849">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远程遥调控制由采控平台控制框架侧接口发起，控制服务接收指令通过适配B接口协议再下发到FSU。</w:t>
      </w:r>
    </w:p>
    <w:p w14:paraId="3C50461B">
      <w:pPr>
        <w:widowControl w:val="0"/>
        <w:spacing w:line="360" w:lineRule="auto"/>
        <w:ind w:firstLine="480" w:firstLineChars="20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远程遥调流程：</w:t>
      </w:r>
    </w:p>
    <w:p w14:paraId="710B366C">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接收遥调任务：控制服务接收来自控制框架中下发的遥调控制任务；</w:t>
      </w:r>
    </w:p>
    <w:p w14:paraId="43FC9289">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校验遥调参数，控制服务校验参数信息，若无法识别，控制任务状态上报，任务执行状态为失败；</w:t>
      </w:r>
    </w:p>
    <w:p w14:paraId="3FBEBEFB">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协议适配：控制服务转换控制框架下发的参数，通过B接口协议规范进行下发至FSU；</w:t>
      </w:r>
    </w:p>
    <w:p w14:paraId="0C3C54F5">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接收FSU响应结果：控制服务接收FSU接口响应信息；</w:t>
      </w:r>
    </w:p>
    <w:p w14:paraId="72917E5B">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数据预处理：控制服务的数据处理模块预处理FSU响应的结果，包括解析、归一化等；</w:t>
      </w:r>
    </w:p>
    <w:p w14:paraId="42D3CCCB">
      <w:pPr>
        <w:widowControl w:val="0"/>
        <w:numPr>
          <w:ilvl w:val="0"/>
          <w:numId w:val="45"/>
        </w:numPr>
        <w:spacing w:line="360" w:lineRule="auto"/>
        <w:ind w:left="900" w:hanging="420" w:firstLineChars="0"/>
        <w:jc w:val="both"/>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遥调控制结果响应：控制服务按照控制框架协议响应遥调控制任务结果。</w:t>
      </w:r>
    </w:p>
    <w:p w14:paraId="19361560">
      <w:pPr>
        <w:keepNext/>
        <w:keepLines/>
        <w:widowControl w:val="0"/>
        <w:numPr>
          <w:ilvl w:val="5"/>
          <w:numId w:val="31"/>
        </w:numPr>
        <w:tabs>
          <w:tab w:val="left" w:pos="397"/>
        </w:tabs>
        <w:spacing w:line="360" w:lineRule="auto"/>
        <w:ind w:left="600" w:hanging="600" w:hangingChars="250"/>
        <w:jc w:val="both"/>
        <w:outlineLvl w:val="5"/>
        <w:rPr>
          <w:rFonts w:hint="eastAsia" w:ascii="宋体" w:hAnsi="宋体" w:eastAsia="宋体" w:cs="宋体"/>
          <w:b w:val="0"/>
          <w:bCs w:val="0"/>
          <w:sz w:val="24"/>
          <w:szCs w:val="24"/>
          <w:highlight w:val="none"/>
          <w:lang w:val="en-US" w:eastAsia="zh-CN" w:bidi="ar-SA"/>
        </w:rPr>
      </w:pPr>
      <w:r>
        <w:rPr>
          <w:rFonts w:hint="eastAsia" w:ascii="宋体" w:hAnsi="宋体" w:eastAsia="宋体" w:cs="宋体"/>
          <w:b w:val="0"/>
          <w:bCs w:val="0"/>
          <w:sz w:val="24"/>
          <w:szCs w:val="24"/>
          <w:highlight w:val="none"/>
          <w:lang w:val="en-US" w:eastAsia="zh-CN" w:bidi="ar-SA"/>
        </w:rPr>
        <w:t>远程状态控制测点从标准化配置文件里面获取</w:t>
      </w:r>
    </w:p>
    <w:p w14:paraId="7354BF03">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w:t>
      </w:r>
      <w:r>
        <w:rPr>
          <w:rFonts w:ascii="Times New Roman" w:hAnsi="Times New Roman" w:eastAsia="宋体" w:cs="Times New Roman"/>
          <w:b/>
          <w:bCs/>
          <w:sz w:val="24"/>
          <w:szCs w:val="28"/>
          <w:highlight w:val="none"/>
          <w:lang w:val="en-US" w:eastAsia="zh-CN" w:bidi="ar-SA"/>
        </w:rPr>
        <w:t>场景-网络连接参数设置</w:t>
      </w:r>
      <w:r>
        <w:rPr>
          <w:rFonts w:ascii="Times New Roman" w:hAnsi="Times New Roman" w:eastAsia="宋体" w:cs="Times New Roman"/>
          <w:b/>
          <w:bCs/>
          <w:sz w:val="24"/>
          <w:szCs w:val="28"/>
          <w:highlight w:val="none"/>
          <w:lang w:val="en-US" w:eastAsia="zh-CN" w:bidi="ar-SA"/>
        </w:rPr>
        <w:tab/>
      </w:r>
    </w:p>
    <w:p w14:paraId="3304BDE3">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SC向FSU下发网络联接参数：</w:t>
      </w:r>
    </w:p>
    <w:p w14:paraId="6EDE9A17">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FSU编码、SC采集机的IP地址、SC采集机的Service端口、SC注册机的IP地址、SC注册机的端口、IP地址列表</w:t>
      </w:r>
    </w:p>
    <w:p w14:paraId="56A1BA61">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w:t>
      </w:r>
      <w:r>
        <w:rPr>
          <w:rFonts w:ascii="Times New Roman" w:hAnsi="Times New Roman" w:eastAsia="宋体" w:cs="Times New Roman"/>
          <w:b/>
          <w:bCs/>
          <w:sz w:val="24"/>
          <w:szCs w:val="28"/>
          <w:highlight w:val="none"/>
          <w:lang w:val="en-US" w:eastAsia="zh-CN" w:bidi="ar-SA"/>
        </w:rPr>
        <w:t>场景-获取及设置FTP参数</w:t>
      </w:r>
      <w:r>
        <w:rPr>
          <w:rFonts w:ascii="Times New Roman" w:hAnsi="Times New Roman" w:eastAsia="宋体" w:cs="Times New Roman"/>
          <w:b/>
          <w:bCs/>
          <w:sz w:val="24"/>
          <w:szCs w:val="28"/>
          <w:highlight w:val="none"/>
          <w:lang w:val="en-US" w:eastAsia="zh-CN" w:bidi="ar-SA"/>
        </w:rPr>
        <w:tab/>
      </w:r>
    </w:p>
    <w:p w14:paraId="3A55BF2D">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获取FSU的FTP参数：</w:t>
      </w:r>
    </w:p>
    <w:p w14:paraId="059E684E">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获取FSU的FTP账号、密码、端口号信息</w:t>
      </w:r>
    </w:p>
    <w:p w14:paraId="483E4DF5">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设置FSU</w:t>
      </w:r>
      <w:r>
        <w:rPr>
          <w:rFonts w:hint="eastAsia" w:ascii="Arial" w:hAnsi="Arial" w:eastAsia="宋体" w:cs="Times New Roman"/>
          <w:b/>
          <w:bCs/>
          <w:sz w:val="24"/>
          <w:szCs w:val="24"/>
          <w:highlight w:val="none"/>
          <w:lang w:val="en-US" w:eastAsia="zh-CN" w:bidi="ar-SA"/>
        </w:rPr>
        <w:t>的</w:t>
      </w:r>
      <w:r>
        <w:rPr>
          <w:rFonts w:ascii="Arial" w:hAnsi="Arial" w:eastAsia="宋体" w:cs="Times New Roman"/>
          <w:b/>
          <w:bCs/>
          <w:sz w:val="24"/>
          <w:szCs w:val="24"/>
          <w:highlight w:val="none"/>
          <w:lang w:val="en-US" w:eastAsia="zh-CN" w:bidi="ar-SA"/>
        </w:rPr>
        <w:t>FTP参数：</w:t>
      </w:r>
    </w:p>
    <w:p w14:paraId="47ABB56B">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设置FSU的FTP账号、密码、端口号信息</w:t>
      </w:r>
    </w:p>
    <w:p w14:paraId="12237BAA">
      <w:pPr>
        <w:keepNext w:val="0"/>
        <w:keepLines w:val="0"/>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w:t>
      </w:r>
      <w:r>
        <w:rPr>
          <w:rFonts w:ascii="Times New Roman" w:hAnsi="Times New Roman" w:eastAsia="宋体" w:cs="Times New Roman"/>
          <w:b/>
          <w:bCs/>
          <w:sz w:val="24"/>
          <w:szCs w:val="28"/>
          <w:highlight w:val="none"/>
          <w:lang w:val="en-US" w:eastAsia="zh-CN" w:bidi="ar-SA"/>
        </w:rPr>
        <w:t>场景-系统或辅助命令</w:t>
      </w:r>
      <w:r>
        <w:rPr>
          <w:rFonts w:ascii="Times New Roman" w:hAnsi="Times New Roman" w:eastAsia="宋体" w:cs="Times New Roman"/>
          <w:b/>
          <w:bCs/>
          <w:sz w:val="24"/>
          <w:szCs w:val="28"/>
          <w:highlight w:val="none"/>
          <w:lang w:val="en-US" w:eastAsia="zh-CN" w:bidi="ar-SA"/>
        </w:rPr>
        <w:tab/>
      </w:r>
    </w:p>
    <w:p w14:paraId="3AADCFA1">
      <w:pPr>
        <w:keepNext w:val="0"/>
        <w:keepLines w:val="0"/>
        <w:pageBreakBefore w:val="0"/>
        <w:widowControl w:val="0"/>
        <w:numPr>
          <w:ilvl w:val="5"/>
          <w:numId w:val="31"/>
        </w:numPr>
        <w:kinsoku/>
        <w:wordWrap/>
        <w:overflowPunct/>
        <w:topLinePunct w:val="0"/>
        <w:autoSpaceDE/>
        <w:autoSpaceDN/>
        <w:bidi w:val="0"/>
        <w:adjustRightInd/>
        <w:snapToGrid/>
        <w:spacing w:line="360" w:lineRule="auto"/>
        <w:ind w:left="0" w:hanging="602" w:hangingChars="250"/>
        <w:jc w:val="both"/>
        <w:textAlignment w:val="auto"/>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发送时钟：</w:t>
      </w:r>
    </w:p>
    <w:p w14:paraId="661E807B">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设置FSU系统时间和SC保持同步</w:t>
      </w:r>
    </w:p>
    <w:p w14:paraId="7624AF1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获取SU运行状态：</w:t>
      </w:r>
    </w:p>
    <w:p w14:paraId="4AC445B2">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获取FSU的CPU、内存、系统时间等运行数据</w:t>
      </w:r>
    </w:p>
    <w:p w14:paraId="730A06AF">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重启SU：</w:t>
      </w:r>
    </w:p>
    <w:p w14:paraId="3D58959D">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远程重启FSU</w:t>
      </w:r>
    </w:p>
    <w:p w14:paraId="5AE01CC5">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门禁接入</w:t>
      </w:r>
    </w:p>
    <w:p w14:paraId="34B953C4">
      <w:pPr>
        <w:widowControl/>
        <w:spacing w:line="360" w:lineRule="auto"/>
        <w:ind w:firstLine="480" w:firstLineChars="200"/>
        <w:jc w:val="left"/>
        <w:textAlignment w:val="center"/>
        <w:rPr>
          <w:rFonts w:ascii="宋体" w:hAnsi="宋体" w:eastAsia="宋体" w:cs="宋体"/>
          <w:color w:val="000000"/>
          <w:kern w:val="0"/>
          <w:sz w:val="24"/>
          <w:szCs w:val="21"/>
          <w:highlight w:val="none"/>
          <w:lang w:bidi="ar"/>
        </w:rPr>
      </w:pPr>
      <w:r>
        <w:rPr>
          <w:rFonts w:hint="eastAsia" w:ascii="宋体" w:hAnsi="宋体" w:eastAsia="宋体" w:cs="宋体"/>
          <w:color w:val="000000"/>
          <w:kern w:val="0"/>
          <w:sz w:val="24"/>
          <w:szCs w:val="21"/>
          <w:highlight w:val="none"/>
          <w:lang w:bidi="ar"/>
        </w:rPr>
        <w:t>满足实时接收FSU上报的门禁事件数据，推送数据共享平台kafka</w:t>
      </w:r>
      <w:r>
        <w:rPr>
          <w:rFonts w:hint="eastAsia" w:ascii="宋体" w:hAnsi="宋体" w:eastAsia="宋体" w:cs="宋体"/>
          <w:color w:val="000000"/>
          <w:kern w:val="0"/>
          <w:sz w:val="24"/>
          <w:szCs w:val="21"/>
          <w:highlight w:val="none"/>
          <w:lang w:eastAsia="zh-CN" w:bidi="ar"/>
        </w:rPr>
        <w:t>；</w:t>
      </w:r>
      <w:r>
        <w:rPr>
          <w:rFonts w:hint="eastAsia" w:ascii="宋体" w:hAnsi="宋体" w:eastAsia="宋体" w:cs="宋体"/>
          <w:color w:val="000000"/>
          <w:kern w:val="0"/>
          <w:sz w:val="24"/>
          <w:szCs w:val="21"/>
          <w:highlight w:val="none"/>
          <w:lang w:bidi="ar"/>
        </w:rPr>
        <w:t>满足获取FSU智能门禁配置信息，门禁类型有智能卡、身份证、指纹；满足获取门禁授权用户信息，用户数据分包且异步响应。</w:t>
      </w:r>
    </w:p>
    <w:p w14:paraId="12D985DC">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宋体" w:hAnsi="宋体" w:eastAsia="宋体" w:cs="宋体"/>
          <w:color w:val="000000"/>
          <w:kern w:val="0"/>
          <w:sz w:val="24"/>
          <w:szCs w:val="21"/>
          <w:highlight w:val="none"/>
          <w:lang w:val="en-US" w:eastAsia="zh-CN" w:bidi="ar"/>
        </w:rPr>
        <w:t>满足智能门禁进行遥控开门、遥控关门、恢复到初始状态、添加用户、删除用户操作，设置结果异步响应。</w:t>
      </w:r>
    </w:p>
    <w:p w14:paraId="08F616B4">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门禁事件采集</w:t>
      </w:r>
    </w:p>
    <w:p w14:paraId="1B815D69">
      <w:pPr>
        <w:spacing w:line="360" w:lineRule="auto"/>
        <w:ind w:firstLine="480" w:firstLineChars="200"/>
        <w:rPr>
          <w:rFonts w:hint="eastAsia" w:ascii="Times New Roman" w:hAnsi="Times New Roman" w:eastAsia="宋体" w:cs="Times New Roman"/>
          <w:kern w:val="0"/>
          <w:sz w:val="24"/>
          <w:highlight w:val="none"/>
          <w:lang w:val="en-US" w:eastAsia="zh-CN"/>
        </w:rPr>
      </w:pPr>
      <w:r>
        <w:rPr>
          <w:rFonts w:ascii="Times New Roman" w:hAnsi="Times New Roman" w:eastAsia="宋体" w:cs="Times New Roman"/>
          <w:kern w:val="0"/>
          <w:sz w:val="24"/>
          <w:highlight w:val="none"/>
        </w:rPr>
        <w:t>接收FSU上报的门禁事件数据，推送数据共享平台Kafka</w:t>
      </w:r>
      <w:r>
        <w:rPr>
          <w:rFonts w:hint="eastAsia" w:ascii="Times New Roman" w:hAnsi="Times New Roman" w:eastAsia="宋体" w:cs="Times New Roman"/>
          <w:kern w:val="0"/>
          <w:sz w:val="24"/>
          <w:highlight w:val="none"/>
          <w:lang w:eastAsia="zh-CN"/>
        </w:rPr>
        <w:t>。</w:t>
      </w:r>
    </w:p>
    <w:p w14:paraId="52C5BE43">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获取FSU智能门禁配置</w:t>
      </w:r>
    </w:p>
    <w:p w14:paraId="759E1FD9">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获取FSU智能门禁配置数据，门禁类型有智能卡、身份证、</w:t>
      </w:r>
      <w:r>
        <w:rPr>
          <w:rFonts w:hint="eastAsia" w:ascii="宋体" w:hAnsi="宋体" w:eastAsia="宋体" w:cs="宋体"/>
          <w:color w:val="000000"/>
          <w:kern w:val="0"/>
          <w:sz w:val="24"/>
          <w:szCs w:val="21"/>
          <w:highlight w:val="none"/>
          <w:lang w:bidi="ar"/>
        </w:rPr>
        <w:t>指纹</w:t>
      </w:r>
      <w:r>
        <w:rPr>
          <w:rFonts w:hint="eastAsia" w:ascii="宋体" w:hAnsi="宋体" w:eastAsia="宋体" w:cs="宋体"/>
          <w:color w:val="000000"/>
          <w:kern w:val="0"/>
          <w:sz w:val="24"/>
          <w:szCs w:val="21"/>
          <w:highlight w:val="none"/>
          <w:lang w:eastAsia="zh-CN" w:bidi="ar"/>
        </w:rPr>
        <w:t>。</w:t>
      </w:r>
    </w:p>
    <w:p w14:paraId="51174280">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SC设置智能门禁配置</w:t>
      </w:r>
    </w:p>
    <w:p w14:paraId="7076B04F">
      <w:pPr>
        <w:spacing w:line="360" w:lineRule="auto"/>
        <w:ind w:firstLine="480" w:firstLineChars="200"/>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对智能门禁进行遥控开门、遥控关门、恢复到初始状态、添加用户、删除用户操作，设置结果异步响</w:t>
      </w:r>
    </w:p>
    <w:p w14:paraId="5A3652CF">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ascii="Arial" w:hAnsi="Arial" w:eastAsia="宋体" w:cs="Times New Roman"/>
          <w:b/>
          <w:bCs/>
          <w:sz w:val="24"/>
          <w:szCs w:val="24"/>
          <w:highlight w:val="none"/>
          <w:lang w:val="en-US" w:eastAsia="zh-CN" w:bidi="ar-SA"/>
        </w:rPr>
        <w:t>SC获取FSU智能门禁用户</w:t>
      </w:r>
    </w:p>
    <w:p w14:paraId="70C08720">
      <w:pPr>
        <w:spacing w:line="360" w:lineRule="auto"/>
        <w:ind w:firstLine="480" w:firstLineChars="200"/>
        <w:rPr>
          <w:rFonts w:hint="eastAsia" w:ascii="Times New Roman" w:hAnsi="Times New Roman" w:eastAsia="宋体" w:cs="Times New Roman"/>
          <w:kern w:val="0"/>
          <w:sz w:val="24"/>
          <w:highlight w:val="none"/>
          <w:lang w:eastAsia="zh-CN"/>
        </w:rPr>
      </w:pPr>
      <w:r>
        <w:rPr>
          <w:rFonts w:hint="eastAsia" w:ascii="宋体" w:hAnsi="宋体" w:eastAsia="宋体" w:cs="宋体"/>
          <w:color w:val="000000"/>
          <w:kern w:val="0"/>
          <w:sz w:val="24"/>
          <w:szCs w:val="21"/>
          <w:highlight w:val="none"/>
          <w:lang w:bidi="ar"/>
        </w:rPr>
        <w:t>获取门禁授权用户信息</w:t>
      </w:r>
      <w:r>
        <w:rPr>
          <w:rFonts w:ascii="Times New Roman" w:hAnsi="Times New Roman" w:eastAsia="宋体" w:cs="Times New Roman"/>
          <w:kern w:val="0"/>
          <w:sz w:val="24"/>
          <w:highlight w:val="none"/>
        </w:rPr>
        <w:t xml:space="preserve">，用户数据分包且异步响应 </w:t>
      </w:r>
      <w:r>
        <w:rPr>
          <w:rFonts w:hint="eastAsia" w:ascii="Times New Roman" w:hAnsi="Times New Roman" w:eastAsia="宋体" w:cs="Times New Roman"/>
          <w:kern w:val="0"/>
          <w:sz w:val="24"/>
          <w:highlight w:val="none"/>
          <w:lang w:eastAsia="zh-CN"/>
        </w:rPr>
        <w:t>。</w:t>
      </w:r>
    </w:p>
    <w:p w14:paraId="083AE225">
      <w:pPr>
        <w:keepNext/>
        <w:keepLines/>
        <w:widowControl w:val="0"/>
        <w:numPr>
          <w:ilvl w:val="3"/>
          <w:numId w:val="31"/>
        </w:numPr>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55" w:name="_Toc15378"/>
      <w:bookmarkStart w:id="856" w:name="_Toc11804"/>
      <w:bookmarkStart w:id="857" w:name="_Toc18337"/>
      <w:bookmarkStart w:id="858" w:name="_Toc87285797"/>
      <w:bookmarkStart w:id="859" w:name="_Toc4575"/>
      <w:bookmarkStart w:id="860" w:name="_Toc1873"/>
      <w:bookmarkStart w:id="861" w:name="_Toc7706"/>
      <w:r>
        <w:rPr>
          <w:rFonts w:hint="eastAsia" w:ascii="Times New Roman" w:hAnsi="Times New Roman" w:eastAsia="宋体" w:cs="Times New Roman"/>
          <w:b/>
          <w:bCs/>
          <w:sz w:val="24"/>
          <w:szCs w:val="28"/>
          <w:highlight w:val="none"/>
          <w:lang w:val="en-US" w:eastAsia="zh-CN" w:bidi="ar-SA"/>
        </w:rPr>
        <w:t>PON插件</w:t>
      </w:r>
      <w:bookmarkEnd w:id="855"/>
      <w:bookmarkEnd w:id="856"/>
      <w:bookmarkEnd w:id="857"/>
      <w:bookmarkEnd w:id="858"/>
      <w:bookmarkEnd w:id="859"/>
      <w:bookmarkEnd w:id="860"/>
      <w:bookmarkEnd w:id="861"/>
    </w:p>
    <w:p w14:paraId="3FC186B8">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PON专业业务开通</w:t>
      </w:r>
    </w:p>
    <w:p w14:paraId="280096E7">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针对FTTB和FTTH的VOIP</w:t>
      </w:r>
    </w:p>
    <w:p w14:paraId="6487223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系统提供VOIP端口激活-API、VOIP端口去激活-API、VOIP端口语音业务-API、VOIP端口语音业务-API。</w:t>
      </w:r>
    </w:p>
    <w:p w14:paraId="6A54F075">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针对FTTB和FTTH的LAN端口</w:t>
      </w:r>
    </w:p>
    <w:p w14:paraId="1B8A6381">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系统提供LAN端口激活-API、LAN端口去激活-API、LAN端口属性-API、LAN端口开通VLAN-API、LAN端口添加到组播-API、LAN端口从组播删除-API、LAN端口开通IPTV业务-API、LAN端口删除VLAN-API。</w:t>
      </w:r>
    </w:p>
    <w:p w14:paraId="59D42244">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针对FTTB的DSL端口</w:t>
      </w:r>
    </w:p>
    <w:p w14:paraId="7C396896">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系统提供DSL端口激活-API、DSL端口去激活-API、DSL端口带宽开通-API、DSL端口添加到组播中-API、DSL端口从组播中删除-API、DSL端口开通IPTV业务-API、DSL端口开通VLAN-API、DSL端口删除VLAN-API。</w:t>
      </w:r>
    </w:p>
    <w:p w14:paraId="487127B2">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针对ONU设备的其他功能</w:t>
      </w:r>
    </w:p>
    <w:p w14:paraId="6A7BD54B">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系统提供添加ONU-API、拆除ONU-API、ONU带宽-API、ONU认证信息-API。</w:t>
      </w:r>
    </w:p>
    <w:p w14:paraId="3FAB0AF2">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针对OLT PON端口</w:t>
      </w:r>
    </w:p>
    <w:p w14:paraId="7C5F2C9D">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系统提供OLT PON端口VLAN-API的开通和删除。</w:t>
      </w:r>
    </w:p>
    <w:p w14:paraId="4C5C6594">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控制插件能力功能</w:t>
      </w:r>
      <w:r>
        <w:rPr>
          <w:rFonts w:hint="eastAsia" w:ascii="Times New Roman" w:hAnsi="Times New Roman" w:eastAsia="宋体" w:cs="Times New Roman"/>
          <w:b/>
          <w:bCs/>
          <w:sz w:val="24"/>
          <w:szCs w:val="28"/>
          <w:highlight w:val="none"/>
          <w:lang w:val="en-US" w:eastAsia="zh-CN" w:bidi="ar-SA"/>
        </w:rPr>
        <w:tab/>
      </w:r>
    </w:p>
    <w:p w14:paraId="19FF6BCA">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服务缓存数据删除能力：</w:t>
      </w:r>
    </w:p>
    <w:p w14:paraId="40D65754">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控制框架在删除网元、指令、结果解析规则、异常规则、指令处理规则数据的时候，需通过调用控制服务提供的缓存数据删除能力删除被控制服务缓存的配置数据，控制服务删除完成后调用控制框架提供的缓存数据操作结果响应能力通知控制框架数据删除的结果，控制框架在删除数据的时候需要考虑数据的级联关系，被其他对象引用的数据无法删除。</w:t>
      </w:r>
    </w:p>
    <w:p w14:paraId="7572163B">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网元连通性测试：</w:t>
      </w:r>
    </w:p>
    <w:p w14:paraId="35B3D851">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控制服务提供网元连通性能力，用于接收框架发起的连通性测试。</w:t>
      </w:r>
    </w:p>
    <w:p w14:paraId="4E52776D">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网元/网元参数批量下发能力：</w:t>
      </w:r>
    </w:p>
    <w:p w14:paraId="64CC06D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框架服务提供用于接收网元/网元参数批量下发的能力，用于大数量的网元及网元参数接收减少交互次数。</w:t>
      </w:r>
    </w:p>
    <w:p w14:paraId="0FAA7EE9">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指令批量下发能力：</w:t>
      </w:r>
    </w:p>
    <w:p w14:paraId="31EA4A17">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框架服务提供用于接收指令批量下发的能力，用于大数量的指令下发接收减少交互次数。</w:t>
      </w:r>
    </w:p>
    <w:p w14:paraId="32BC614F">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结果解析规则批量下发：</w:t>
      </w:r>
    </w:p>
    <w:p w14:paraId="7653A960">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高危指令审核记录下发。</w:t>
      </w:r>
    </w:p>
    <w:p w14:paraId="4C677A87">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异常规则批量下发：</w:t>
      </w:r>
    </w:p>
    <w:p w14:paraId="5CFE43B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框架服务提供用于接收异常规则批量下发的能力，用于大数量的异常规则下发接收减少交互次数。</w:t>
      </w:r>
    </w:p>
    <w:p w14:paraId="6C9FD516">
      <w:pPr>
        <w:keepNext w:val="0"/>
        <w:keepLines w:val="0"/>
        <w:pageBreakBefore w:val="0"/>
        <w:widowControl w:val="0"/>
        <w:numPr>
          <w:ilvl w:val="5"/>
          <w:numId w:val="31"/>
        </w:numPr>
        <w:kinsoku/>
        <w:wordWrap/>
        <w:overflowPunct/>
        <w:topLinePunct w:val="0"/>
        <w:autoSpaceDE/>
        <w:autoSpaceDN/>
        <w:bidi w:val="0"/>
        <w:adjustRightInd/>
        <w:snapToGrid/>
        <w:spacing w:line="360" w:lineRule="auto"/>
        <w:ind w:left="602" w:hanging="602" w:hangingChars="250"/>
        <w:jc w:val="both"/>
        <w:textAlignment w:val="auto"/>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指令处理规则批量下发：</w:t>
      </w:r>
    </w:p>
    <w:p w14:paraId="199503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highlight w:val="none"/>
        </w:rPr>
      </w:pPr>
      <w:r>
        <w:rPr>
          <w:rFonts w:hint="eastAsia" w:ascii="宋体" w:hAnsi="宋体" w:eastAsia="宋体" w:cs="宋体"/>
          <w:kern w:val="0"/>
          <w:sz w:val="24"/>
          <w:highlight w:val="none"/>
        </w:rPr>
        <w:t>框架服务提供用于接收指令处理规则批量下发的能力，用于大数量的指令处理规则下发接收减少交互次数。</w:t>
      </w:r>
    </w:p>
    <w:p w14:paraId="63CDC023">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采集场景</w:t>
      </w:r>
    </w:p>
    <w:p w14:paraId="5B7B4DF6">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告警采集</w:t>
      </w:r>
    </w:p>
    <w:p w14:paraId="27345F30">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szCs w:val="21"/>
          <w:highlight w:val="none"/>
          <w:lang w:bidi="ar"/>
        </w:rPr>
        <w:t>具备</w:t>
      </w:r>
      <w:r>
        <w:rPr>
          <w:rFonts w:hint="eastAsia" w:ascii="宋体" w:hAnsi="宋体" w:eastAsia="宋体" w:cs="宋体"/>
          <w:kern w:val="0"/>
          <w:sz w:val="24"/>
          <w:szCs w:val="21"/>
          <w:highlight w:val="none"/>
          <w:lang w:val="en-US" w:eastAsia="zh-CN" w:bidi="ar"/>
        </w:rPr>
        <w:t>PON</w:t>
      </w:r>
      <w:r>
        <w:rPr>
          <w:rFonts w:hint="eastAsia" w:ascii="宋体" w:hAnsi="宋体" w:eastAsia="宋体" w:cs="宋体"/>
          <w:kern w:val="0"/>
          <w:sz w:val="24"/>
          <w:szCs w:val="21"/>
          <w:highlight w:val="none"/>
          <w:lang w:bidi="ar"/>
        </w:rPr>
        <w:t>专业告警数据采集能力，</w:t>
      </w:r>
      <w:r>
        <w:rPr>
          <w:rFonts w:hint="eastAsia" w:ascii="宋体" w:hAnsi="宋体" w:eastAsia="宋体" w:cs="宋体"/>
          <w:kern w:val="0"/>
          <w:sz w:val="24"/>
          <w:highlight w:val="none"/>
        </w:rPr>
        <w:t>包括OLT告警、ONU告警、板卡告警、PON链路告警等信息，</w:t>
      </w:r>
      <w:r>
        <w:rPr>
          <w:rFonts w:hint="eastAsia" w:ascii="宋体" w:hAnsi="宋体" w:eastAsia="宋体" w:cs="宋体"/>
          <w:kern w:val="0"/>
          <w:sz w:val="24"/>
          <w:szCs w:val="21"/>
          <w:highlight w:val="none"/>
          <w:lang w:bidi="ar"/>
        </w:rPr>
        <w:t>能查看告警监听端口、解析脚本、采集策略。</w:t>
      </w:r>
    </w:p>
    <w:p w14:paraId="0C9B43AC">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配置采集</w:t>
      </w:r>
    </w:p>
    <w:p w14:paraId="2E571A5A">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szCs w:val="21"/>
          <w:highlight w:val="none"/>
          <w:lang w:bidi="ar"/>
        </w:rPr>
        <w:t>具备</w:t>
      </w:r>
      <w:r>
        <w:rPr>
          <w:rFonts w:hint="eastAsia" w:ascii="宋体" w:hAnsi="宋体" w:eastAsia="宋体" w:cs="宋体"/>
          <w:kern w:val="0"/>
          <w:sz w:val="24"/>
          <w:szCs w:val="21"/>
          <w:highlight w:val="none"/>
          <w:lang w:val="en-US" w:eastAsia="zh-CN" w:bidi="ar"/>
        </w:rPr>
        <w:t>PON</w:t>
      </w:r>
      <w:r>
        <w:rPr>
          <w:rFonts w:hint="eastAsia" w:ascii="宋体" w:hAnsi="宋体" w:eastAsia="宋体" w:cs="宋体"/>
          <w:kern w:val="0"/>
          <w:sz w:val="24"/>
          <w:szCs w:val="21"/>
          <w:highlight w:val="none"/>
          <w:lang w:bidi="ar"/>
        </w:rPr>
        <w:t>专业数据采集能力，包括ＯＬＴ设备、板卡、端口信息采集，能查看采集指令、解析脚本、采集策略。</w:t>
      </w:r>
    </w:p>
    <w:p w14:paraId="4736363F">
      <w:pPr>
        <w:keepNext/>
        <w:keepLines/>
        <w:widowControl w:val="0"/>
        <w:numPr>
          <w:ilvl w:val="5"/>
          <w:numId w:val="31"/>
        </w:numPr>
        <w:tabs>
          <w:tab w:val="left" w:pos="397"/>
        </w:tabs>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性能采集</w:t>
      </w:r>
    </w:p>
    <w:p w14:paraId="60EC2674">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系统提供OLT/ONU性能采集、OLT PON板性能采集、OLT上联口性能采集、ONU性能采集、光模块信息采集、PON链路质量采集等性能数据采集功能。</w:t>
      </w:r>
    </w:p>
    <w:p w14:paraId="0B82A772">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采集插件能力功能</w:t>
      </w:r>
      <w:r>
        <w:rPr>
          <w:rFonts w:hint="eastAsia" w:ascii="Times New Roman" w:hAnsi="Times New Roman" w:eastAsia="宋体" w:cs="Times New Roman"/>
          <w:b/>
          <w:bCs/>
          <w:sz w:val="24"/>
          <w:szCs w:val="28"/>
          <w:highlight w:val="none"/>
          <w:lang w:val="en-US" w:eastAsia="zh-CN" w:bidi="ar-SA"/>
        </w:rPr>
        <w:tab/>
      </w:r>
    </w:p>
    <w:p w14:paraId="75E6C9D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按集团集成接口规范要求实现PON采集插件与采集框架采集源连通性测试、采集源批量下发接口等9个新增接口。</w:t>
      </w:r>
    </w:p>
    <w:p w14:paraId="32971296">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采集源连通性测试：</w:t>
      </w:r>
    </w:p>
    <w:p w14:paraId="55739D0E">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采集服务增加采集源连通性测试能力，采集框架在配置好采集源后，可以通过该能力测试采集源连通性是否正常。</w:t>
      </w:r>
    </w:p>
    <w:p w14:paraId="2F9E2F73">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采集源批量下发能力：</w:t>
      </w:r>
    </w:p>
    <w:p w14:paraId="22EE53CF">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采集服务新增采集源批量下发能力，以提升采集源下发的效率。</w:t>
      </w:r>
    </w:p>
    <w:p w14:paraId="70954547">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采集模板批量下发能力：</w:t>
      </w:r>
    </w:p>
    <w:p w14:paraId="4490ABEE">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采集服务新增采集模板批量下发能力，以提升采集模板下发的效率；</w:t>
      </w:r>
    </w:p>
    <w:p w14:paraId="269728BC">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采集指标批量下发能力：</w:t>
      </w:r>
    </w:p>
    <w:p w14:paraId="2FD6476A">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采集服务新增采集指标批量下发能力，以提升采集指标下发的效率。</w:t>
      </w:r>
    </w:p>
    <w:p w14:paraId="1C36262B">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采集源缓存查询能力：</w:t>
      </w:r>
    </w:p>
    <w:p w14:paraId="7F5F1E70">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采集服务新增已缓存采集源查询能力，采集框架可以通过此能力查询缓存的采集源信息，以便框架定位问题，完善监控功能。</w:t>
      </w:r>
    </w:p>
    <w:p w14:paraId="54ABEEFF">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采集模板缓存查询能力：</w:t>
      </w:r>
    </w:p>
    <w:p w14:paraId="012C7232">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采集服务新增已缓存采集模板查询能力，采集框架可以通过此能力查询缓存的采集模板信息，以便框架定位问题，完善监控功能。</w:t>
      </w:r>
    </w:p>
    <w:p w14:paraId="7E572EC6">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采集指标缓存查询能力：</w:t>
      </w:r>
    </w:p>
    <w:p w14:paraId="426CD5F8">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采集服务新增已缓存采集指标查询能力，采集框架可以通过此能力查询缓存的采集指标信息，以便框架定位问题，完善监控功能。</w:t>
      </w:r>
    </w:p>
    <w:p w14:paraId="509C0BDE">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ab/>
      </w:r>
      <w:r>
        <w:rPr>
          <w:rFonts w:hint="eastAsia" w:ascii="Arial" w:hAnsi="Arial" w:eastAsia="宋体" w:cs="Times New Roman"/>
          <w:b/>
          <w:bCs/>
          <w:sz w:val="24"/>
          <w:szCs w:val="24"/>
          <w:highlight w:val="none"/>
          <w:lang w:val="en-US" w:eastAsia="zh-CN" w:bidi="ar-SA"/>
        </w:rPr>
        <w:t>服务缓存数据删除接收：</w:t>
      </w:r>
    </w:p>
    <w:p w14:paraId="6D41DB19">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采集服务提供缓存数据删除能力，框架可通过该能力清除已失效的采集源、模板以及指标等信息，避免采集服务缓存的数据无限膨胀。</w:t>
      </w:r>
    </w:p>
    <w:p w14:paraId="536B12EA">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采集源连通性结果上报：</w:t>
      </w:r>
    </w:p>
    <w:p w14:paraId="2BF97ACE">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框架新增采集源连通性结果上报能力，采集服务完成采集源连通性测试后通过该能力将测试结果异步上报至框架。</w:t>
      </w:r>
    </w:p>
    <w:p w14:paraId="17C4F0DA">
      <w:pPr>
        <w:keepNext/>
        <w:keepLines/>
        <w:widowControl w:val="0"/>
        <w:numPr>
          <w:ilvl w:val="3"/>
          <w:numId w:val="31"/>
        </w:numPr>
        <w:spacing w:before="240" w:after="180" w:line="300" w:lineRule="auto"/>
        <w:ind w:left="1181" w:leftChars="151" w:hanging="864" w:firstLineChars="0"/>
        <w:jc w:val="both"/>
        <w:outlineLvl w:val="3"/>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 xml:space="preserve"> </w:t>
      </w:r>
      <w:bookmarkStart w:id="862" w:name="_Toc1511"/>
      <w:bookmarkStart w:id="863" w:name="_Toc15409"/>
      <w:bookmarkStart w:id="864" w:name="_Toc29454"/>
      <w:bookmarkStart w:id="865" w:name="_Toc1109"/>
      <w:bookmarkStart w:id="866" w:name="_Toc2478"/>
      <w:r>
        <w:rPr>
          <w:rFonts w:hint="eastAsia" w:ascii="Times New Roman" w:hAnsi="Times New Roman" w:eastAsia="宋体" w:cs="Times New Roman"/>
          <w:b/>
          <w:bCs/>
          <w:sz w:val="24"/>
          <w:szCs w:val="28"/>
          <w:highlight w:val="none"/>
          <w:lang w:val="en-US" w:eastAsia="zh-CN" w:bidi="ar-SA"/>
        </w:rPr>
        <w:t>采控框架与新城控制插件对接</w:t>
      </w:r>
      <w:bookmarkEnd w:id="862"/>
      <w:bookmarkEnd w:id="863"/>
      <w:bookmarkEnd w:id="864"/>
      <w:bookmarkEnd w:id="865"/>
      <w:bookmarkEnd w:id="866"/>
    </w:p>
    <w:p w14:paraId="7FF3F74E">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与集团新城控制器进行联调测试，保证采集和控制的基础接口以及业务厂家能力适配正常。</w:t>
      </w:r>
      <w:r>
        <w:rPr>
          <w:rFonts w:hint="eastAsia" w:ascii="宋体" w:hAnsi="宋体" w:eastAsia="宋体" w:cs="宋体"/>
          <w:kern w:val="0"/>
          <w:sz w:val="24"/>
          <w:highlight w:val="none"/>
        </w:rPr>
        <w:tab/>
      </w:r>
    </w:p>
    <w:p w14:paraId="0DD84EC8">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采集通用</w:t>
      </w:r>
      <w:r>
        <w:rPr>
          <w:rFonts w:hint="eastAsia" w:ascii="Times New Roman" w:hAnsi="Times New Roman" w:eastAsia="宋体" w:cs="Times New Roman"/>
          <w:b/>
          <w:bCs/>
          <w:sz w:val="24"/>
          <w:szCs w:val="28"/>
          <w:highlight w:val="none"/>
          <w:lang w:val="en-US" w:eastAsia="zh-CN" w:bidi="ar-SA"/>
        </w:rPr>
        <w:t>能力</w:t>
      </w:r>
      <w:r>
        <w:rPr>
          <w:rFonts w:ascii="Times New Roman" w:hAnsi="Times New Roman" w:eastAsia="宋体" w:cs="Times New Roman"/>
          <w:b/>
          <w:bCs/>
          <w:sz w:val="24"/>
          <w:szCs w:val="28"/>
          <w:highlight w:val="none"/>
          <w:lang w:val="en-US" w:eastAsia="zh-CN" w:bidi="ar-SA"/>
        </w:rPr>
        <w:t>联调：</w:t>
      </w:r>
    </w:p>
    <w:p w14:paraId="68E3E4B6">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针对采集框架与新城采集服务注册API、心跳检测API、采集源下发、采集模板下发、指标下发、指标批量下发、任务派发、采集任务状态/结果上报等能力联调。</w:t>
      </w:r>
    </w:p>
    <w:p w14:paraId="2DA77D7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ascii="Times New Roman" w:hAnsi="Times New Roman" w:eastAsia="宋体" w:cs="Times New Roman"/>
          <w:b/>
          <w:bCs/>
          <w:sz w:val="24"/>
          <w:szCs w:val="28"/>
          <w:highlight w:val="none"/>
          <w:lang w:val="en-US" w:eastAsia="zh-CN" w:bidi="ar-SA"/>
        </w:rPr>
        <w:t>控制通用</w:t>
      </w:r>
      <w:r>
        <w:rPr>
          <w:rFonts w:hint="eastAsia" w:ascii="Times New Roman" w:hAnsi="Times New Roman" w:eastAsia="宋体" w:cs="Times New Roman"/>
          <w:b/>
          <w:bCs/>
          <w:sz w:val="24"/>
          <w:szCs w:val="28"/>
          <w:highlight w:val="none"/>
          <w:lang w:val="en-US" w:eastAsia="zh-CN" w:bidi="ar-SA"/>
        </w:rPr>
        <w:t>能力</w:t>
      </w:r>
      <w:r>
        <w:rPr>
          <w:rFonts w:ascii="Times New Roman" w:hAnsi="Times New Roman" w:eastAsia="宋体" w:cs="Times New Roman"/>
          <w:b/>
          <w:bCs/>
          <w:sz w:val="24"/>
          <w:szCs w:val="28"/>
          <w:highlight w:val="none"/>
          <w:lang w:val="en-US" w:eastAsia="zh-CN" w:bidi="ar-SA"/>
        </w:rPr>
        <w:t>联调：</w:t>
      </w:r>
    </w:p>
    <w:p w14:paraId="30B65FDC">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针对控制框架与新城插件完成注册、注销、心跳检测、操作指令接收、异步指令响应能力的联调。</w:t>
      </w:r>
    </w:p>
    <w:p w14:paraId="5C502468">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867" w:name="_Toc10858"/>
      <w:bookmarkStart w:id="868" w:name="_Toc2874"/>
      <w:bookmarkStart w:id="869" w:name="_Toc4888"/>
      <w:bookmarkStart w:id="870" w:name="_Toc19840"/>
      <w:bookmarkStart w:id="871" w:name="_Toc95"/>
      <w:r>
        <w:rPr>
          <w:rFonts w:hint="eastAsia" w:ascii="Times New Roman" w:hAnsi="Times New Roman" w:eastAsia="宋体" w:cs="Times New Roman"/>
          <w:b/>
          <w:bCs/>
          <w:sz w:val="24"/>
          <w:szCs w:val="28"/>
          <w:highlight w:val="none"/>
          <w:lang w:val="en-US" w:eastAsia="zh-CN" w:bidi="ar-SA"/>
        </w:rPr>
        <w:t>云插件基础建设</w:t>
      </w:r>
      <w:bookmarkEnd w:id="867"/>
      <w:bookmarkEnd w:id="868"/>
      <w:bookmarkEnd w:id="869"/>
      <w:bookmarkEnd w:id="870"/>
      <w:bookmarkEnd w:id="871"/>
    </w:p>
    <w:p w14:paraId="2B88F8CC">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云采集插件建设包括与框架的交互接口以及基础功能。</w:t>
      </w:r>
    </w:p>
    <w:p w14:paraId="17FE54AA">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采集源下发API</w:t>
      </w:r>
    </w:p>
    <w:p w14:paraId="456F91BC">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采集源有新增或者修改时由采集控制框架下发给采集服务。</w:t>
      </w:r>
    </w:p>
    <w:p w14:paraId="274FCA6E">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采集模板下发API</w:t>
      </w:r>
    </w:p>
    <w:p w14:paraId="55B7F95D">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采集模板有新增或者修改时由采控框架下发给采集服务。</w:t>
      </w:r>
    </w:p>
    <w:p w14:paraId="3FF7F2D6">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采集指标下发API</w:t>
      </w:r>
    </w:p>
    <w:p w14:paraId="0A2E21B6">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采集指标有新增或者修改时由采控框架下发给采集服务。</w:t>
      </w:r>
    </w:p>
    <w:p w14:paraId="15C96C4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采集任务派发API</w:t>
      </w:r>
    </w:p>
    <w:p w14:paraId="72F4979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采集框架根据采集策略配置情况发送采集任务给采集服务实例执行。</w:t>
      </w:r>
    </w:p>
    <w:p w14:paraId="4D35AF7C">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采集源连通性测试</w:t>
      </w:r>
    </w:p>
    <w:p w14:paraId="6A3A4232">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采集服务增加采集源连通性测试能力，采集框架在配置好采集源后，可以通过该能力测试采集源连通性是否正常；</w:t>
      </w:r>
    </w:p>
    <w:p w14:paraId="780F9117">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采集源批量下发能力</w:t>
      </w:r>
    </w:p>
    <w:p w14:paraId="0D741BE7">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采集服务新增采集源批量下发能力，以提升采集源下发的效率；</w:t>
      </w:r>
    </w:p>
    <w:p w14:paraId="0B2B91C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采集模板批量下发能力</w:t>
      </w:r>
    </w:p>
    <w:p w14:paraId="3FDBE5FC">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采集服务新增采集模板批量下发能力，以提升采集模板下发的效率；</w:t>
      </w:r>
    </w:p>
    <w:p w14:paraId="310BACD8">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采集指标批量下发能力</w:t>
      </w:r>
    </w:p>
    <w:p w14:paraId="7B1D286B">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采集服务新增采集指标批量下发能力，以提升采集指标下发的效率；</w:t>
      </w:r>
    </w:p>
    <w:p w14:paraId="51200C1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采集源缓存查询能力</w:t>
      </w:r>
    </w:p>
    <w:p w14:paraId="79D87259">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采集服务新增已缓存采集源查询能力，采集框架可以通过此能力查询缓存的采集源信息，以便框架定位问题，完善监控功能；</w:t>
      </w:r>
    </w:p>
    <w:p w14:paraId="38AED7DC">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采集模板缓存查询能力</w:t>
      </w:r>
    </w:p>
    <w:p w14:paraId="65B60A79">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采集服务新增已缓存采集模板查询能力，采集框架可以通过此能力查询缓存的采集模板信息，以便框架定位问题，完善监控功能；</w:t>
      </w:r>
    </w:p>
    <w:p w14:paraId="2014875F">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采集指标缓存查询能力</w:t>
      </w:r>
    </w:p>
    <w:p w14:paraId="3E4DD772">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采集服务新增已缓存采集指标查询能力，采集框架可以通过此能力查询缓存的采集指标信息，以便框架定位问题，完善监控功能；</w:t>
      </w:r>
    </w:p>
    <w:p w14:paraId="2892046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服务缓存数据删除能力</w:t>
      </w:r>
    </w:p>
    <w:p w14:paraId="21D32142">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采集服务提供缓存数据删除能力，框架可通过该能力清除已失效的采集源、模板以及指标等信息；</w:t>
      </w:r>
    </w:p>
    <w:p w14:paraId="63611946">
      <w:pPr>
        <w:keepNext/>
        <w:keepLines/>
        <w:widowControl w:val="0"/>
        <w:numPr>
          <w:ilvl w:val="3"/>
          <w:numId w:val="31"/>
        </w:numPr>
        <w:spacing w:before="240" w:after="180" w:line="300" w:lineRule="auto"/>
        <w:ind w:left="1181" w:leftChars="151" w:hanging="864" w:firstLineChars="0"/>
        <w:jc w:val="both"/>
        <w:outlineLvl w:val="3"/>
        <w:rPr>
          <w:rFonts w:ascii="Times New Roman" w:hAnsi="Times New Roman" w:eastAsia="宋体" w:cs="Times New Roman"/>
          <w:b/>
          <w:bCs/>
          <w:sz w:val="24"/>
          <w:szCs w:val="28"/>
          <w:highlight w:val="none"/>
          <w:lang w:val="en-US" w:eastAsia="zh-CN" w:bidi="ar-SA"/>
        </w:rPr>
      </w:pPr>
      <w:bookmarkStart w:id="872" w:name="_Toc50324785"/>
      <w:bookmarkStart w:id="873" w:name="_Toc43325624"/>
      <w:bookmarkStart w:id="874" w:name="_Toc22215"/>
      <w:bookmarkStart w:id="875" w:name="_Toc21320"/>
      <w:bookmarkStart w:id="876" w:name="_Toc4488"/>
      <w:bookmarkStart w:id="877" w:name="_Toc5791"/>
      <w:bookmarkStart w:id="878" w:name="_Toc41834790"/>
      <w:bookmarkStart w:id="879" w:name="_Toc6462"/>
      <w:r>
        <w:rPr>
          <w:rFonts w:hint="eastAsia" w:ascii="Times New Roman" w:hAnsi="Times New Roman" w:eastAsia="宋体" w:cs="Times New Roman"/>
          <w:b/>
          <w:bCs/>
          <w:sz w:val="24"/>
          <w:szCs w:val="28"/>
          <w:highlight w:val="none"/>
          <w:lang w:val="en-US" w:eastAsia="zh-CN" w:bidi="ar-SA"/>
        </w:rPr>
        <w:t>系统管理</w:t>
      </w:r>
      <w:bookmarkEnd w:id="872"/>
      <w:bookmarkEnd w:id="873"/>
      <w:bookmarkEnd w:id="874"/>
      <w:bookmarkEnd w:id="875"/>
      <w:bookmarkEnd w:id="876"/>
      <w:bookmarkEnd w:id="877"/>
      <w:bookmarkEnd w:id="878"/>
      <w:bookmarkEnd w:id="879"/>
    </w:p>
    <w:p w14:paraId="0193950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用户管理</w:t>
      </w:r>
    </w:p>
    <w:p w14:paraId="6AD9407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用户管理支持对用户的授权管理和鉴权管理。通过把角色赋予用户组和用户的方式来管理用户权限。</w:t>
      </w:r>
    </w:p>
    <w:p w14:paraId="6C6E419C">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角色管理</w:t>
      </w:r>
    </w:p>
    <w:p w14:paraId="5D621BE3">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角色管理功能包括：创建角色、删除角色、查询角色、修改角色。角色管理功能只能是有授权用户实施。</w:t>
      </w:r>
    </w:p>
    <w:p w14:paraId="0202BACC">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用户账号管理</w:t>
      </w:r>
    </w:p>
    <w:p w14:paraId="6C0FBD65">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用户管理的基本功能包括：创建用户、删除用户、查询用户、修改用户。</w:t>
      </w:r>
    </w:p>
    <w:p w14:paraId="33B44F4D">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用户组管理</w:t>
      </w:r>
    </w:p>
    <w:p w14:paraId="5726FAF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用户组管理功能可以实现用户的批量赋权。</w:t>
      </w:r>
    </w:p>
    <w:p w14:paraId="4776AD79">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授权管理</w:t>
      </w:r>
    </w:p>
    <w:p w14:paraId="48685B5C">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系统通过树图的方式显示用户的权限，分操作树和资源树，操作树按系统的操作菜单项组织，资源树按省市级地区和网元类型列出。</w:t>
      </w:r>
    </w:p>
    <w:p w14:paraId="5BE76F34">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系统能够提供多种安全策略，满足系统权限管理需求。</w:t>
      </w:r>
    </w:p>
    <w:p w14:paraId="4D3A9E31">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权限控制</w:t>
      </w:r>
    </w:p>
    <w:p w14:paraId="28077A6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对采控平台的用户进行相应的授权后，才能使用采控平台。用户在使用系统时，要进行与授权相应的权限控制。根据用户的授权，权限控制包括在网元或EMS上登录控制和操作控制以及对网元上的登录和操作控制。</w:t>
      </w:r>
    </w:p>
    <w:p w14:paraId="074D7DFF">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采控平台权限控制</w:t>
      </w:r>
    </w:p>
    <w:p w14:paraId="66B4AAA1">
      <w:pPr>
        <w:widowControl w:val="0"/>
        <w:numPr>
          <w:ilvl w:val="0"/>
          <w:numId w:val="46"/>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登录控制</w:t>
      </w:r>
    </w:p>
    <w:p w14:paraId="442C048E">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采控平台具有对试图连接或登录系统的用户进行鉴权的功能，只有名称和密码都正确的用户才允许登录到系统中，否则拒绝登录。若一用户连续多次被拒绝登录，则系统能锁定该用户。</w:t>
      </w:r>
    </w:p>
    <w:p w14:paraId="0BF7D983">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采控平台操作控制</w:t>
      </w:r>
    </w:p>
    <w:p w14:paraId="3139EE4A">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用户通过采控平台的界面下发指令操作网元时，网管上能够记录操作日志，包括用户信息、操作的网元信息、操作指令、操作结果等内容，方便以后查询和审计。</w:t>
      </w:r>
    </w:p>
    <w:p w14:paraId="14D8F3F7">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网元权限控制</w:t>
      </w:r>
    </w:p>
    <w:p w14:paraId="15F787CD">
      <w:pPr>
        <w:widowControl w:val="0"/>
        <w:numPr>
          <w:ilvl w:val="0"/>
          <w:numId w:val="47"/>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网元操作控制</w:t>
      </w:r>
    </w:p>
    <w:p w14:paraId="5206C422">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用户对网元实施操作进行鉴权，保证具有权限的用户才能实施相应的操作。</w:t>
      </w:r>
    </w:p>
    <w:p w14:paraId="115C113D">
      <w:pPr>
        <w:widowControl w:val="0"/>
        <w:numPr>
          <w:ilvl w:val="0"/>
          <w:numId w:val="47"/>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网元操作日志管理</w:t>
      </w:r>
    </w:p>
    <w:p w14:paraId="77DEC8E0">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支持将操作和连接日志采集后进行管理。采控平台要将用户登录网元的信息(包括成功与不成功的登录)记录下来。</w:t>
      </w:r>
    </w:p>
    <w:p w14:paraId="64AE4CEF">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用户对网元的操作，能够查询用户登录网元后所有的操作信息。</w:t>
      </w:r>
    </w:p>
    <w:p w14:paraId="3112F221">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在线用户监控</w:t>
      </w:r>
    </w:p>
    <w:p w14:paraId="175A3378">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具备当前在线用户的实时监控。</w:t>
      </w:r>
    </w:p>
    <w:p w14:paraId="7ABB5FAE">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日志管理</w:t>
      </w:r>
    </w:p>
    <w:p w14:paraId="382DD25B">
      <w:pPr>
        <w:widowControl w:val="0"/>
        <w:spacing w:line="360" w:lineRule="auto"/>
        <w:ind w:firstLine="480" w:firstLineChars="20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采控平台具有系统日志管理功能。系统日志管理包括系统登录日志管理和系统操作日志管理。</w:t>
      </w:r>
    </w:p>
    <w:p w14:paraId="1071F72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系统登录日志管理</w:t>
      </w:r>
    </w:p>
    <w:p w14:paraId="528806E8">
      <w:pPr>
        <w:widowControl w:val="0"/>
        <w:numPr>
          <w:ilvl w:val="0"/>
          <w:numId w:val="4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采控平台能将用户的登录信息(包括成功与不成功的登录)记录下来，以供查询。用户登录信息包括用户名称、登录终端名称与IP地址、登录时间和退出时间。</w:t>
      </w:r>
    </w:p>
    <w:p w14:paraId="1C8AB9FE">
      <w:pPr>
        <w:widowControl w:val="0"/>
        <w:numPr>
          <w:ilvl w:val="0"/>
          <w:numId w:val="4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采控平台能够查询系统登录日志。查询结果内容包括用户名称、登录终端名称与IP地址、登录时间和退出时间。</w:t>
      </w:r>
    </w:p>
    <w:p w14:paraId="237DC9C9">
      <w:pPr>
        <w:widowControl w:val="0"/>
        <w:numPr>
          <w:ilvl w:val="0"/>
          <w:numId w:val="4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采控平台能够删除过时的系统登录日志。采控平台能够提供以下两种删除方式，一是按时间进行删除；二是按保留的记录条数进行删除。</w:t>
      </w:r>
    </w:p>
    <w:p w14:paraId="6C69D8B0">
      <w:pPr>
        <w:widowControl w:val="0"/>
        <w:numPr>
          <w:ilvl w:val="0"/>
          <w:numId w:val="48"/>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采控平台具有自动备份系统登录日志到硬盘和手动保存系统登录日志到文件的功能。采控平台具有打印系统登录日志功能。</w:t>
      </w:r>
    </w:p>
    <w:p w14:paraId="44EDA1A8">
      <w:pPr>
        <w:keepNext/>
        <w:keepLines/>
        <w:widowControl w:val="0"/>
        <w:numPr>
          <w:ilvl w:val="5"/>
          <w:numId w:val="31"/>
        </w:numPr>
        <w:spacing w:line="360" w:lineRule="auto"/>
        <w:ind w:left="602" w:hanging="602" w:hangingChars="250"/>
        <w:jc w:val="both"/>
        <w:outlineLvl w:val="5"/>
        <w:rPr>
          <w:rFonts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系统操作日志管理</w:t>
      </w:r>
    </w:p>
    <w:p w14:paraId="64BDEBD8">
      <w:pPr>
        <w:widowControl w:val="0"/>
        <w:numPr>
          <w:ilvl w:val="0"/>
          <w:numId w:val="49"/>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系统具有操作日志记录功能，将用户的重要的操作信息（删除，更新等）记录下来，以供查询。</w:t>
      </w:r>
    </w:p>
    <w:p w14:paraId="12AF9F0A">
      <w:pPr>
        <w:widowControl w:val="0"/>
        <w:numPr>
          <w:ilvl w:val="0"/>
          <w:numId w:val="49"/>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能够查询系统操作日志。查询条件包括用户名、IP地址、操作日期时间、操作结果（成功或失败）等。</w:t>
      </w:r>
    </w:p>
    <w:p w14:paraId="71A5F099">
      <w:pPr>
        <w:widowControl w:val="0"/>
        <w:numPr>
          <w:ilvl w:val="0"/>
          <w:numId w:val="49"/>
        </w:numPr>
        <w:spacing w:line="360" w:lineRule="auto"/>
        <w:ind w:left="900" w:hanging="420" w:firstLineChars="0"/>
        <w:jc w:val="both"/>
        <w:rPr>
          <w:rFonts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系统能够删除过时的系统操作日志。支持提供以下两种删除方式，一是按时间进行删除；二是按保留的记录条数进行删除。</w:t>
      </w:r>
    </w:p>
    <w:p w14:paraId="1719CE7D">
      <w:pPr>
        <w:keepNext/>
        <w:keepLines/>
        <w:widowControl w:val="0"/>
        <w:numPr>
          <w:ilvl w:val="3"/>
          <w:numId w:val="31"/>
        </w:numPr>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80" w:name="_Toc23545"/>
      <w:bookmarkStart w:id="881" w:name="_Toc5804"/>
      <w:bookmarkStart w:id="882" w:name="_Toc27794"/>
      <w:bookmarkStart w:id="883" w:name="_Toc29064"/>
      <w:bookmarkStart w:id="884" w:name="_Toc12241"/>
      <w:r>
        <w:rPr>
          <w:rFonts w:hint="eastAsia" w:ascii="Times New Roman" w:hAnsi="Times New Roman" w:eastAsia="宋体" w:cs="Times New Roman"/>
          <w:b/>
          <w:bCs/>
          <w:sz w:val="24"/>
          <w:szCs w:val="28"/>
          <w:highlight w:val="none"/>
          <w:lang w:val="en-US" w:eastAsia="zh-CN" w:bidi="ar-SA"/>
        </w:rPr>
        <w:t>移网类业务开通支撑</w:t>
      </w:r>
      <w:bookmarkEnd w:id="880"/>
      <w:bookmarkEnd w:id="881"/>
      <w:bookmarkEnd w:id="882"/>
      <w:bookmarkEnd w:id="883"/>
      <w:bookmarkEnd w:id="884"/>
    </w:p>
    <w:p w14:paraId="45F880D8">
      <w:pPr>
        <w:spacing w:line="360" w:lineRule="auto"/>
        <w:ind w:firstLine="480" w:firstLineChars="200"/>
        <w:rPr>
          <w:rFonts w:ascii="宋体" w:hAnsi="宋体" w:eastAsia="宋体" w:cs="宋体"/>
          <w:kern w:val="0"/>
          <w:sz w:val="24"/>
          <w:highlight w:val="none"/>
        </w:rPr>
      </w:pPr>
      <w:r>
        <w:rPr>
          <w:rFonts w:hint="eastAsia" w:ascii="宋体" w:hAnsi="宋体" w:eastAsia="宋体" w:cs="宋体"/>
          <w:kern w:val="0"/>
          <w:sz w:val="24"/>
          <w:highlight w:val="none"/>
        </w:rPr>
        <w:t>移网类业务涉及到的网元有：阿朗HLR、中兴HLR、首信AAA、首信ANAAA、华为HSS、华为UDM、华为PCF、集团VOLTE、集团HSS、集团GC网关、翼支付、中兴短信中心、彩铃平台、亚信VSOP平台、中兴ISMP平台、中兴综合VPN业务、SCP一卡双号平台、中兴一号双机平台、VPDN平台、MSP平台、手机签名平台、手机秘书、商务领航平台、加密通信平台、DEPWAP平台、DEP9083、集团一卡双号、天翼对讲、天翼视讯、协同通信、号百码号安全平台、168平台、接口表。</w:t>
      </w:r>
    </w:p>
    <w:p w14:paraId="25301FE3">
      <w:pPr>
        <w:spacing w:line="360" w:lineRule="auto"/>
        <w:ind w:firstLine="480" w:firstLineChars="200"/>
        <w:rPr>
          <w:rFonts w:hint="eastAsia" w:ascii="宋体" w:hAnsi="宋体" w:eastAsia="宋体" w:cs="宋体"/>
          <w:kern w:val="0"/>
          <w:sz w:val="24"/>
          <w:highlight w:val="none"/>
        </w:rPr>
      </w:pPr>
      <w:r>
        <w:rPr>
          <w:rFonts w:hint="eastAsia" w:ascii="宋体" w:hAnsi="宋体" w:eastAsia="宋体" w:cs="宋体"/>
          <w:kern w:val="0"/>
          <w:sz w:val="24"/>
          <w:highlight w:val="none"/>
        </w:rPr>
        <w:t>按照业务的新装、拆机、改速、停机、复机等场景梳理出流程，并提供给上游的所有原子能力API以及其所对应的指令并进行指令的网管/设备厂家，型号及版本适配。</w:t>
      </w:r>
    </w:p>
    <w:p w14:paraId="63FE5374">
      <w:pPr>
        <w:keepNext/>
        <w:keepLines/>
        <w:widowControl w:val="0"/>
        <w:numPr>
          <w:ilvl w:val="3"/>
          <w:numId w:val="31"/>
        </w:numPr>
        <w:spacing w:before="240" w:after="180" w:line="300" w:lineRule="auto"/>
        <w:ind w:left="1179" w:leftChars="151" w:hanging="862" w:firstLineChars="0"/>
        <w:jc w:val="both"/>
        <w:outlineLvl w:val="3"/>
        <w:rPr>
          <w:rFonts w:ascii="Times New Roman" w:hAnsi="Times New Roman" w:eastAsia="宋体" w:cs="Times New Roman"/>
          <w:b/>
          <w:bCs/>
          <w:sz w:val="24"/>
          <w:szCs w:val="28"/>
          <w:highlight w:val="none"/>
          <w:lang w:val="en-US" w:eastAsia="zh-CN" w:bidi="ar-SA"/>
        </w:rPr>
      </w:pPr>
      <w:bookmarkStart w:id="885" w:name="_Toc4058"/>
      <w:bookmarkStart w:id="886" w:name="_Toc24150"/>
      <w:bookmarkStart w:id="887" w:name="_Toc14644"/>
      <w:bookmarkStart w:id="888" w:name="_Toc18145"/>
      <w:bookmarkStart w:id="889" w:name="_Toc21629"/>
      <w:r>
        <w:rPr>
          <w:rFonts w:hint="eastAsia" w:ascii="Times New Roman" w:hAnsi="Times New Roman" w:eastAsia="宋体" w:cs="Times New Roman"/>
          <w:b/>
          <w:bCs/>
          <w:sz w:val="24"/>
          <w:szCs w:val="28"/>
          <w:highlight w:val="none"/>
          <w:lang w:val="en-US" w:eastAsia="zh-CN" w:bidi="ar-SA"/>
        </w:rPr>
        <w:t>固网类业务开通支撑</w:t>
      </w:r>
      <w:bookmarkEnd w:id="885"/>
      <w:bookmarkEnd w:id="886"/>
      <w:bookmarkEnd w:id="887"/>
      <w:bookmarkEnd w:id="888"/>
      <w:bookmarkEnd w:id="889"/>
    </w:p>
    <w:p w14:paraId="4F1E08DD">
      <w:pPr>
        <w:spacing w:line="360" w:lineRule="auto"/>
        <w:ind w:firstLine="480" w:firstLineChars="200"/>
        <w:rPr>
          <w:rFonts w:ascii="Times New Roman" w:hAnsi="Times New Roman" w:eastAsia="宋体" w:cs="Times New Roman"/>
          <w:kern w:val="0"/>
          <w:sz w:val="24"/>
          <w:highlight w:val="none"/>
        </w:rPr>
      </w:pPr>
      <w:r>
        <w:rPr>
          <w:rFonts w:hint="eastAsia" w:ascii="宋体" w:hAnsi="宋体" w:eastAsia="宋体" w:cs="宋体"/>
          <w:kern w:val="0"/>
          <w:sz w:val="24"/>
          <w:highlight w:val="none"/>
        </w:rPr>
        <w:t>固网类业务涉及到的网元有：固网AAA、华为_PON_EMS、中兴_PON_EMS、烽火_PON_EMS、固网IMS、固网NGN、固网ITMS、固网ITMS云网超宽带、固网ITMS_VXLAN、固网ITMS公共维护、固网ITV平台、ITV幸福新农村、固网ITV零配置、自研彩铃平台、移动通信助理、挂机短信平台、挂机短信平台武汉、中兴全球眼平台、固网E线通、固网号百、VOLTE新业务、IPRAN_STN设备_华为、IPC_路由器_华为。</w:t>
      </w:r>
    </w:p>
    <w:p w14:paraId="43497CC2">
      <w:pPr>
        <w:spacing w:line="360" w:lineRule="auto"/>
        <w:ind w:firstLine="480" w:firstLineChars="200"/>
        <w:rPr>
          <w:rFonts w:hint="eastAsia" w:ascii="宋体" w:hAnsi="宋体" w:eastAsia="宋体" w:cs="宋体"/>
          <w:color w:val="00B050"/>
          <w:kern w:val="0"/>
          <w:sz w:val="24"/>
          <w:highlight w:val="none"/>
        </w:rPr>
      </w:pPr>
      <w:r>
        <w:rPr>
          <w:rFonts w:hint="eastAsia" w:ascii="宋体" w:hAnsi="宋体" w:eastAsia="宋体" w:cs="宋体"/>
          <w:kern w:val="0"/>
          <w:sz w:val="24"/>
          <w:highlight w:val="none"/>
        </w:rPr>
        <w:t>按照业务的新装、拆机、改速、停机、复机等场景梳理出流程，并提供给上游的所有原子能力API以及其所对应的指令并进行指令的网管/设备厂家，型号及版本适配。</w:t>
      </w:r>
    </w:p>
    <w:p w14:paraId="6487EFA3">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890" w:name="_Toc19789"/>
      <w:bookmarkStart w:id="891" w:name="_Toc29895"/>
      <w:bookmarkStart w:id="892" w:name="_Toc12417"/>
      <w:bookmarkStart w:id="893" w:name="_Toc13914"/>
      <w:bookmarkStart w:id="894" w:name="_Toc22882"/>
      <w:r>
        <w:rPr>
          <w:rFonts w:hint="eastAsia" w:ascii="Times New Roman" w:hAnsi="Times New Roman" w:eastAsia="宋体" w:cs="Times New Roman"/>
          <w:b/>
          <w:bCs/>
          <w:sz w:val="24"/>
          <w:szCs w:val="28"/>
          <w:highlight w:val="none"/>
          <w:lang w:val="en-US" w:eastAsia="zh-CN" w:bidi="ar-SA"/>
        </w:rPr>
        <w:t>集团重点移动类新业务开通支撑</w:t>
      </w:r>
      <w:bookmarkEnd w:id="890"/>
      <w:bookmarkEnd w:id="891"/>
      <w:bookmarkEnd w:id="892"/>
      <w:bookmarkEnd w:id="893"/>
      <w:bookmarkEnd w:id="894"/>
    </w:p>
    <w:p w14:paraId="7F629DBD">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转售业务</w:t>
      </w:r>
    </w:p>
    <w:p w14:paraId="181C33B4">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承接集团转售VoLTE业务域名修改的开通支撑，实现转售VoLTE用户新域名的方案。</w:t>
      </w:r>
    </w:p>
    <w:p w14:paraId="4BBE4F19">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智家小果产品</w:t>
      </w:r>
    </w:p>
    <w:p w14:paraId="0B3287F5">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支撑智家小果产品的IT支撑改造方案（涉及开户、停复、变更、销户）四类场景。</w:t>
      </w:r>
    </w:p>
    <w:p w14:paraId="40907DEB">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手机产品</w:t>
      </w:r>
    </w:p>
    <w:p w14:paraId="446D9AAC">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支撑云手机产品的IT支撑改造方案（涉及云手机业务派单接口，云手机业务停复机接口，云手机业务回单接口）。</w:t>
      </w:r>
    </w:p>
    <w:p w14:paraId="546C3F0C">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个人来电名片</w:t>
      </w:r>
    </w:p>
    <w:p w14:paraId="5ABD6FEA">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支撑个人来电名片，与网元对接联调，并实现业务开通。</w:t>
      </w:r>
    </w:p>
    <w:p w14:paraId="5F9331A0">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新销售平台5G SA业务开通</w:t>
      </w:r>
    </w:p>
    <w:p w14:paraId="3A38DF8E">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支撑新销售平台5G SA业务开通：</w:t>
      </w:r>
    </w:p>
    <w:p w14:paraId="774D8E6E">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1、省内通过转售通道开通新销售5G SA功能，场景涉及5G SA新装、4G升5G、NSA升SA等，同时保障现有2G、3G、4G、VoLTE、短信、彩铃等功能产品的订购与退订。</w:t>
      </w:r>
    </w:p>
    <w:p w14:paraId="140CC96B">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2、新销售主数据5G数据通信产品中，涉及上、下行速率编码调整。</w:t>
      </w:r>
    </w:p>
    <w:p w14:paraId="719A0161">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5G消息</w:t>
      </w:r>
    </w:p>
    <w:p w14:paraId="423693AD">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加载5G消息产品：根据中国电信集团下发了中国电信云运【2021】0361（关于实施5G消息（个人）产品IT加载的通知），编排中心实现新装、销户、补换卡、挂失、停机保号、申请复机、欠费单停、欠费双停、信控复机，其中新装、补/换卡场景编排开通支撑。</w:t>
      </w:r>
    </w:p>
    <w:p w14:paraId="203216F5">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商务视频彩铃（固移混合组网版）</w:t>
      </w:r>
    </w:p>
    <w:p w14:paraId="1423054B">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关于实施商务视频彩铃（固移混合组网版）产品IT加载的通知：中国电信客户〔2021〕42号文件《关于印发中国电信商务视频彩铃（固移混合组网版）业务规范及产品加载的通知》，商务视频彩铃是面向政企客户提供的音频和视频个性化回铃音业务，支持固网和移动网络混合组网、为支撑商务视频业务，要求各省服务开通及编排系统进行相关功能改造，业务场景：群产品开通、群产品退订、子产品开通、子产品退订。</w:t>
      </w:r>
    </w:p>
    <w:p w14:paraId="6B661F0E">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5G会员</w:t>
      </w:r>
    </w:p>
    <w:p w14:paraId="14A457E2">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对5G用户增加网络优先级实现采控支撑-5G会员。</w:t>
      </w:r>
    </w:p>
    <w:p w14:paraId="5B0EBC3A">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商务领航-天翼云盘(校园版)</w:t>
      </w:r>
    </w:p>
    <w:p w14:paraId="45870505">
      <w:pPr>
        <w:widowControl w:val="0"/>
        <w:spacing w:line="360" w:lineRule="auto"/>
        <w:ind w:firstLine="480" w:firstLineChars="200"/>
        <w:jc w:val="both"/>
        <w:rPr>
          <w:rFonts w:hint="eastAsia" w:ascii="Times New Roman" w:hAnsi="Times New Roman" w:eastAsia="宋体" w:cs="Times New Roman"/>
          <w:sz w:val="24"/>
          <w:szCs w:val="24"/>
          <w:highlight w:val="none"/>
          <w:lang w:val="en-US" w:eastAsia="zh-CN" w:bidi="ar-SA"/>
        </w:rPr>
      </w:pPr>
      <w:r>
        <w:rPr>
          <w:rFonts w:hint="eastAsia" w:ascii="Times New Roman" w:hAnsi="Times New Roman" w:eastAsia="宋体" w:cs="Times New Roman"/>
          <w:sz w:val="24"/>
          <w:szCs w:val="24"/>
          <w:highlight w:val="none"/>
          <w:lang w:val="en-US" w:eastAsia="zh-CN" w:bidi="ar-SA"/>
        </w:rPr>
        <w:t>对校园用户增加商务领航-天翼云盘(校园版)业务。</w:t>
      </w:r>
    </w:p>
    <w:p w14:paraId="768D9F4B">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895" w:name="_Toc7046"/>
      <w:bookmarkStart w:id="896" w:name="_Toc14437"/>
      <w:bookmarkStart w:id="897" w:name="_Toc9732"/>
      <w:bookmarkStart w:id="898" w:name="_Toc9341"/>
      <w:bookmarkStart w:id="899" w:name="_Toc25955"/>
      <w:bookmarkStart w:id="900" w:name="_Toc12977"/>
      <w:r>
        <w:rPr>
          <w:rFonts w:hint="eastAsia" w:ascii="Times New Roman" w:hAnsi="Times New Roman" w:eastAsia="宋体" w:cs="Times New Roman"/>
          <w:b/>
          <w:bCs/>
          <w:sz w:val="24"/>
          <w:szCs w:val="28"/>
          <w:highlight w:val="none"/>
          <w:lang w:val="en-US" w:eastAsia="zh-CN" w:bidi="ar-SA"/>
        </w:rPr>
        <w:t>云网业务开通</w:t>
      </w:r>
      <w:bookmarkEnd w:id="895"/>
      <w:bookmarkEnd w:id="896"/>
      <w:bookmarkEnd w:id="897"/>
      <w:bookmarkEnd w:id="898"/>
      <w:bookmarkEnd w:id="899"/>
      <w:bookmarkEnd w:id="900"/>
    </w:p>
    <w:p w14:paraId="4EE6ADEC">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云网业务开通包括：云应用，云专网，PON云专线及智能专线，IPRAN云专线及跨域电路，IPRAN本地电路，first视频专网及first教育专网，医保专网，互联网专线（光纤专线），集团产品服务设计中心上线对接，集团新业务支撑等功能。</w:t>
      </w:r>
    </w:p>
    <w:p w14:paraId="39A88D2D">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1" w:name="_Toc29014"/>
      <w:r>
        <w:rPr>
          <w:rFonts w:hint="eastAsia" w:ascii="Times New Roman" w:hAnsi="Times New Roman" w:eastAsia="宋体" w:cs="Times New Roman"/>
          <w:b/>
          <w:bCs/>
          <w:sz w:val="24"/>
          <w:szCs w:val="28"/>
          <w:highlight w:val="none"/>
          <w:lang w:val="en-US" w:eastAsia="zh-CN" w:bidi="ar-SA"/>
        </w:rPr>
        <w:t>云应用</w:t>
      </w:r>
      <w:bookmarkEnd w:id="901"/>
    </w:p>
    <w:p w14:paraId="1B699C6A">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采控封装中小企业入云平台的云应用能力，云报税、云工资条等云应用能力供编排调用订购/退订。</w:t>
      </w:r>
    </w:p>
    <w:p w14:paraId="090DD246">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2" w:name="_Toc3400"/>
      <w:r>
        <w:rPr>
          <w:rFonts w:hint="eastAsia" w:ascii="Times New Roman" w:hAnsi="Times New Roman" w:eastAsia="宋体" w:cs="Times New Roman"/>
          <w:b/>
          <w:bCs/>
          <w:sz w:val="24"/>
          <w:szCs w:val="28"/>
          <w:highlight w:val="none"/>
          <w:lang w:val="en-US" w:eastAsia="zh-CN" w:bidi="ar-SA"/>
        </w:rPr>
        <w:t>云专网</w:t>
      </w:r>
      <w:bookmarkEnd w:id="902"/>
    </w:p>
    <w:p w14:paraId="7132575A">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按照云专网业务的新装、拆机、改速、停机、复机等场景梳理出流程，并提供给上游的所有原子能力API以及其所对应的指令并进行指令的设备厂家，型号及版本适配。</w:t>
      </w:r>
    </w:p>
    <w:p w14:paraId="6A3E3678">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3" w:name="_Toc18754"/>
      <w:r>
        <w:rPr>
          <w:rFonts w:hint="eastAsia" w:ascii="Times New Roman" w:hAnsi="Times New Roman" w:eastAsia="宋体" w:cs="Times New Roman"/>
          <w:b/>
          <w:bCs/>
          <w:sz w:val="24"/>
          <w:szCs w:val="28"/>
          <w:highlight w:val="none"/>
          <w:lang w:val="en-US" w:eastAsia="zh-CN" w:bidi="ar-SA"/>
        </w:rPr>
        <w:t>PON云专线及智能专线</w:t>
      </w:r>
      <w:bookmarkEnd w:id="903"/>
    </w:p>
    <w:p w14:paraId="5787A51B">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按照PON云专线及智能专线业务的新装、拆机、改速、停机、复机等场景梳理出流程，并提供给上游的所有原子能力API以及其所对应的指令并进行指令的设备厂家，型号及版本适配。</w:t>
      </w:r>
    </w:p>
    <w:p w14:paraId="39B0CC41">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4" w:name="_Toc14415"/>
      <w:r>
        <w:rPr>
          <w:rFonts w:hint="eastAsia" w:ascii="Times New Roman" w:hAnsi="Times New Roman" w:eastAsia="宋体" w:cs="Times New Roman"/>
          <w:b/>
          <w:bCs/>
          <w:sz w:val="24"/>
          <w:szCs w:val="28"/>
          <w:highlight w:val="none"/>
          <w:lang w:val="en-US" w:eastAsia="zh-CN" w:bidi="ar-SA"/>
        </w:rPr>
        <w:t>IPRAN云专线及跨域电路</w:t>
      </w:r>
      <w:bookmarkEnd w:id="904"/>
    </w:p>
    <w:p w14:paraId="0D174C5D">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按照IPRAN云专线及跨域电路业务的新装、拆机、改速、停机、复机等场景梳理出流程，并提供给上游的所有原子能力API以及其所对应的指令并进行指令的设备厂家，型号及版本适配。</w:t>
      </w:r>
    </w:p>
    <w:p w14:paraId="44881F89">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5" w:name="_Toc19177"/>
      <w:r>
        <w:rPr>
          <w:rFonts w:hint="eastAsia" w:ascii="Times New Roman" w:hAnsi="Times New Roman" w:eastAsia="宋体" w:cs="Times New Roman"/>
          <w:b/>
          <w:bCs/>
          <w:sz w:val="24"/>
          <w:szCs w:val="28"/>
          <w:highlight w:val="none"/>
          <w:lang w:val="en-US" w:eastAsia="zh-CN" w:bidi="ar-SA"/>
        </w:rPr>
        <w:t>IPRAN本地电路</w:t>
      </w:r>
      <w:bookmarkEnd w:id="905"/>
    </w:p>
    <w:p w14:paraId="0D592308">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按照IPRAN本地电路业务的新装、拆机、改速、停机、复机等场景梳理出流程，并提供给上游的所有原子能力API以及其所对应的指令并进行指令的设备厂家，型号及版本适配。</w:t>
      </w:r>
    </w:p>
    <w:p w14:paraId="10D7A3B5">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6" w:name="_Toc22986"/>
      <w:r>
        <w:rPr>
          <w:rFonts w:hint="eastAsia" w:ascii="Times New Roman" w:hAnsi="Times New Roman" w:eastAsia="宋体" w:cs="Times New Roman"/>
          <w:b/>
          <w:bCs/>
          <w:sz w:val="24"/>
          <w:szCs w:val="28"/>
          <w:highlight w:val="none"/>
          <w:lang w:val="en-US" w:eastAsia="zh-CN" w:bidi="ar-SA"/>
        </w:rPr>
        <w:t>first视频专网及first教育专网</w:t>
      </w:r>
      <w:bookmarkEnd w:id="906"/>
    </w:p>
    <w:p w14:paraId="2A03F555">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按照first视频专网及first教育专网业务的新装、拆机、改速、停机、复机等场景梳理出流程，并提供给上游的所有原子能力API以及其所对应的指令并进行指令的设备厂家，型号及版本适配。</w:t>
      </w:r>
    </w:p>
    <w:p w14:paraId="0ADBCDC5">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7" w:name="_Toc26444"/>
      <w:r>
        <w:rPr>
          <w:rFonts w:hint="eastAsia" w:ascii="Times New Roman" w:hAnsi="Times New Roman" w:eastAsia="宋体" w:cs="Times New Roman"/>
          <w:b/>
          <w:bCs/>
          <w:sz w:val="24"/>
          <w:szCs w:val="28"/>
          <w:highlight w:val="none"/>
          <w:lang w:val="en-US" w:eastAsia="zh-CN" w:bidi="ar-SA"/>
        </w:rPr>
        <w:t>医保专网</w:t>
      </w:r>
      <w:bookmarkEnd w:id="907"/>
    </w:p>
    <w:p w14:paraId="4C1A9C1B">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按照医保专网业务的新装、拆机、改速、停机、复机等场景梳理出流程，并提供给上游的所有原子能力API以及其所对应的指令并进行指令的设备厂家，型号及版本适配。将梳理的指令配置到采控系统中。</w:t>
      </w:r>
    </w:p>
    <w:p w14:paraId="4D6E0556">
      <w:pPr>
        <w:keepNext/>
        <w:keepLines/>
        <w:widowControl w:val="0"/>
        <w:numPr>
          <w:ilvl w:val="4"/>
          <w:numId w:val="50"/>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bookmarkStart w:id="908" w:name="_Toc9668"/>
      <w:r>
        <w:rPr>
          <w:rFonts w:hint="eastAsia" w:ascii="Times New Roman" w:hAnsi="Times New Roman" w:eastAsia="宋体" w:cs="Times New Roman"/>
          <w:b/>
          <w:bCs/>
          <w:sz w:val="24"/>
          <w:szCs w:val="28"/>
          <w:highlight w:val="none"/>
          <w:lang w:val="en-US" w:eastAsia="zh-CN" w:bidi="ar-SA"/>
        </w:rPr>
        <w:t>互联网专线（光纤专线）</w:t>
      </w:r>
      <w:bookmarkEnd w:id="908"/>
    </w:p>
    <w:p w14:paraId="4B072999">
      <w:pPr>
        <w:spacing w:line="360" w:lineRule="auto"/>
        <w:ind w:firstLine="420" w:firstLineChars="0"/>
        <w:rPr>
          <w:rFonts w:hint="eastAsia" w:ascii="宋体" w:hAnsi="宋体" w:eastAsia="宋体" w:cs="宋体"/>
          <w:kern w:val="0"/>
          <w:sz w:val="24"/>
          <w:highlight w:val="none"/>
        </w:rPr>
      </w:pPr>
      <w:r>
        <w:rPr>
          <w:rFonts w:hint="eastAsia" w:ascii="宋体" w:hAnsi="宋体" w:eastAsia="宋体" w:cs="宋体"/>
          <w:kern w:val="0"/>
          <w:sz w:val="24"/>
          <w:highlight w:val="none"/>
        </w:rPr>
        <w:t>按照互联网专线（光纤专线）业务的新装、拆机、改速、停机、复机等场景梳理出流程，并提供给上游的所有原子能力API以及其所对应的指令并进行指令的设备厂家，型号及版本适配。</w:t>
      </w:r>
    </w:p>
    <w:p w14:paraId="5BE98AA2">
      <w:pPr>
        <w:keepNext/>
        <w:keepLines/>
        <w:widowControl w:val="0"/>
        <w:numPr>
          <w:ilvl w:val="3"/>
          <w:numId w:val="31"/>
        </w:numPr>
        <w:spacing w:before="240" w:after="180" w:line="300" w:lineRule="auto"/>
        <w:ind w:left="1179" w:leftChars="151" w:hanging="862" w:firstLineChars="0"/>
        <w:jc w:val="both"/>
        <w:outlineLvl w:val="3"/>
        <w:rPr>
          <w:rFonts w:hint="eastAsia" w:ascii="Times New Roman" w:hAnsi="Times New Roman" w:eastAsia="宋体" w:cs="Times New Roman"/>
          <w:b/>
          <w:bCs/>
          <w:sz w:val="24"/>
          <w:szCs w:val="28"/>
          <w:highlight w:val="none"/>
          <w:lang w:val="en-US" w:eastAsia="zh-CN" w:bidi="ar-SA"/>
        </w:rPr>
      </w:pPr>
      <w:bookmarkStart w:id="909" w:name="_Toc11880"/>
      <w:bookmarkStart w:id="910" w:name="_Toc21298"/>
      <w:bookmarkStart w:id="911" w:name="_Toc26587"/>
      <w:bookmarkStart w:id="912" w:name="_Toc5916"/>
      <w:bookmarkStart w:id="913" w:name="_Toc13716"/>
      <w:bookmarkStart w:id="914" w:name="_Toc20017"/>
      <w:r>
        <w:rPr>
          <w:rFonts w:hint="eastAsia" w:ascii="Times New Roman" w:hAnsi="Times New Roman" w:eastAsia="宋体" w:cs="Times New Roman"/>
          <w:b/>
          <w:bCs/>
          <w:sz w:val="24"/>
          <w:szCs w:val="28"/>
          <w:highlight w:val="none"/>
          <w:lang w:val="en-US" w:eastAsia="zh-CN" w:bidi="ar-SA"/>
        </w:rPr>
        <w:t>集团新业务支撑</w:t>
      </w:r>
      <w:bookmarkEnd w:id="909"/>
      <w:bookmarkEnd w:id="910"/>
      <w:bookmarkEnd w:id="911"/>
      <w:bookmarkEnd w:id="912"/>
      <w:bookmarkEnd w:id="913"/>
      <w:bookmarkEnd w:id="914"/>
    </w:p>
    <w:p w14:paraId="4AAB85CD">
      <w:pPr>
        <w:widowControl w:val="0"/>
        <w:spacing w:line="360" w:lineRule="auto"/>
        <w:ind w:firstLine="0" w:firstLineChars="0"/>
        <w:jc w:val="both"/>
        <w:rPr>
          <w:rFonts w:hint="eastAsia" w:ascii="Times New Roman" w:hAnsi="Times New Roman" w:eastAsia="宋体" w:cs="Times New Roman"/>
          <w:sz w:val="24"/>
          <w:szCs w:val="24"/>
          <w:highlight w:val="none"/>
          <w:lang w:val="en-US" w:eastAsia="zh-CN" w:bidi="ar-SA"/>
        </w:rPr>
      </w:pPr>
      <w:r>
        <w:rPr>
          <w:rFonts w:hint="eastAsia" w:ascii="宋体" w:hAnsi="宋体" w:eastAsia="宋体" w:cs="宋体"/>
          <w:sz w:val="24"/>
          <w:szCs w:val="24"/>
          <w:highlight w:val="none"/>
          <w:lang w:val="en-US" w:eastAsia="zh-CN" w:bidi="ar-SA"/>
        </w:rPr>
        <w:t>关于5G切片专线产品业务停开和固网侧速率变更需求改造。</w:t>
      </w:r>
    </w:p>
    <w:p w14:paraId="074DDF85">
      <w:pPr>
        <w:keepNext/>
        <w:keepLines/>
        <w:widowControl w:val="0"/>
        <w:numPr>
          <w:ilvl w:val="3"/>
          <w:numId w:val="31"/>
        </w:numPr>
        <w:spacing w:before="240" w:after="180" w:line="300" w:lineRule="auto"/>
        <w:ind w:left="1181" w:leftChars="151" w:hanging="864" w:firstLineChars="0"/>
        <w:jc w:val="both"/>
        <w:outlineLvl w:val="3"/>
        <w:rPr>
          <w:rFonts w:ascii="Times New Roman" w:hAnsi="Times New Roman" w:eastAsia="宋体" w:cs="Times New Roman"/>
          <w:b/>
          <w:bCs/>
          <w:sz w:val="24"/>
          <w:szCs w:val="28"/>
          <w:highlight w:val="none"/>
          <w:lang w:val="en-US" w:eastAsia="zh-CN" w:bidi="ar-SA"/>
        </w:rPr>
      </w:pPr>
      <w:bookmarkStart w:id="915" w:name="_Toc9766"/>
      <w:bookmarkStart w:id="916" w:name="_Toc5638"/>
      <w:bookmarkStart w:id="917" w:name="_Toc24440"/>
      <w:bookmarkStart w:id="918" w:name="_Toc21017"/>
      <w:bookmarkStart w:id="919" w:name="_Toc17615"/>
      <w:r>
        <w:rPr>
          <w:rFonts w:hint="eastAsia" w:ascii="Times New Roman" w:hAnsi="Times New Roman" w:eastAsia="宋体" w:cs="Times New Roman"/>
          <w:b/>
          <w:bCs/>
          <w:sz w:val="24"/>
          <w:szCs w:val="28"/>
          <w:highlight w:val="none"/>
          <w:lang w:val="en-US" w:eastAsia="zh-CN" w:bidi="ar-SA"/>
        </w:rPr>
        <w:t>满足昆仑平台建设需求，支撑资源中心建设</w:t>
      </w:r>
      <w:bookmarkEnd w:id="915"/>
      <w:bookmarkEnd w:id="916"/>
      <w:bookmarkEnd w:id="917"/>
      <w:bookmarkEnd w:id="918"/>
      <w:bookmarkEnd w:id="919"/>
    </w:p>
    <w:p w14:paraId="7A749144">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网元孪生配置能力-模型管理适配</w:t>
      </w:r>
      <w:r>
        <w:rPr>
          <w:rFonts w:hint="eastAsia" w:ascii="Times New Roman" w:hAnsi="Times New Roman" w:eastAsia="宋体" w:cs="Times New Roman"/>
          <w:b/>
          <w:bCs/>
          <w:sz w:val="24"/>
          <w:szCs w:val="28"/>
          <w:highlight w:val="none"/>
          <w:lang w:val="en-US" w:eastAsia="zh-CN" w:bidi="ar-SA"/>
        </w:rPr>
        <w:tab/>
      </w:r>
    </w:p>
    <w:p w14:paraId="080C5647">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提供对采控采集数据采集模型、数字孪生模型、资享标准模型的管理适配能力，以及模型对象间依赖关系的管理能力；用户能够基于模型灵活的配置出模转的规则。</w:t>
      </w:r>
    </w:p>
    <w:p w14:paraId="5795AB99">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实体对象管理:</w:t>
      </w:r>
    </w:p>
    <w:p w14:paraId="43BD17B4">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对采集实体对象对象（例如：板卡、端口、OLT设备、ONU设备等）的基本信息管理功能；提供对象间的依赖关系管理功能，例如：端口与设备关系、端口与板卡关系、板卡与设备关系等；支持配置实体对象的采集模型、标准模型等信息。</w:t>
      </w:r>
    </w:p>
    <w:p w14:paraId="51777C07">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模型管理:</w:t>
      </w:r>
    </w:p>
    <w:p w14:paraId="15E7C490">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对数据适配处置过程中用到的各种模型的管理，包含：采集模型、孪生模型以及标准模型等；提供对模型所有的字段的管理，包含：字段的名称、编码、数据类型、字段角色、是否可为空等一系列的属性管理；提供通过数据库表的DDL语句，自动生成模型以及字段信息；</w:t>
      </w:r>
    </w:p>
    <w:p w14:paraId="1A22465B">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场景管理</w:t>
      </w:r>
    </w:p>
    <w:p w14:paraId="50FF9E60">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提供对数据适配处置场景的基本信息的管理；以及对场景中处理流程的拓扑设计能力；</w:t>
      </w:r>
    </w:p>
    <w:p w14:paraId="0D26CD30">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连接管理</w:t>
      </w:r>
    </w:p>
    <w:p w14:paraId="09DEE51F">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对连接管理功能进行优化升级，增加连接连通性测试功能等；</w:t>
      </w:r>
    </w:p>
    <w:p w14:paraId="181EF4B4">
      <w:pPr>
        <w:keepNext/>
        <w:keepLines/>
        <w:widowControl w:val="0"/>
        <w:numPr>
          <w:ilvl w:val="5"/>
          <w:numId w:val="3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处理规则设计</w:t>
      </w:r>
    </w:p>
    <w:p w14:paraId="72C00B71">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提供数据适配处置规则设计能力；</w:t>
      </w:r>
    </w:p>
    <w:p w14:paraId="5B11DBA2">
      <w:pPr>
        <w:keepNext/>
        <w:keepLines/>
        <w:pageBreakBefore w:val="0"/>
        <w:widowControl w:val="0"/>
        <w:numPr>
          <w:ilvl w:val="4"/>
          <w:numId w:val="31"/>
        </w:numPr>
        <w:kinsoku/>
        <w:wordWrap/>
        <w:overflowPunct/>
        <w:topLinePunct w:val="0"/>
        <w:autoSpaceDE/>
        <w:autoSpaceDN/>
        <w:bidi w:val="0"/>
        <w:adjustRightInd/>
        <w:snapToGrid/>
        <w:spacing w:before="0" w:beforeLines="0" w:line="360" w:lineRule="auto"/>
        <w:ind w:left="0" w:firstLine="198" w:firstLineChars="0"/>
        <w:jc w:val="both"/>
        <w:textAlignment w:val="auto"/>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网元孪生配置能力-专业场景数据适配</w:t>
      </w:r>
    </w:p>
    <w:p w14:paraId="30B27F28">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提供各专业采集数据模转的能力，包含：数据解析、孪生模型转换、比对打标能力、标准模型转换能力等，以适配上层数据使用业务场景；完成PON、IP、IPRAN专业设备、板卡、机框、端口数据业务场景适配处置，包含对采集数据的识别解析、转换存储等功能；</w:t>
      </w:r>
    </w:p>
    <w:p w14:paraId="03F0A04B">
      <w:pPr>
        <w:keepNext/>
        <w:keepLines/>
        <w:widowControl w:val="0"/>
        <w:numPr>
          <w:ilvl w:val="3"/>
          <w:numId w:val="31"/>
        </w:numPr>
        <w:spacing w:before="240" w:after="180" w:line="300" w:lineRule="auto"/>
        <w:ind w:left="1181" w:leftChars="151" w:hanging="864" w:firstLineChars="0"/>
        <w:jc w:val="both"/>
        <w:outlineLvl w:val="3"/>
        <w:rPr>
          <w:rFonts w:hint="eastAsia" w:ascii="Times New Roman" w:hAnsi="Times New Roman" w:eastAsia="宋体" w:cs="Times New Roman"/>
          <w:b/>
          <w:bCs/>
          <w:sz w:val="24"/>
          <w:szCs w:val="28"/>
          <w:highlight w:val="none"/>
          <w:lang w:val="en-US" w:eastAsia="zh-CN" w:bidi="ar-SA"/>
        </w:rPr>
      </w:pPr>
      <w:bookmarkStart w:id="920" w:name="_Toc32104"/>
      <w:bookmarkStart w:id="921" w:name="_Toc16873"/>
      <w:bookmarkStart w:id="922" w:name="_Toc1758"/>
      <w:bookmarkStart w:id="923" w:name="_Toc7450"/>
      <w:bookmarkStart w:id="924" w:name="_Toc1597"/>
      <w:r>
        <w:rPr>
          <w:rFonts w:hint="eastAsia" w:ascii="Times New Roman" w:hAnsi="Times New Roman" w:eastAsia="宋体" w:cs="Times New Roman"/>
          <w:b/>
          <w:bCs/>
          <w:sz w:val="24"/>
          <w:szCs w:val="28"/>
          <w:highlight w:val="none"/>
          <w:lang w:val="en-US" w:eastAsia="zh-CN" w:bidi="ar-SA"/>
        </w:rPr>
        <w:t>搭建集团/省两级采控中心两级交互模块</w:t>
      </w:r>
      <w:bookmarkEnd w:id="920"/>
      <w:bookmarkEnd w:id="921"/>
      <w:bookmarkEnd w:id="922"/>
      <w:bookmarkEnd w:id="923"/>
      <w:bookmarkEnd w:id="924"/>
    </w:p>
    <w:p w14:paraId="431A7B24">
      <w:pPr>
        <w:keepNext/>
        <w:keepLines/>
        <w:widowControl w:val="0"/>
        <w:numPr>
          <w:ilvl w:val="4"/>
          <w:numId w:val="51"/>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两级交互-数据构造</w:t>
      </w:r>
    </w:p>
    <w:p w14:paraId="4E7AB3BB">
      <w:pPr>
        <w:spacing w:line="360" w:lineRule="auto"/>
        <w:ind w:firstLine="480" w:firstLineChars="200"/>
        <w:rPr>
          <w:rFonts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依据两级数据通道规范，基于省采控配置、运行、统计数据构造两级上报数据，包含：基础配置数据、执行过程数据、业务统计数据等；</w:t>
      </w:r>
    </w:p>
    <w:p w14:paraId="6CEB476F">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公共、采集、控制配置数据构造</w:t>
      </w:r>
    </w:p>
    <w:p w14:paraId="7023B4D3">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生成规范中定义的数据格式、网元数据、采集源、采集模板、采集指标、模板指标关系、采集服务、采集服务实例、采集策略、网元细类、控制源、实指令、虚实指令关系、虚指令、虚指令集、API、对象关系、跳转逻辑、参数、参数与指令或API关系、参数映射关系、网元路由规则、结果解析规则、异常处理规则、控制服务、控制服务实例；</w:t>
      </w:r>
    </w:p>
    <w:p w14:paraId="48F202A7">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采集、控制执行过程数据构造</w:t>
      </w:r>
    </w:p>
    <w:p w14:paraId="478BEF31">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生成规范中定义的数据格式，采集、控制执行过程数据包含任务执行记录、任务执行过程、任务执行结果、API执行记录、API执行详情-框架与上游、API执行详情-框架与服务、指令执行记录、；</w:t>
      </w:r>
    </w:p>
    <w:p w14:paraId="5995996D">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none"/>
          <w:lang w:val="en-US" w:eastAsia="zh-CN" w:bidi="ar-SA"/>
        </w:rPr>
      </w:pPr>
      <w:r>
        <w:rPr>
          <w:rFonts w:hint="eastAsia" w:ascii="Arial" w:hAnsi="Arial" w:eastAsia="宋体" w:cs="Times New Roman"/>
          <w:b/>
          <w:bCs/>
          <w:sz w:val="24"/>
          <w:szCs w:val="24"/>
          <w:highlight w:val="none"/>
          <w:lang w:val="en-US" w:eastAsia="zh-CN" w:bidi="ar-SA"/>
        </w:rPr>
        <w:t>公共、采集、控制统计分析数据构造</w:t>
      </w:r>
    </w:p>
    <w:p w14:paraId="7CD5C781">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生成规范中定义的数据格式，公共统计分析数据包含：网元日统计采集日统计：采集源统计、采集源连通状态统计、采集模板统计、采集指标统计、采集指令统计、采集任务统计、采集服务统计、采集服务实例统计、原始配置日统计、原始性能小时统计、原始告警30分钟统计、控制配置日统计、控制源统计、控制源连通状态统计、实指令统计、虚指令统计、虚指令集统计、API统计、参数统计、控制跳转/网元路由/参数预处理规则统计、结果解析规则统计、出参规则统计、控制服务统计、控制服务实例统计、API调用小时统计。</w:t>
      </w:r>
    </w:p>
    <w:p w14:paraId="00A167CE">
      <w:pPr>
        <w:keepNext/>
        <w:keepLines/>
        <w:widowControl w:val="0"/>
        <w:numPr>
          <w:ilvl w:val="4"/>
          <w:numId w:val="51"/>
        </w:numPr>
        <w:spacing w:before="156" w:beforeLines="50" w:line="360" w:lineRule="auto"/>
        <w:ind w:left="1008" w:hanging="1008" w:firstLineChars="0"/>
        <w:jc w:val="both"/>
        <w:outlineLvl w:val="4"/>
        <w:rPr>
          <w:rFonts w:hint="eastAsia" w:ascii="Times New Roman" w:hAnsi="Times New Roman" w:eastAsia="宋体" w:cs="Times New Roman"/>
          <w:b/>
          <w:bCs/>
          <w:sz w:val="24"/>
          <w:szCs w:val="28"/>
          <w:highlight w:val="none"/>
          <w:lang w:val="en-US" w:eastAsia="zh-CN" w:bidi="ar-SA"/>
        </w:rPr>
      </w:pPr>
      <w:r>
        <w:rPr>
          <w:rFonts w:hint="eastAsia" w:ascii="Times New Roman" w:hAnsi="Times New Roman" w:eastAsia="宋体" w:cs="Times New Roman"/>
          <w:b/>
          <w:bCs/>
          <w:sz w:val="24"/>
          <w:szCs w:val="28"/>
          <w:highlight w:val="none"/>
          <w:lang w:val="en-US" w:eastAsia="zh-CN" w:bidi="ar-SA"/>
        </w:rPr>
        <w:t>两级交互-数据上报</w:t>
      </w:r>
      <w:r>
        <w:rPr>
          <w:rFonts w:hint="eastAsia" w:ascii="Times New Roman" w:hAnsi="Times New Roman" w:eastAsia="宋体" w:cs="Times New Roman"/>
          <w:b/>
          <w:bCs/>
          <w:sz w:val="24"/>
          <w:szCs w:val="28"/>
          <w:highlight w:val="none"/>
          <w:lang w:val="en-US" w:eastAsia="zh-CN" w:bidi="ar-SA"/>
        </w:rPr>
        <w:tab/>
      </w:r>
    </w:p>
    <w:p w14:paraId="1EC33125">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将构造的两级数据通过两级数据通道上报到集团，上报的方式包含：文件方式以及消息方式。</w:t>
      </w:r>
    </w:p>
    <w:p w14:paraId="284500FF">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magenta"/>
          <w:lang w:val="en-US" w:eastAsia="zh-CN" w:bidi="ar-SA"/>
        </w:rPr>
      </w:pPr>
      <w:r>
        <w:rPr>
          <w:rFonts w:hint="eastAsia" w:ascii="Arial" w:hAnsi="Arial" w:eastAsia="宋体" w:cs="Times New Roman"/>
          <w:b/>
          <w:bCs/>
          <w:sz w:val="24"/>
          <w:szCs w:val="24"/>
          <w:highlight w:val="magenta"/>
          <w:lang w:val="en-US" w:eastAsia="zh-CN" w:bidi="ar-SA"/>
        </w:rPr>
        <w:t>公共、采集、控制配置数据上报到集团，其中包含</w:t>
      </w:r>
    </w:p>
    <w:p w14:paraId="5D6179F4">
      <w:pPr>
        <w:spacing w:line="360" w:lineRule="auto"/>
        <w:ind w:firstLine="480" w:firstLineChars="200"/>
        <w:rPr>
          <w:rFonts w:hint="eastAsia" w:ascii="Times New Roman" w:hAnsi="Times New Roman" w:eastAsia="宋体" w:cs="Times New Roman"/>
          <w:kern w:val="0"/>
          <w:sz w:val="24"/>
          <w:highlight w:val="magenta"/>
        </w:rPr>
      </w:pPr>
      <w:r>
        <w:rPr>
          <w:rFonts w:hint="eastAsia" w:ascii="Times New Roman" w:hAnsi="Times New Roman" w:eastAsia="宋体" w:cs="Times New Roman"/>
          <w:kern w:val="0"/>
          <w:sz w:val="24"/>
          <w:highlight w:val="magenta"/>
        </w:rPr>
        <w:t>网元数据、采集源、采集模板、采集指标、模板指标关系、采集服务、采集服务实例、采集策略、网元细类、控制源、实指令、虚实指令关系、虚指令、虚指令集、API、对象关系、跳转逻辑、参数、参数与指令或API关系、参数映射关系、网元路由规则、结果解析规则、异常处理规则、控制服务、控制服务实例。</w:t>
      </w:r>
    </w:p>
    <w:p w14:paraId="5A9C3F1A">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magenta"/>
          <w:lang w:val="en-US" w:eastAsia="zh-CN" w:bidi="ar-SA"/>
        </w:rPr>
      </w:pPr>
      <w:r>
        <w:rPr>
          <w:rFonts w:hint="eastAsia" w:ascii="Arial" w:hAnsi="Arial" w:eastAsia="宋体" w:cs="Times New Roman"/>
          <w:b/>
          <w:bCs/>
          <w:sz w:val="24"/>
          <w:szCs w:val="24"/>
          <w:highlight w:val="magenta"/>
          <w:lang w:val="en-US" w:eastAsia="zh-CN" w:bidi="ar-SA"/>
        </w:rPr>
        <w:t>采集、控制执行过程数据上报到集团</w:t>
      </w:r>
    </w:p>
    <w:p w14:paraId="44D64554">
      <w:pPr>
        <w:spacing w:line="360" w:lineRule="auto"/>
        <w:ind w:firstLine="480" w:firstLineChars="200"/>
        <w:rPr>
          <w:rFonts w:hint="eastAsia" w:ascii="Times New Roman" w:hAnsi="Times New Roman" w:eastAsia="宋体" w:cs="Times New Roman"/>
          <w:kern w:val="0"/>
          <w:sz w:val="24"/>
          <w:highlight w:val="magenta"/>
        </w:rPr>
      </w:pPr>
      <w:r>
        <w:rPr>
          <w:rFonts w:hint="eastAsia" w:ascii="Times New Roman" w:hAnsi="Times New Roman" w:eastAsia="宋体" w:cs="Times New Roman"/>
          <w:kern w:val="0"/>
          <w:sz w:val="24"/>
          <w:highlight w:val="magenta"/>
        </w:rPr>
        <w:t>任务执行记录、任务执行过程、任务执行结果、API执行记录、API执行详情-框架与上游、API执行详情-框架与服务、指令执行记录、网元日统计。</w:t>
      </w:r>
    </w:p>
    <w:p w14:paraId="367EF07F">
      <w:pPr>
        <w:keepNext/>
        <w:keepLines/>
        <w:widowControl w:val="0"/>
        <w:numPr>
          <w:ilvl w:val="5"/>
          <w:numId w:val="51"/>
        </w:numPr>
        <w:spacing w:line="360" w:lineRule="auto"/>
        <w:ind w:left="602" w:hanging="602" w:hangingChars="250"/>
        <w:jc w:val="both"/>
        <w:outlineLvl w:val="5"/>
        <w:rPr>
          <w:rFonts w:hint="eastAsia" w:ascii="Arial" w:hAnsi="Arial" w:eastAsia="宋体" w:cs="Times New Roman"/>
          <w:b/>
          <w:bCs/>
          <w:sz w:val="24"/>
          <w:szCs w:val="24"/>
          <w:highlight w:val="magenta"/>
          <w:lang w:val="en-US" w:eastAsia="zh-CN" w:bidi="ar-SA"/>
        </w:rPr>
      </w:pPr>
      <w:r>
        <w:rPr>
          <w:rFonts w:hint="eastAsia" w:ascii="Arial" w:hAnsi="Arial" w:eastAsia="宋体" w:cs="Times New Roman"/>
          <w:b/>
          <w:bCs/>
          <w:sz w:val="24"/>
          <w:szCs w:val="24"/>
          <w:highlight w:val="magenta"/>
          <w:lang w:val="en-US" w:eastAsia="zh-CN" w:bidi="ar-SA"/>
        </w:rPr>
        <w:t>公共、采集、控制统计分析数据上报到集团</w:t>
      </w:r>
    </w:p>
    <w:p w14:paraId="548A6DA2">
      <w:pPr>
        <w:spacing w:line="360" w:lineRule="auto"/>
        <w:ind w:firstLine="480" w:firstLineChars="200"/>
        <w:rPr>
          <w:rFonts w:hint="eastAsia" w:ascii="Times New Roman" w:hAnsi="Times New Roman" w:eastAsia="宋体" w:cs="Times New Roman"/>
          <w:kern w:val="0"/>
          <w:sz w:val="24"/>
          <w:highlight w:val="magenta"/>
        </w:rPr>
      </w:pPr>
      <w:r>
        <w:rPr>
          <w:rFonts w:hint="eastAsia" w:ascii="Times New Roman" w:hAnsi="Times New Roman" w:eastAsia="宋体" w:cs="Times New Roman"/>
          <w:kern w:val="0"/>
          <w:sz w:val="24"/>
          <w:highlight w:val="magenta"/>
        </w:rPr>
        <w:t>网元日统计采集日统计：采集源统计、采集源连通状态统计、采集模板统计、采集指标统计、采集指令统计、采集任务统计、采集服务统计、采集服务实例统计、原始配置日统计、、原始性能小时统计、、原始告警30分钟统计、控制配置日统计、控制源统计、控制源连通状态统计、实指令统计、虚指令统计、虚指令集统计、API统计、参数统计、控制跳转/网元路由/参数预处理规则统计、结果解析规则统计、出参规则统计、控制服务统计、控制服务实例统计、API调用小时统计。</w:t>
      </w:r>
      <w:bookmarkEnd w:id="784"/>
    </w:p>
    <w:p w14:paraId="19BC9044">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0" w:firstLineChars="0"/>
        <w:jc w:val="both"/>
        <w:textAlignment w:val="bottom"/>
        <w:outlineLvl w:val="2"/>
        <w:rPr>
          <w:rFonts w:hint="eastAsia" w:ascii="宋体" w:hAnsi="宋体" w:eastAsia="宋体" w:cs="宋体"/>
          <w:b/>
          <w:bCs/>
          <w:sz w:val="28"/>
          <w:szCs w:val="28"/>
          <w:lang w:val="en-US" w:eastAsia="zh-CN" w:bidi="ar-SA"/>
        </w:rPr>
      </w:pPr>
      <w:bookmarkStart w:id="925" w:name="_Toc11017"/>
      <w:bookmarkStart w:id="926" w:name="_Toc23335"/>
      <w:bookmarkStart w:id="927" w:name="_Toc13086"/>
      <w:bookmarkStart w:id="928" w:name="_Toc29634"/>
      <w:bookmarkStart w:id="929" w:name="_Toc9715"/>
      <w:r>
        <w:rPr>
          <w:rFonts w:hint="eastAsia" w:ascii="宋体" w:hAnsi="宋体" w:eastAsia="宋体" w:cs="宋体"/>
          <w:b/>
          <w:bCs/>
          <w:sz w:val="28"/>
          <w:szCs w:val="28"/>
          <w:lang w:val="en-US" w:eastAsia="zh-CN" w:bidi="ar-SA"/>
        </w:rPr>
        <w:t>报价要求</w:t>
      </w:r>
      <w:bookmarkEnd w:id="778"/>
      <w:bookmarkEnd w:id="779"/>
      <w:bookmarkEnd w:id="780"/>
      <w:bookmarkEnd w:id="781"/>
      <w:bookmarkEnd w:id="782"/>
      <w:bookmarkEnd w:id="785"/>
      <w:bookmarkEnd w:id="925"/>
      <w:bookmarkEnd w:id="926"/>
      <w:bookmarkEnd w:id="927"/>
      <w:bookmarkEnd w:id="928"/>
      <w:bookmarkEnd w:id="929"/>
    </w:p>
    <w:p w14:paraId="12F946A4">
      <w:pPr>
        <w:pStyle w:val="128"/>
        <w:ind w:firstLine="480"/>
        <w:rPr>
          <w:rFonts w:hint="eastAsia" w:ascii="Times New Roman" w:hAnsi="Times New Roman" w:eastAsia="宋体" w:cs="Times New Roman"/>
        </w:rPr>
      </w:pPr>
      <w:r>
        <w:rPr>
          <w:rFonts w:hint="eastAsia" w:ascii="Times New Roman" w:hAnsi="Times New Roman" w:eastAsia="宋体" w:cs="Times New Roman"/>
        </w:rPr>
        <w:t>2.</w:t>
      </w:r>
      <w:r>
        <w:rPr>
          <w:rFonts w:hint="eastAsia" w:cs="Times New Roman"/>
          <w:lang w:val="en-US" w:eastAsia="zh-CN"/>
        </w:rPr>
        <w:t>3</w:t>
      </w:r>
      <w:r>
        <w:rPr>
          <w:rFonts w:hint="eastAsia" w:ascii="Times New Roman" w:hAnsi="Times New Roman" w:eastAsia="宋体" w:cs="Times New Roman"/>
        </w:rPr>
        <w:t>.1 卖方需按买方要求提供功能清单，在功能清单中提供有关的功能模块的单价的人天、单价及总价。</w:t>
      </w:r>
    </w:p>
    <w:p w14:paraId="1E5BDDE6">
      <w:pPr>
        <w:pStyle w:val="128"/>
        <w:ind w:firstLine="480"/>
        <w:rPr>
          <w:rFonts w:hint="eastAsia" w:ascii="Times New Roman" w:hAnsi="Times New Roman" w:eastAsia="宋体" w:cs="Times New Roman"/>
        </w:rPr>
      </w:pPr>
      <w:r>
        <w:rPr>
          <w:rFonts w:hint="eastAsia" w:ascii="Times New Roman" w:hAnsi="Times New Roman" w:eastAsia="宋体" w:cs="Times New Roman"/>
        </w:rPr>
        <w:t>2.</w:t>
      </w:r>
      <w:r>
        <w:rPr>
          <w:rFonts w:hint="eastAsia" w:cs="Times New Roman"/>
          <w:lang w:val="en-US" w:eastAsia="zh-CN"/>
        </w:rPr>
        <w:t>3</w:t>
      </w:r>
      <w:r>
        <w:rPr>
          <w:rFonts w:hint="eastAsia" w:ascii="Times New Roman" w:hAnsi="Times New Roman" w:eastAsia="宋体" w:cs="Times New Roman"/>
        </w:rPr>
        <w:t>.</w:t>
      </w:r>
      <w:r>
        <w:rPr>
          <w:rFonts w:ascii="Times New Roman" w:hAnsi="Times New Roman" w:eastAsia="宋体" w:cs="Times New Roman"/>
        </w:rPr>
        <w:t>2</w:t>
      </w:r>
      <w:r>
        <w:rPr>
          <w:rFonts w:hint="eastAsia" w:ascii="Times New Roman" w:hAnsi="Times New Roman" w:eastAsia="宋体" w:cs="Times New Roman"/>
        </w:rPr>
        <w:t>卖方应承诺保证在后期的软件升级中，功能点的人天单价不得高于本次投标的价格水平。</w:t>
      </w:r>
    </w:p>
    <w:p w14:paraId="0965FAD2">
      <w:pPr>
        <w:pStyle w:val="128"/>
        <w:ind w:firstLine="480"/>
        <w:rPr>
          <w:rFonts w:hint="eastAsia" w:ascii="Times New Roman" w:hAnsi="Times New Roman" w:eastAsia="宋体" w:cs="Times New Roman"/>
        </w:rPr>
      </w:pPr>
      <w:r>
        <w:rPr>
          <w:rFonts w:hint="eastAsia" w:ascii="Times New Roman" w:hAnsi="Times New Roman" w:eastAsia="宋体" w:cs="Times New Roman"/>
        </w:rPr>
        <w:t>2.</w:t>
      </w:r>
      <w:r>
        <w:rPr>
          <w:rFonts w:hint="eastAsia" w:cs="Times New Roman"/>
          <w:lang w:val="en-US" w:eastAsia="zh-CN"/>
        </w:rPr>
        <w:t>3</w:t>
      </w:r>
      <w:r>
        <w:rPr>
          <w:rFonts w:hint="eastAsia" w:ascii="Times New Roman" w:hAnsi="Times New Roman" w:eastAsia="宋体" w:cs="Times New Roman"/>
        </w:rPr>
        <w:t>.</w:t>
      </w:r>
      <w:r>
        <w:rPr>
          <w:rFonts w:ascii="Times New Roman" w:hAnsi="Times New Roman" w:eastAsia="宋体" w:cs="Times New Roman"/>
        </w:rPr>
        <w:t>3</w:t>
      </w:r>
      <w:r>
        <w:rPr>
          <w:rFonts w:hint="eastAsia" w:ascii="Times New Roman" w:hAnsi="Times New Roman" w:eastAsia="宋体" w:cs="Times New Roman"/>
        </w:rPr>
        <w:t xml:space="preserve">卖方须针对本次工程技术规范书中要求的各项功能分别进行报价（具体功能的选取由买方决定），对没有报价的功能，则默认卖方对本次工程及后期工程均免费提供。此外卖方须明确指出每项功能费用所对应的工程规范书或软件规范书对应的条款。 </w:t>
      </w:r>
    </w:p>
    <w:p w14:paraId="1A89D7EA">
      <w:pPr>
        <w:pStyle w:val="128"/>
        <w:ind w:firstLine="480"/>
        <w:rPr>
          <w:rFonts w:hint="eastAsia" w:ascii="Times New Roman" w:hAnsi="Times New Roman" w:eastAsia="宋体" w:cs="Times New Roman"/>
        </w:rPr>
      </w:pPr>
      <w:r>
        <w:rPr>
          <w:rFonts w:hint="eastAsia" w:ascii="Times New Roman" w:hAnsi="Times New Roman" w:eastAsia="宋体" w:cs="Times New Roman"/>
        </w:rPr>
        <w:t>2.</w:t>
      </w:r>
      <w:r>
        <w:rPr>
          <w:rFonts w:hint="eastAsia" w:cs="Times New Roman"/>
          <w:lang w:val="en-US" w:eastAsia="zh-CN"/>
        </w:rPr>
        <w:t>3</w:t>
      </w:r>
      <w:r>
        <w:rPr>
          <w:rFonts w:hint="eastAsia" w:ascii="Times New Roman" w:hAnsi="Times New Roman" w:eastAsia="宋体" w:cs="Times New Roman"/>
        </w:rPr>
        <w:t>.</w:t>
      </w:r>
      <w:r>
        <w:rPr>
          <w:rFonts w:ascii="Times New Roman" w:hAnsi="Times New Roman" w:eastAsia="宋体" w:cs="Times New Roman"/>
        </w:rPr>
        <w:t>4</w:t>
      </w:r>
      <w:r>
        <w:rPr>
          <w:rFonts w:hint="eastAsia" w:ascii="Times New Roman" w:hAnsi="Times New Roman" w:eastAsia="宋体" w:cs="Times New Roman"/>
        </w:rPr>
        <w:t>要求卖方在项目初验前组织有安全资质的安全服务卖方按照安全防护验收规范的要求完成安全评测工作，针对发现的问题负责进行加固和复测，通过后方可组织项目的初验，最终的安全评估报告作为初验文档的附件予以存档。安全检查以及加固的费用由卖方承担。</w:t>
      </w:r>
    </w:p>
    <w:p w14:paraId="6D06469D">
      <w:pPr>
        <w:keepNext/>
        <w:keepLines/>
        <w:pageBreakBefore w:val="0"/>
        <w:widowControl w:val="0"/>
        <w:numPr>
          <w:ilvl w:val="1"/>
          <w:numId w:val="31"/>
        </w:numPr>
        <w:kinsoku/>
        <w:wordWrap/>
        <w:overflowPunct/>
        <w:topLinePunct w:val="0"/>
        <w:autoSpaceDE/>
        <w:autoSpaceDN/>
        <w:bidi w:val="0"/>
        <w:adjustRightInd w:val="0"/>
        <w:snapToGrid w:val="0"/>
        <w:spacing w:before="180" w:after="120" w:line="240" w:lineRule="auto"/>
        <w:ind w:left="0" w:firstLine="0" w:firstLineChars="0"/>
        <w:jc w:val="left"/>
        <w:textAlignment w:val="bottom"/>
        <w:outlineLvl w:val="1"/>
        <w:rPr>
          <w:rFonts w:hint="eastAsia" w:ascii="宋体" w:hAnsi="宋体" w:eastAsia="宋体" w:cs="宋体"/>
          <w:b/>
          <w:bCs/>
          <w:sz w:val="28"/>
          <w:szCs w:val="28"/>
          <w:lang w:val="en-US" w:eastAsia="zh-CN" w:bidi="ar-SA"/>
        </w:rPr>
      </w:pPr>
      <w:bookmarkStart w:id="930" w:name="_Toc324940056"/>
      <w:bookmarkStart w:id="931" w:name="_Toc21985"/>
      <w:bookmarkStart w:id="932" w:name="_Toc466036692"/>
      <w:bookmarkStart w:id="933" w:name="_Toc516059057"/>
      <w:bookmarkStart w:id="934" w:name="_Toc24325"/>
      <w:bookmarkStart w:id="935" w:name="_Toc11858"/>
      <w:bookmarkStart w:id="936" w:name="_Toc30207"/>
      <w:bookmarkStart w:id="937" w:name="_Toc28778"/>
      <w:bookmarkStart w:id="938" w:name="_Toc1613"/>
      <w:r>
        <w:rPr>
          <w:rFonts w:hint="eastAsia" w:ascii="宋体" w:hAnsi="宋体" w:eastAsia="宋体" w:cs="宋体"/>
          <w:b/>
          <w:bCs/>
          <w:sz w:val="28"/>
          <w:szCs w:val="28"/>
          <w:lang w:val="en-US" w:eastAsia="zh-CN" w:bidi="ar-SA"/>
        </w:rPr>
        <w:t>项目服务和售后服务要求</w:t>
      </w:r>
      <w:bookmarkEnd w:id="930"/>
      <w:bookmarkEnd w:id="931"/>
      <w:bookmarkEnd w:id="932"/>
      <w:bookmarkEnd w:id="933"/>
      <w:bookmarkEnd w:id="934"/>
      <w:bookmarkEnd w:id="935"/>
      <w:bookmarkEnd w:id="936"/>
      <w:bookmarkEnd w:id="937"/>
      <w:bookmarkEnd w:id="938"/>
    </w:p>
    <w:p w14:paraId="4E6A65CF">
      <w:pPr>
        <w:keepNext/>
        <w:keepLines/>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198" w:firstLineChars="0"/>
        <w:jc w:val="both"/>
        <w:textAlignment w:val="bottom"/>
        <w:outlineLvl w:val="2"/>
        <w:rPr>
          <w:rFonts w:hint="eastAsia" w:ascii="宋体" w:hAnsi="宋体" w:eastAsia="宋体" w:cs="宋体"/>
          <w:b/>
          <w:bCs/>
          <w:sz w:val="28"/>
          <w:szCs w:val="28"/>
          <w:highlight w:val="none"/>
          <w:lang w:val="en-US" w:eastAsia="zh-CN" w:bidi="ar-SA"/>
        </w:rPr>
      </w:pPr>
      <w:bookmarkStart w:id="939" w:name="_Toc466036693"/>
      <w:bookmarkStart w:id="940" w:name="_Toc14027"/>
      <w:bookmarkStart w:id="941" w:name="_Toc8932"/>
      <w:bookmarkStart w:id="942" w:name="_Toc516059058"/>
      <w:bookmarkStart w:id="943" w:name="_Toc1714"/>
      <w:bookmarkStart w:id="944" w:name="_Toc6219"/>
      <w:bookmarkStart w:id="945" w:name="_Toc8970"/>
      <w:bookmarkStart w:id="946" w:name="_Toc26438"/>
      <w:r>
        <w:rPr>
          <w:rFonts w:hint="eastAsia" w:ascii="宋体" w:hAnsi="宋体" w:eastAsia="宋体" w:cs="宋体"/>
          <w:b/>
          <w:bCs/>
          <w:sz w:val="28"/>
          <w:szCs w:val="28"/>
          <w:highlight w:val="none"/>
          <w:lang w:val="en-US" w:eastAsia="zh-CN" w:bidi="ar-SA"/>
        </w:rPr>
        <w:t>项目服务要求</w:t>
      </w:r>
      <w:bookmarkEnd w:id="939"/>
      <w:bookmarkEnd w:id="940"/>
      <w:bookmarkEnd w:id="941"/>
      <w:bookmarkEnd w:id="942"/>
      <w:bookmarkEnd w:id="943"/>
      <w:bookmarkEnd w:id="944"/>
      <w:bookmarkEnd w:id="945"/>
      <w:bookmarkEnd w:id="946"/>
    </w:p>
    <w:p w14:paraId="034513B1">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947" w:name="_Toc104219239"/>
      <w:bookmarkStart w:id="948" w:name="_Toc76379154"/>
      <w:bookmarkStart w:id="949" w:name="_Toc25417"/>
      <w:bookmarkStart w:id="950" w:name="_Toc1488"/>
      <w:bookmarkStart w:id="951" w:name="_Toc267255931"/>
      <w:bookmarkStart w:id="952" w:name="_Toc32314"/>
      <w:bookmarkStart w:id="953" w:name="_Toc31897"/>
      <w:bookmarkStart w:id="954" w:name="_Toc14861"/>
      <w:bookmarkStart w:id="955" w:name="_Toc457206130"/>
      <w:bookmarkStart w:id="956" w:name="_Toc76231894"/>
      <w:bookmarkStart w:id="957" w:name="_Toc76232244"/>
      <w:bookmarkStart w:id="958" w:name="_Toc76231540"/>
      <w:bookmarkStart w:id="959" w:name="_Toc467953288"/>
      <w:bookmarkStart w:id="960" w:name="_Toc76232311"/>
      <w:bookmarkStart w:id="961" w:name="_Toc76232023"/>
      <w:bookmarkStart w:id="962" w:name="_Toc76232177"/>
      <w:bookmarkStart w:id="963" w:name="_Toc486170478"/>
      <w:bookmarkStart w:id="964" w:name="_Toc468710707"/>
      <w:bookmarkStart w:id="965" w:name="_Toc469304647"/>
      <w:bookmarkStart w:id="966" w:name="_Toc76231763"/>
      <w:bookmarkStart w:id="967" w:name="_Toc467302616"/>
      <w:bookmarkStart w:id="968" w:name="_Toc76231696"/>
      <w:r>
        <w:rPr>
          <w:rFonts w:hint="eastAsia" w:ascii="Times New Roman" w:hAnsi="Times New Roman" w:eastAsia="宋体" w:cs="Times New Roman"/>
          <w:b/>
          <w:bCs/>
          <w:sz w:val="24"/>
          <w:szCs w:val="24"/>
          <w:lang w:val="en-US" w:eastAsia="zh-CN" w:bidi="ar-SA"/>
        </w:rPr>
        <w:t>厂验</w:t>
      </w:r>
      <w:bookmarkEnd w:id="947"/>
      <w:bookmarkEnd w:id="948"/>
      <w:bookmarkEnd w:id="949"/>
      <w:bookmarkEnd w:id="950"/>
      <w:bookmarkEnd w:id="951"/>
      <w:bookmarkEnd w:id="952"/>
      <w:bookmarkEnd w:id="953"/>
      <w:bookmarkEnd w:id="954"/>
    </w:p>
    <w:p w14:paraId="2EB4498C">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买方保留对卖方产品进行厂验的权力。若买方不对卖方产品进行厂验，但发现软件功能不满足合同承诺，买方有权中止合同，并保留追诉由此引起的经济损失的权利。</w:t>
      </w:r>
    </w:p>
    <w:p w14:paraId="0B7BD2D0">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969" w:name="_Toc267255932"/>
      <w:bookmarkStart w:id="970" w:name="_Toc10589"/>
      <w:bookmarkStart w:id="971" w:name="_Toc76379155"/>
      <w:bookmarkStart w:id="972" w:name="_Toc9410"/>
      <w:bookmarkStart w:id="973" w:name="_Toc17339"/>
      <w:bookmarkStart w:id="974" w:name="_Toc17167"/>
      <w:bookmarkStart w:id="975" w:name="_Toc4428"/>
      <w:bookmarkStart w:id="976" w:name="_Toc104219240"/>
      <w:r>
        <w:rPr>
          <w:rFonts w:hint="eastAsia" w:ascii="Times New Roman" w:hAnsi="Times New Roman" w:eastAsia="宋体" w:cs="Times New Roman"/>
          <w:b/>
          <w:bCs/>
          <w:sz w:val="24"/>
          <w:szCs w:val="24"/>
          <w:lang w:val="en-US" w:eastAsia="zh-CN" w:bidi="ar-SA"/>
        </w:rPr>
        <w:t>交货</w:t>
      </w:r>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496352EC">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rPr>
        <w:t>卖方应</w:t>
      </w:r>
      <w:r>
        <w:rPr>
          <w:rFonts w:hint="eastAsia" w:ascii="Times New Roman" w:hAnsi="Times New Roman" w:eastAsia="宋体" w:cs="Times New Roman"/>
          <w:kern w:val="0"/>
          <w:sz w:val="24"/>
          <w:highlight w:val="none"/>
        </w:rPr>
        <w:t>保证在合同签订后</w:t>
      </w:r>
      <w:r>
        <w:rPr>
          <w:rFonts w:ascii="Times New Roman" w:hAnsi="Times New Roman" w:eastAsia="宋体" w:cs="Times New Roman"/>
          <w:kern w:val="0"/>
          <w:sz w:val="24"/>
          <w:highlight w:val="none"/>
        </w:rPr>
        <w:t>60</w:t>
      </w:r>
      <w:r>
        <w:rPr>
          <w:rFonts w:hint="eastAsia" w:ascii="Times New Roman" w:hAnsi="Times New Roman" w:eastAsia="宋体" w:cs="Times New Roman"/>
          <w:kern w:val="0"/>
          <w:sz w:val="24"/>
          <w:highlight w:val="none"/>
        </w:rPr>
        <w:t>日（日历日）内完成软件的开发与实施上线。</w:t>
      </w:r>
    </w:p>
    <w:p w14:paraId="0D2D9F14">
      <w:pPr>
        <w:spacing w:line="360" w:lineRule="auto"/>
        <w:ind w:firstLine="480" w:firstLineChars="200"/>
        <w:rPr>
          <w:rFonts w:hint="eastAsia" w:cs="Times New Roman"/>
          <w:kern w:val="0"/>
          <w:sz w:val="24"/>
          <w:highlight w:val="none"/>
          <w:lang w:eastAsia="zh-CN"/>
        </w:rPr>
      </w:pPr>
      <w:r>
        <w:rPr>
          <w:rFonts w:hint="eastAsia" w:ascii="Times New Roman" w:hAnsi="Times New Roman" w:eastAsia="宋体" w:cs="Times New Roman"/>
          <w:kern w:val="0"/>
          <w:sz w:val="24"/>
          <w:highlight w:val="none"/>
        </w:rPr>
        <w:t>卖方完成软件版本开发、交付建设单位初步验收前须进行入网安全检测，安全检测通过的软件产品方可进行交付</w:t>
      </w:r>
      <w:r>
        <w:rPr>
          <w:rFonts w:hint="eastAsia" w:cs="Times New Roman"/>
          <w:kern w:val="0"/>
          <w:sz w:val="24"/>
          <w:highlight w:val="none"/>
          <w:lang w:eastAsia="zh-CN"/>
        </w:rPr>
        <w:t>。</w:t>
      </w:r>
    </w:p>
    <w:p w14:paraId="122A7860">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highlight w:val="none"/>
        </w:rPr>
        <w:t>卖方提供的技术资料应是能确保系统运行所需的管理、运营、及维护等有关的全套技术资料，在建议书中列出将提供的技术资料详细清</w:t>
      </w:r>
      <w:r>
        <w:rPr>
          <w:rFonts w:hint="eastAsia" w:ascii="Times New Roman" w:hAnsi="Times New Roman" w:eastAsia="宋体" w:cs="Times New Roman"/>
          <w:kern w:val="0"/>
          <w:sz w:val="24"/>
        </w:rPr>
        <w:t>单。</w:t>
      </w:r>
    </w:p>
    <w:p w14:paraId="4C00B797">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977" w:name="_Toc76379156"/>
      <w:bookmarkStart w:id="978" w:name="_Toc467953289"/>
      <w:bookmarkStart w:id="979" w:name="_Toc486170479"/>
      <w:bookmarkStart w:id="980" w:name="_Toc76231764"/>
      <w:bookmarkStart w:id="981" w:name="_Toc76231541"/>
      <w:bookmarkStart w:id="982" w:name="_Toc14180"/>
      <w:bookmarkStart w:id="983" w:name="_Toc467302617"/>
      <w:bookmarkStart w:id="984" w:name="_Toc6801"/>
      <w:bookmarkStart w:id="985" w:name="_Toc7454"/>
      <w:bookmarkStart w:id="986" w:name="_Toc76231697"/>
      <w:bookmarkStart w:id="987" w:name="_Toc76232024"/>
      <w:bookmarkStart w:id="988" w:name="_Toc468710708"/>
      <w:bookmarkStart w:id="989" w:name="_Toc76232245"/>
      <w:bookmarkStart w:id="990" w:name="_Toc76232312"/>
      <w:bookmarkStart w:id="991" w:name="_Toc267255933"/>
      <w:bookmarkStart w:id="992" w:name="_Toc76231895"/>
      <w:bookmarkStart w:id="993" w:name="_Toc469304648"/>
      <w:bookmarkStart w:id="994" w:name="_Toc76232178"/>
      <w:bookmarkStart w:id="995" w:name="_Toc457206131"/>
      <w:bookmarkStart w:id="996" w:name="_Toc3216"/>
      <w:bookmarkStart w:id="997" w:name="_Toc22208"/>
      <w:bookmarkStart w:id="998" w:name="_Toc104219241"/>
      <w:r>
        <w:rPr>
          <w:rFonts w:hint="eastAsia" w:ascii="Times New Roman" w:hAnsi="Times New Roman" w:eastAsia="宋体" w:cs="Times New Roman"/>
          <w:b/>
          <w:bCs/>
          <w:sz w:val="24"/>
          <w:szCs w:val="24"/>
          <w:lang w:val="en-US" w:eastAsia="zh-CN" w:bidi="ar-SA"/>
        </w:rPr>
        <w:t>安装和调试</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p>
    <w:p w14:paraId="6F579D59">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 xml:space="preserve">卖方需明确以下问题： </w:t>
      </w:r>
    </w:p>
    <w:p w14:paraId="0C921A27">
      <w:pPr>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卖方负责本期工程软件安装调测。</w:t>
      </w:r>
    </w:p>
    <w:p w14:paraId="346F20B2">
      <w:pPr>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调测时使用的工具、设备由卖方提供，通用工具由买方协助解决。双方应协商制定工程进度表，卖方负责按工程进度表进行施工；</w:t>
      </w:r>
    </w:p>
    <w:p w14:paraId="608A50E2">
      <w:pPr>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系统软件的安装和整个系统的调试由卖方负责，卖方调试前应提出完整的调试计划并经买方确认，包括上云方案的内容、项目、指标、方法和进度，并提供相应的仪器和工具。卖方有责任对买方的技术人员提出的问题作出解答。调试应进行详细记录，系统调试结束后，由卖方技术人员签字后交给买方验收；</w:t>
      </w:r>
    </w:p>
    <w:p w14:paraId="1EAD9758">
      <w:pPr>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系统测试的条款应与技术规范一致。基于以上要求，卖方应提供测试条件，方法和过程的草案，最终测试文件由双方共同拟定。各种测试指标必须在测试报告中反映。测试内容应至少包括：</w:t>
      </w:r>
    </w:p>
    <w:p w14:paraId="2BDFC632">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功能测试</w:t>
      </w:r>
    </w:p>
    <w:p w14:paraId="7A136DB9">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性能测试</w:t>
      </w:r>
    </w:p>
    <w:p w14:paraId="38F30175">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稳定性测试</w:t>
      </w:r>
    </w:p>
    <w:p w14:paraId="70430D34">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压力测试</w:t>
      </w:r>
    </w:p>
    <w:p w14:paraId="38B2A299">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容错测试</w:t>
      </w:r>
    </w:p>
    <w:p w14:paraId="187D3E4F">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故障测试</w:t>
      </w:r>
    </w:p>
    <w:p w14:paraId="0E12EF99">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安全性测试</w:t>
      </w:r>
    </w:p>
    <w:p w14:paraId="1BD7BBDE">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互通测试</w:t>
      </w:r>
    </w:p>
    <w:p w14:paraId="3EECF711">
      <w:pPr>
        <w:numPr>
          <w:ilvl w:val="1"/>
          <w:numId w:val="28"/>
        </w:numPr>
        <w:spacing w:line="360" w:lineRule="auto"/>
        <w:ind w:left="840" w:hanging="420" w:firstLineChars="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其它测试等</w:t>
      </w:r>
    </w:p>
    <w:p w14:paraId="19838652">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999" w:name="_Toc30697"/>
      <w:bookmarkStart w:id="1000" w:name="_Toc76231699"/>
      <w:bookmarkStart w:id="1001" w:name="_Toc19022"/>
      <w:bookmarkStart w:id="1002" w:name="_Toc76231766"/>
      <w:bookmarkStart w:id="1003" w:name="_Toc21637"/>
      <w:bookmarkStart w:id="1004" w:name="_Toc469304650"/>
      <w:bookmarkStart w:id="1005" w:name="_Toc76232314"/>
      <w:bookmarkStart w:id="1006" w:name="_Toc76379158"/>
      <w:bookmarkStart w:id="1007" w:name="_Toc76232180"/>
      <w:bookmarkStart w:id="1008" w:name="_Toc76232247"/>
      <w:bookmarkStart w:id="1009" w:name="_Toc467953291"/>
      <w:bookmarkStart w:id="1010" w:name="_Toc76231543"/>
      <w:bookmarkStart w:id="1011" w:name="_Toc457206133"/>
      <w:bookmarkStart w:id="1012" w:name="_Toc76231897"/>
      <w:bookmarkStart w:id="1013" w:name="_Toc76232026"/>
      <w:bookmarkStart w:id="1014" w:name="_Toc267255934"/>
      <w:bookmarkStart w:id="1015" w:name="_Toc104219242"/>
      <w:bookmarkStart w:id="1016" w:name="_Toc468710710"/>
      <w:bookmarkStart w:id="1017" w:name="_Toc25313"/>
      <w:bookmarkStart w:id="1018" w:name="_Toc28609"/>
      <w:bookmarkStart w:id="1019" w:name="_Toc486170481"/>
      <w:bookmarkStart w:id="1020" w:name="_Toc467302619"/>
      <w:r>
        <w:rPr>
          <w:rFonts w:hint="eastAsia" w:ascii="Times New Roman" w:hAnsi="Times New Roman" w:eastAsia="宋体" w:cs="Times New Roman"/>
          <w:b/>
          <w:bCs/>
          <w:sz w:val="24"/>
          <w:szCs w:val="24"/>
          <w:lang w:val="en-US" w:eastAsia="zh-CN" w:bidi="ar-SA"/>
        </w:rPr>
        <w:t>验收</w:t>
      </w:r>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14:paraId="2E002C85">
      <w:pPr>
        <w:keepNext w:val="0"/>
        <w:keepLines w:val="0"/>
        <w:pageBreakBefore w:val="0"/>
        <w:widowControl w:val="0"/>
        <w:numPr>
          <w:ilvl w:val="0"/>
          <w:numId w:val="53"/>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系统调试达到技术规范书规定的指标后，可进行验收测试（初验）。验收规范（包括计划、项目、指标、方式和测试仪器等）应由卖方在验收前两周提交给买方，买方可根据合同及技术规范书和买方的有关规定进行修改和补充。验收规范经双方确认后形成验收文件作为验收依据。验收测试合格后，双方签署验收协议，系统入网开通试运行；</w:t>
      </w:r>
    </w:p>
    <w:p w14:paraId="17D69EE4">
      <w:pPr>
        <w:keepNext w:val="0"/>
        <w:keepLines w:val="0"/>
        <w:pageBreakBefore w:val="0"/>
        <w:widowControl w:val="0"/>
        <w:numPr>
          <w:ilvl w:val="0"/>
          <w:numId w:val="53"/>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系统经过三个月试用期，所有性能指标达到技术规范书的要求时，可进行最终验收。在试运行期间，由于软件质量等造成某些指标达不到要求，允许卖方更换或进行修复，但试运行期顺延三个月，在全部达到要求时，双方签署最终验收文件。</w:t>
      </w:r>
    </w:p>
    <w:p w14:paraId="45E337FC">
      <w:pPr>
        <w:keepNext w:val="0"/>
        <w:keepLines w:val="0"/>
        <w:pageBreakBefore w:val="0"/>
        <w:widowControl w:val="0"/>
        <w:numPr>
          <w:ilvl w:val="0"/>
          <w:numId w:val="53"/>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卖方应根据系统业务需求，实现提供自测文档，列明系统功能、流程、接口清单，供验收核对。</w:t>
      </w:r>
    </w:p>
    <w:p w14:paraId="4F489AF8">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1021" w:name="_Toc13204"/>
      <w:bookmarkStart w:id="1022" w:name="_Toc2159"/>
      <w:bookmarkStart w:id="1023" w:name="_Toc26699482"/>
      <w:bookmarkStart w:id="1024" w:name="_Toc446441435"/>
      <w:bookmarkStart w:id="1025" w:name="_Toc31823"/>
      <w:bookmarkStart w:id="1026" w:name="_Toc26948458"/>
      <w:bookmarkStart w:id="1027" w:name="_Toc24444"/>
      <w:bookmarkStart w:id="1028" w:name="_Toc473089360"/>
      <w:bookmarkStart w:id="1029" w:name="_Toc15238"/>
      <w:bookmarkStart w:id="1030" w:name="_Toc104219243"/>
      <w:bookmarkStart w:id="1031" w:name="_Toc43517364"/>
      <w:bookmarkStart w:id="1032" w:name="_Toc476286483"/>
      <w:bookmarkStart w:id="1033" w:name="_Toc267255935"/>
      <w:bookmarkStart w:id="1034" w:name="_Toc26673628"/>
      <w:r>
        <w:rPr>
          <w:rFonts w:hint="eastAsia" w:ascii="Times New Roman" w:hAnsi="Times New Roman" w:eastAsia="宋体" w:cs="Times New Roman"/>
          <w:b/>
          <w:bCs/>
          <w:sz w:val="24"/>
          <w:szCs w:val="24"/>
          <w:lang w:val="en-US" w:eastAsia="zh-CN" w:bidi="ar-SA"/>
        </w:rPr>
        <w:t>技术文档</w:t>
      </w:r>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14:paraId="7D201E25">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 xml:space="preserve">卖方应提供应用系统的主要技术资料（包括随机提供资料）； </w:t>
      </w:r>
    </w:p>
    <w:p w14:paraId="78E86DE0">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卖方应根据技术规范书的要求编写应用软件需求说明书，交由买方确认；</w:t>
      </w:r>
    </w:p>
    <w:p w14:paraId="2AD4D2DE">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卖方在系统开发前应提交详细的设计文档，具体包括应用软件需求规格说明书、概要设计说明书、详细设计说明书和测试相关文档等。</w:t>
      </w:r>
    </w:p>
    <w:p w14:paraId="21C41C91">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卖方应提供配置说明书、使用说明书（包括用户手册、操作手册、维护手册）；</w:t>
      </w:r>
    </w:p>
    <w:p w14:paraId="322BC18C">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卖方应提供应用软件开发总结文档，对软件开发过程中的主要技术问题给出详细解答；</w:t>
      </w:r>
    </w:p>
    <w:p w14:paraId="757D04A4">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在现场调试和试运行过程中如果对软件、硬件作了改动，则必须修改技术文件，及时知会买方并在初次验收测试前卖方以光盘形式向买方提交最终技术文件；软件的修改应将新老版本的软件清单、框图及说明提供给买方；</w:t>
      </w:r>
    </w:p>
    <w:p w14:paraId="5DAA7A8B">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卖方应在系统正式启用后向买方移交完整的在用软件版本，其中系统底层软件以开发包的形式提供，应用层软件以源码形式提供，并同时提供完整的开发文档和代码说明文档。</w:t>
      </w:r>
    </w:p>
    <w:p w14:paraId="5EDF244E">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卖方为买方提供的所有业务技术资料、文档，卖方有责任对第三方保密；</w:t>
      </w:r>
    </w:p>
    <w:p w14:paraId="4EB7EFDC">
      <w:pPr>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卖方应提供详细的工程计划和工程日志。</w:t>
      </w:r>
    </w:p>
    <w:p w14:paraId="2658CB6D">
      <w:pPr>
        <w:keepNext/>
        <w:keepLines/>
        <w:pageBreakBefore w:val="0"/>
        <w:widowControl w:val="0"/>
        <w:numPr>
          <w:ilvl w:val="3"/>
          <w:numId w:val="31"/>
        </w:numPr>
        <w:kinsoku/>
        <w:wordWrap/>
        <w:overflowPunct/>
        <w:topLinePunct w:val="0"/>
        <w:autoSpaceDE/>
        <w:autoSpaceDN/>
        <w:bidi w:val="0"/>
        <w:adjustRightInd/>
        <w:snapToGrid/>
        <w:spacing w:before="240" w:after="180" w:line="240" w:lineRule="auto"/>
        <w:ind w:left="0" w:leftChars="0" w:firstLine="198" w:firstLineChars="0"/>
        <w:jc w:val="both"/>
        <w:textAlignment w:val="auto"/>
        <w:outlineLvl w:val="3"/>
        <w:rPr>
          <w:rFonts w:hint="eastAsia" w:ascii="Times New Roman" w:hAnsi="Times New Roman" w:eastAsia="宋体" w:cs="Times New Roman"/>
          <w:b/>
          <w:bCs/>
          <w:sz w:val="24"/>
          <w:szCs w:val="24"/>
          <w:lang w:val="en-US" w:eastAsia="zh-CN" w:bidi="ar-SA"/>
        </w:rPr>
      </w:pPr>
      <w:bookmarkStart w:id="1035" w:name="_Toc131961930"/>
      <w:bookmarkStart w:id="1036" w:name="_Toc104219244"/>
      <w:bookmarkStart w:id="1037" w:name="_Toc16934"/>
      <w:bookmarkStart w:id="1038" w:name="_Toc24132"/>
      <w:bookmarkStart w:id="1039" w:name="_Toc26482"/>
      <w:bookmarkStart w:id="1040" w:name="_Toc267255936"/>
      <w:bookmarkStart w:id="1041" w:name="_Toc21990"/>
      <w:bookmarkStart w:id="1042" w:name="_Toc9888"/>
      <w:r>
        <w:rPr>
          <w:rFonts w:hint="eastAsia" w:ascii="Times New Roman" w:hAnsi="Times New Roman" w:eastAsia="宋体" w:cs="Times New Roman"/>
          <w:b/>
          <w:bCs/>
          <w:sz w:val="24"/>
          <w:szCs w:val="24"/>
          <w:lang w:val="en-US" w:eastAsia="zh-CN" w:bidi="ar-SA"/>
        </w:rPr>
        <w:t>项目管理</w:t>
      </w:r>
      <w:bookmarkEnd w:id="1035"/>
      <w:bookmarkEnd w:id="1036"/>
      <w:bookmarkEnd w:id="1037"/>
      <w:bookmarkEnd w:id="1038"/>
      <w:bookmarkEnd w:id="1039"/>
      <w:bookmarkEnd w:id="1040"/>
      <w:bookmarkEnd w:id="1041"/>
      <w:bookmarkEnd w:id="1042"/>
    </w:p>
    <w:p w14:paraId="7B832332">
      <w:pPr>
        <w:widowControl w:val="0"/>
        <w:spacing w:after="0" w:line="360" w:lineRule="auto"/>
        <w:ind w:left="0" w:leftChars="0" w:firstLine="480" w:firstLineChars="200"/>
        <w:jc w:val="both"/>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卖方需对项目管理的以下方面做详细说明：进度管理、质量管理、风险管理、项目人员组织管理、变更管理和例会制度等。</w:t>
      </w:r>
    </w:p>
    <w:p w14:paraId="5F57D2C9">
      <w:pPr>
        <w:widowControl w:val="0"/>
        <w:spacing w:after="0" w:line="360" w:lineRule="auto"/>
        <w:ind w:left="0" w:leftChars="0" w:firstLine="480" w:firstLineChars="200"/>
        <w:jc w:val="both"/>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另外，卖方应需要满足以下要求：</w:t>
      </w:r>
    </w:p>
    <w:p w14:paraId="01DCCA73">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本期工程实施期间，卖方应安排具有专业技术水平的专职人员参与本次工程建设，卖方参与本工程建设的所有人员，在工程建设期间，不得同时参与其他工程项目的建设，以保证能够按时完成本次工程建设。</w:t>
      </w:r>
    </w:p>
    <w:p w14:paraId="0BC810D3">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卖方应保证，在本工程建设期间，应保持持续稳定的人力投入。</w:t>
      </w:r>
    </w:p>
    <w:p w14:paraId="39A714BD">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工程例会、项目协调会等项目相关会议由卖方组织召开；</w:t>
      </w:r>
    </w:p>
    <w:p w14:paraId="4274B24D">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定期组织和参加每周的工程和维护例会，并及时提交相关周报。</w:t>
      </w:r>
    </w:p>
    <w:p w14:paraId="724F5D47">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工程在初验前开发团队的项目经理不能撤离，在初验后按照合同的约定需要有专业的维护团队进入岗位。</w:t>
      </w:r>
    </w:p>
    <w:p w14:paraId="4BAE298F">
      <w:pPr>
        <w:keepNext w:val="0"/>
        <w:keepLines w:val="0"/>
        <w:pageBreakBefore w:val="0"/>
        <w:widowControl w:val="0"/>
        <w:numPr>
          <w:ilvl w:val="0"/>
          <w:numId w:val="55"/>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卖方要提供整体的项目管理方案，项目的重大事件或者管理变更需要得到中国电信相关人员同意；关键性操作（如：重启服务器、管理员帐号生成、权限的修改等）需以邮件或书面的方式得到中国电信相关人员同意。</w:t>
      </w:r>
    </w:p>
    <w:p w14:paraId="35D5AE7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ascii="Times New Roman" w:hAnsi="Times New Roman" w:eastAsia="宋体" w:cs="Times New Roman"/>
          <w:kern w:val="0"/>
          <w:sz w:val="24"/>
          <w:highlight w:val="none"/>
        </w:rPr>
      </w:pPr>
      <w:r>
        <w:rPr>
          <w:rFonts w:hint="eastAsia" w:ascii="Times New Roman" w:hAnsi="Times New Roman" w:eastAsia="宋体" w:cs="Times New Roman"/>
          <w:kern w:val="0"/>
          <w:sz w:val="24"/>
        </w:rPr>
        <w:t>遵</w:t>
      </w:r>
      <w:r>
        <w:rPr>
          <w:rFonts w:hint="eastAsia" w:ascii="Times New Roman" w:hAnsi="Times New Roman" w:eastAsia="宋体" w:cs="Times New Roman"/>
          <w:kern w:val="0"/>
          <w:sz w:val="24"/>
          <w:highlight w:val="none"/>
        </w:rPr>
        <w:t>守中国电信与集成商约定的其他制度。</w:t>
      </w:r>
    </w:p>
    <w:p w14:paraId="353DB7F1">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 xml:space="preserve">投标人为本项目提供以下项目团队： </w:t>
      </w:r>
    </w:p>
    <w:p w14:paraId="1EE146FE">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1.现场配备1名项目经理，应具备有效期内的信息系统项目管理师证书（高级）或PMP认证证书。</w:t>
      </w:r>
    </w:p>
    <w:p w14:paraId="79563BD3">
      <w:pPr>
        <w:spacing w:line="360" w:lineRule="auto"/>
        <w:ind w:firstLine="480" w:firstLineChars="200"/>
        <w:rPr>
          <w:rFonts w:hint="eastAsia" w:ascii="Times New Roman" w:hAnsi="Times New Roman" w:eastAsia="宋体" w:cs="Times New Roman"/>
          <w:kern w:val="0"/>
          <w:sz w:val="24"/>
          <w:highlight w:val="none"/>
        </w:rPr>
      </w:pPr>
      <w:r>
        <w:rPr>
          <w:rFonts w:hint="eastAsia" w:ascii="Times New Roman" w:hAnsi="Times New Roman" w:eastAsia="宋体" w:cs="Times New Roman"/>
          <w:kern w:val="0"/>
          <w:sz w:val="24"/>
          <w:highlight w:val="none"/>
        </w:rPr>
        <w:t>2.现场配备不少于3名开发工程师，应具备软件开发能力。</w:t>
      </w:r>
    </w:p>
    <w:p w14:paraId="2A9F7EC1">
      <w:pPr>
        <w:keepNext w:val="0"/>
        <w:keepLines w:val="0"/>
        <w:pageBreakBefore w:val="0"/>
        <w:widowControl w:val="0"/>
        <w:numPr>
          <w:ilvl w:val="2"/>
          <w:numId w:val="31"/>
        </w:numPr>
        <w:kinsoku/>
        <w:wordWrap/>
        <w:overflowPunct/>
        <w:topLinePunct w:val="0"/>
        <w:autoSpaceDE/>
        <w:autoSpaceDN/>
        <w:bidi w:val="0"/>
        <w:adjustRightInd w:val="0"/>
        <w:snapToGrid w:val="0"/>
        <w:spacing w:before="180" w:after="60" w:line="360" w:lineRule="auto"/>
        <w:ind w:left="0" w:firstLine="198" w:firstLineChars="0"/>
        <w:jc w:val="both"/>
        <w:textAlignment w:val="bottom"/>
        <w:outlineLvl w:val="2"/>
        <w:rPr>
          <w:rFonts w:hint="eastAsia" w:ascii="宋体" w:hAnsi="宋体" w:eastAsia="宋体" w:cs="宋体"/>
          <w:b/>
          <w:bCs/>
          <w:sz w:val="28"/>
          <w:szCs w:val="28"/>
          <w:highlight w:val="none"/>
          <w:lang w:val="en-US" w:eastAsia="zh-CN" w:bidi="ar-SA"/>
        </w:rPr>
      </w:pPr>
      <w:bookmarkStart w:id="1043" w:name="_Toc18494"/>
      <w:bookmarkStart w:id="1044" w:name="_Toc13451"/>
      <w:bookmarkStart w:id="1045" w:name="_Toc13472"/>
      <w:bookmarkStart w:id="1046" w:name="_Toc203457591"/>
      <w:bookmarkStart w:id="1047" w:name="_Toc30070"/>
      <w:bookmarkStart w:id="1048" w:name="_Toc6913"/>
      <w:bookmarkStart w:id="1049" w:name="_Toc516059059"/>
      <w:bookmarkStart w:id="1050" w:name="_Toc466036697"/>
      <w:bookmarkStart w:id="1051" w:name="_Toc9458"/>
      <w:r>
        <w:rPr>
          <w:rFonts w:hint="eastAsia" w:ascii="宋体" w:hAnsi="宋体" w:eastAsia="宋体" w:cs="宋体"/>
          <w:b/>
          <w:bCs/>
          <w:sz w:val="28"/>
          <w:szCs w:val="28"/>
          <w:highlight w:val="none"/>
          <w:lang w:val="en-US" w:eastAsia="zh-CN" w:bidi="ar-SA"/>
        </w:rPr>
        <w:t>售后服务要求</w:t>
      </w:r>
      <w:bookmarkEnd w:id="1043"/>
      <w:bookmarkEnd w:id="1044"/>
      <w:bookmarkEnd w:id="1045"/>
      <w:bookmarkEnd w:id="1046"/>
      <w:bookmarkEnd w:id="1047"/>
      <w:bookmarkEnd w:id="1048"/>
      <w:bookmarkEnd w:id="1049"/>
      <w:bookmarkEnd w:id="1050"/>
      <w:bookmarkEnd w:id="1051"/>
    </w:p>
    <w:p w14:paraId="693AA959">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highlight w:val="none"/>
        </w:rPr>
      </w:pPr>
      <w:bookmarkStart w:id="1052" w:name="_Toc480081441"/>
      <w:r>
        <w:rPr>
          <w:rFonts w:hint="eastAsia" w:ascii="Times New Roman" w:hAnsi="Times New Roman" w:eastAsia="宋体" w:cs="Times New Roman"/>
          <w:kern w:val="0"/>
          <w:sz w:val="24"/>
          <w:highlight w:val="none"/>
        </w:rPr>
        <w:t>终验完成之后的一年为保修期。在保修期内，如果系统发生故障，卖方要调查故障原因并修复直至满足最终验收指标和性能的要求。</w:t>
      </w:r>
    </w:p>
    <w:p w14:paraId="1BEA9B88">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highlight w:val="none"/>
        </w:rPr>
        <w:t>在软件保修期内由于软件升级而引起硬件变动所发生</w:t>
      </w:r>
      <w:r>
        <w:rPr>
          <w:rFonts w:hint="eastAsia" w:ascii="Times New Roman" w:hAnsi="Times New Roman" w:eastAsia="宋体" w:cs="Times New Roman"/>
          <w:kern w:val="0"/>
          <w:sz w:val="24"/>
        </w:rPr>
        <w:t>的费用也应由卖方承担。</w:t>
      </w:r>
      <w:bookmarkEnd w:id="1052"/>
      <w:bookmarkStart w:id="1053" w:name="_Toc480081442"/>
      <w:r>
        <w:rPr>
          <w:rFonts w:hint="eastAsia" w:ascii="Times New Roman" w:hAnsi="Times New Roman" w:eastAsia="宋体" w:cs="Times New Roman"/>
          <w:kern w:val="0"/>
          <w:sz w:val="24"/>
        </w:rPr>
        <w:t>卖方应给出保修期结束之后对所提供的软硬件系统的服务支持方式和费用。</w:t>
      </w:r>
    </w:p>
    <w:p w14:paraId="0AEC5A8B">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在保修期结束后，卖方必须继续提供对故障处理、软件修改等的服务，不得以任何借口拖延或中断对产品的售后服务，售后服务的费用由双方通过商务协商解决。</w:t>
      </w:r>
    </w:p>
    <w:bookmarkEnd w:id="1053"/>
    <w:p w14:paraId="3CEADB6E">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宋体" w:cs="Times New Roman"/>
          <w:kern w:val="0"/>
          <w:sz w:val="24"/>
        </w:rPr>
      </w:pPr>
      <w:bookmarkStart w:id="1054" w:name="_Toc480081443"/>
      <w:r>
        <w:rPr>
          <w:rFonts w:hint="eastAsia" w:ascii="Times New Roman" w:hAnsi="Times New Roman" w:eastAsia="宋体" w:cs="Times New Roman"/>
          <w:kern w:val="0"/>
          <w:sz w:val="24"/>
        </w:rPr>
        <w:t>卖方应对系统的升级发展做出说明。</w:t>
      </w:r>
      <w:bookmarkEnd w:id="1054"/>
    </w:p>
    <w:p w14:paraId="7C0B2E26">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ind w:leftChars="200"/>
        <w:textAlignment w:val="auto"/>
        <w:rPr>
          <w:rFonts w:ascii="Times New Roman" w:hAnsi="Times New Roman"/>
          <w:sz w:val="24"/>
          <w:highlight w:val="none"/>
        </w:rPr>
      </w:pPr>
    </w:p>
    <w:p w14:paraId="69BC8FBD">
      <w:pPr>
        <w:pStyle w:val="55"/>
        <w:spacing w:before="240" w:after="120"/>
        <w:jc w:val="left"/>
        <w:outlineLvl w:val="9"/>
        <w:rPr>
          <w:rFonts w:hint="eastAsia" w:ascii="宋体" w:hAnsi="宋体" w:eastAsia="宋体" w:cs="宋体"/>
          <w:b/>
          <w:sz w:val="24"/>
          <w:szCs w:val="24"/>
          <w:highlight w:val="none"/>
        </w:rPr>
        <w:sectPr>
          <w:headerReference r:id="rId20" w:type="default"/>
          <w:footerReference r:id="rId21"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b/>
          <w:sz w:val="24"/>
          <w:szCs w:val="24"/>
          <w:highlight w:val="none"/>
        </w:rPr>
        <w:t xml:space="preserve"> </w:t>
      </w:r>
    </w:p>
    <w:p w14:paraId="316AF4B2">
      <w:pPr>
        <w:pStyle w:val="55"/>
        <w:spacing w:before="240" w:after="120"/>
        <w:jc w:val="left"/>
        <w:rPr>
          <w:rFonts w:ascii="宋体" w:hAnsi="宋体" w:eastAsia="宋体" w:cs="宋体"/>
          <w:b/>
          <w:bCs w:val="0"/>
          <w:kern w:val="0"/>
          <w:sz w:val="28"/>
          <w:szCs w:val="28"/>
          <w:highlight w:val="none"/>
        </w:rPr>
      </w:pPr>
      <w:bookmarkStart w:id="1055" w:name="_Toc20988"/>
      <w:r>
        <w:rPr>
          <w:rFonts w:hint="eastAsia" w:ascii="宋体" w:hAnsi="宋体" w:eastAsia="宋体" w:cs="宋体"/>
          <w:b/>
          <w:bCs w:val="0"/>
          <w:kern w:val="0"/>
          <w:sz w:val="28"/>
          <w:szCs w:val="28"/>
          <w:highlight w:val="none"/>
        </w:rPr>
        <w:t>第六章  投标文件格式</w:t>
      </w:r>
      <w:bookmarkEnd w:id="623"/>
      <w:bookmarkEnd w:id="624"/>
      <w:bookmarkEnd w:id="625"/>
      <w:bookmarkEnd w:id="723"/>
      <w:bookmarkEnd w:id="1055"/>
    </w:p>
    <w:p w14:paraId="3CA3B73F">
      <w:pPr>
        <w:pStyle w:val="40"/>
        <w:tabs>
          <w:tab w:val="left" w:pos="588"/>
        </w:tabs>
        <w:snapToGrid w:val="0"/>
        <w:spacing w:before="120" w:after="120" w:line="440" w:lineRule="exact"/>
        <w:jc w:val="left"/>
        <w:rPr>
          <w:rFonts w:ascii="宋体" w:hAnsi="宋体"/>
          <w:sz w:val="24"/>
          <w:szCs w:val="24"/>
          <w:highlight w:val="none"/>
        </w:rPr>
      </w:pPr>
      <w:bookmarkStart w:id="1056" w:name="_Toc31895"/>
      <w:bookmarkStart w:id="1057" w:name="_Toc38008076"/>
      <w:bookmarkStart w:id="1058" w:name="_Toc475472670"/>
      <w:r>
        <w:rPr>
          <w:rFonts w:hint="eastAsia" w:ascii="宋体" w:hAnsi="宋体"/>
          <w:sz w:val="24"/>
          <w:szCs w:val="24"/>
          <w:highlight w:val="none"/>
        </w:rPr>
        <w:t>第一分册 商务投标文件</w:t>
      </w:r>
      <w:bookmarkEnd w:id="1056"/>
      <w:bookmarkEnd w:id="1057"/>
    </w:p>
    <w:p w14:paraId="5ECBD649">
      <w:pPr>
        <w:pStyle w:val="40"/>
        <w:numPr>
          <w:ilvl w:val="0"/>
          <w:numId w:val="57"/>
        </w:numPr>
        <w:tabs>
          <w:tab w:val="left" w:pos="588"/>
        </w:tabs>
        <w:snapToGrid w:val="0"/>
        <w:spacing w:before="120" w:after="120" w:line="440" w:lineRule="exact"/>
        <w:jc w:val="left"/>
        <w:rPr>
          <w:rFonts w:hint="eastAsia" w:ascii="宋体" w:hAnsi="宋体"/>
          <w:sz w:val="24"/>
          <w:szCs w:val="24"/>
          <w:highlight w:val="none"/>
        </w:rPr>
      </w:pPr>
      <w:bookmarkStart w:id="1059" w:name="_Toc38008077"/>
      <w:bookmarkStart w:id="1060" w:name="_Toc31731"/>
      <w:r>
        <w:rPr>
          <w:rFonts w:hint="eastAsia" w:ascii="宋体" w:hAnsi="宋体"/>
          <w:sz w:val="24"/>
          <w:szCs w:val="24"/>
          <w:highlight w:val="none"/>
        </w:rPr>
        <w:t>商务投标文件封面</w:t>
      </w:r>
      <w:bookmarkEnd w:id="1058"/>
      <w:bookmarkEnd w:id="1059"/>
      <w:bookmarkEnd w:id="1060"/>
    </w:p>
    <w:p w14:paraId="721EF100">
      <w:pPr>
        <w:spacing w:after="120" w:line="360" w:lineRule="atLeast"/>
        <w:jc w:val="center"/>
        <w:rPr>
          <w:rFonts w:ascii="宋体" w:hAnsi="宋体" w:cs="宋体"/>
          <w:sz w:val="32"/>
          <w:szCs w:val="32"/>
          <w:highlight w:val="none"/>
          <w:u w:val="single"/>
        </w:rPr>
      </w:pPr>
    </w:p>
    <w:p w14:paraId="0E6DD8FA">
      <w:pPr>
        <w:spacing w:after="120" w:line="360" w:lineRule="atLeast"/>
        <w:jc w:val="center"/>
        <w:rPr>
          <w:rFonts w:ascii="宋体" w:hAnsi="宋体" w:cs="宋体"/>
          <w:sz w:val="32"/>
          <w:szCs w:val="32"/>
          <w:highlight w:val="none"/>
          <w:u w:val="single"/>
        </w:rPr>
      </w:pPr>
    </w:p>
    <w:p w14:paraId="5CB2FD96">
      <w:pPr>
        <w:spacing w:after="120" w:line="360" w:lineRule="atLeast"/>
        <w:jc w:val="center"/>
        <w:rPr>
          <w:rFonts w:ascii="宋体" w:hAnsi="宋体" w:cs="宋体"/>
          <w:b/>
          <w:sz w:val="30"/>
          <w:szCs w:val="30"/>
          <w:highlight w:val="none"/>
        </w:rPr>
      </w:pPr>
      <w:r>
        <w:rPr>
          <w:rFonts w:hint="eastAsia" w:ascii="宋体" w:hAnsi="宋体"/>
          <w:sz w:val="28"/>
          <w:szCs w:val="28"/>
          <w:highlight w:val="none"/>
        </w:rPr>
        <w:t>（项目名称）招标</w:t>
      </w:r>
    </w:p>
    <w:p w14:paraId="1A74B19A">
      <w:pPr>
        <w:jc w:val="center"/>
        <w:rPr>
          <w:rFonts w:ascii="宋体" w:hAnsi="宋体" w:cs="宋体"/>
          <w:sz w:val="28"/>
          <w:szCs w:val="28"/>
          <w:highlight w:val="none"/>
        </w:rPr>
      </w:pPr>
    </w:p>
    <w:p w14:paraId="5B3F1936">
      <w:pPr>
        <w:jc w:val="center"/>
        <w:rPr>
          <w:rFonts w:ascii="宋体" w:hAnsi="宋体" w:cs="宋体"/>
          <w:szCs w:val="21"/>
          <w:highlight w:val="none"/>
        </w:rPr>
      </w:pPr>
    </w:p>
    <w:p w14:paraId="278A4B23">
      <w:pPr>
        <w:jc w:val="center"/>
        <w:rPr>
          <w:rFonts w:ascii="宋体" w:hAnsi="宋体" w:cs="宋体"/>
          <w:szCs w:val="21"/>
          <w:highlight w:val="none"/>
        </w:rPr>
      </w:pPr>
    </w:p>
    <w:p w14:paraId="6DEDE9C1">
      <w:pPr>
        <w:jc w:val="center"/>
        <w:rPr>
          <w:rFonts w:ascii="宋体" w:hAnsi="宋体" w:cs="宋体"/>
          <w:szCs w:val="21"/>
          <w:highlight w:val="none"/>
        </w:rPr>
      </w:pPr>
    </w:p>
    <w:p w14:paraId="59FED17D">
      <w:pPr>
        <w:spacing w:after="120"/>
        <w:jc w:val="center"/>
        <w:rPr>
          <w:rFonts w:ascii="宋体" w:hAnsi="宋体" w:cs="宋体"/>
          <w:b/>
          <w:sz w:val="36"/>
          <w:szCs w:val="36"/>
          <w:highlight w:val="none"/>
        </w:rPr>
      </w:pPr>
      <w:r>
        <w:rPr>
          <w:rFonts w:hint="eastAsia" w:ascii="宋体" w:hAnsi="宋体" w:cs="宋体"/>
          <w:b/>
          <w:sz w:val="36"/>
          <w:szCs w:val="36"/>
          <w:highlight w:val="none"/>
        </w:rPr>
        <w:t>投标文件【商务投标文件】部分</w:t>
      </w:r>
    </w:p>
    <w:p w14:paraId="2F4F353A">
      <w:pPr>
        <w:spacing w:after="120"/>
        <w:jc w:val="center"/>
        <w:rPr>
          <w:rFonts w:ascii="宋体" w:hAnsi="宋体" w:cs="宋体"/>
          <w:b/>
          <w:sz w:val="32"/>
          <w:szCs w:val="32"/>
          <w:highlight w:val="none"/>
        </w:rPr>
      </w:pPr>
    </w:p>
    <w:p w14:paraId="39F74EE5">
      <w:pPr>
        <w:spacing w:after="120"/>
        <w:jc w:val="center"/>
        <w:rPr>
          <w:rFonts w:ascii="宋体" w:hAnsi="宋体" w:cs="宋体"/>
          <w:b/>
          <w:sz w:val="32"/>
          <w:szCs w:val="32"/>
          <w:highlight w:val="none"/>
        </w:rPr>
      </w:pPr>
    </w:p>
    <w:p w14:paraId="6FBFC0F9">
      <w:pPr>
        <w:spacing w:after="120"/>
        <w:jc w:val="center"/>
        <w:rPr>
          <w:rFonts w:ascii="宋体" w:hAnsi="宋体" w:cs="宋体"/>
          <w:b/>
          <w:sz w:val="32"/>
          <w:szCs w:val="32"/>
          <w:highlight w:val="none"/>
        </w:rPr>
      </w:pPr>
    </w:p>
    <w:p w14:paraId="0B0BBE4C">
      <w:pPr>
        <w:spacing w:after="120"/>
        <w:jc w:val="center"/>
        <w:rPr>
          <w:rFonts w:ascii="宋体" w:hAnsi="宋体" w:cs="宋体"/>
          <w:b/>
          <w:sz w:val="32"/>
          <w:szCs w:val="32"/>
          <w:highlight w:val="none"/>
        </w:rPr>
      </w:pPr>
    </w:p>
    <w:p w14:paraId="0837EBE9">
      <w:pPr>
        <w:spacing w:after="120"/>
        <w:jc w:val="center"/>
        <w:rPr>
          <w:rFonts w:ascii="宋体" w:hAnsi="宋体" w:cs="宋体"/>
          <w:b/>
          <w:sz w:val="32"/>
          <w:szCs w:val="32"/>
          <w:highlight w:val="none"/>
        </w:rPr>
      </w:pPr>
    </w:p>
    <w:p w14:paraId="0FAE0183">
      <w:pPr>
        <w:spacing w:after="120"/>
        <w:jc w:val="center"/>
        <w:rPr>
          <w:rFonts w:ascii="宋体" w:hAnsi="宋体" w:cs="宋体"/>
          <w:b/>
          <w:sz w:val="32"/>
          <w:szCs w:val="32"/>
          <w:highlight w:val="none"/>
        </w:rPr>
      </w:pPr>
    </w:p>
    <w:p w14:paraId="0D57221D">
      <w:pPr>
        <w:spacing w:line="440" w:lineRule="exact"/>
        <w:ind w:firstLine="2481" w:firstLineChars="1034"/>
        <w:jc w:val="both"/>
        <w:rPr>
          <w:rFonts w:ascii="宋体" w:hAnsi="宋体"/>
          <w:sz w:val="24"/>
          <w:szCs w:val="21"/>
          <w:highlight w:val="none"/>
        </w:rPr>
      </w:pPr>
      <w:r>
        <w:rPr>
          <w:rFonts w:hint="eastAsia" w:ascii="宋体" w:hAnsi="宋体"/>
          <w:sz w:val="24"/>
          <w:szCs w:val="21"/>
          <w:highlight w:val="none"/>
        </w:rPr>
        <w:t>投标人名称：</w:t>
      </w:r>
      <w:r>
        <w:rPr>
          <w:rFonts w:hint="eastAsia" w:ascii="宋体" w:hAnsi="宋体"/>
          <w:sz w:val="24"/>
          <w:szCs w:val="21"/>
          <w:highlight w:val="none"/>
          <w:u w:val="single"/>
        </w:rPr>
        <w:t>　　　　　　　　</w:t>
      </w:r>
    </w:p>
    <w:p w14:paraId="59BB9335">
      <w:pPr>
        <w:spacing w:line="440" w:lineRule="exact"/>
        <w:ind w:firstLine="566" w:firstLineChars="236"/>
        <w:rPr>
          <w:rFonts w:ascii="宋体" w:hAnsi="宋体"/>
          <w:sz w:val="24"/>
          <w:szCs w:val="21"/>
          <w:highlight w:val="none"/>
        </w:rPr>
      </w:pPr>
    </w:p>
    <w:p w14:paraId="2E8267FC">
      <w:pPr>
        <w:spacing w:line="440" w:lineRule="exact"/>
        <w:ind w:firstLine="566" w:firstLineChars="236"/>
        <w:rPr>
          <w:rFonts w:ascii="宋体" w:hAnsi="宋体"/>
          <w:sz w:val="24"/>
          <w:szCs w:val="21"/>
          <w:highlight w:val="none"/>
        </w:rPr>
      </w:pPr>
    </w:p>
    <w:p w14:paraId="33958A82">
      <w:pPr>
        <w:adjustRightInd w:val="0"/>
        <w:snapToGrid w:val="0"/>
        <w:spacing w:after="120" w:line="440" w:lineRule="exact"/>
        <w:ind w:firstLine="1200" w:firstLineChars="500"/>
        <w:jc w:val="left"/>
        <w:rPr>
          <w:rFonts w:ascii="宋体" w:hAnsi="宋体" w:cs="宋体"/>
          <w:sz w:val="24"/>
          <w:highlight w:val="none"/>
        </w:rPr>
      </w:pPr>
    </w:p>
    <w:p w14:paraId="3057CFF0">
      <w:pPr>
        <w:adjustRightInd w:val="0"/>
        <w:snapToGrid w:val="0"/>
        <w:spacing w:line="440" w:lineRule="exact"/>
        <w:jc w:val="center"/>
        <w:rPr>
          <w:rFonts w:ascii="宋体" w:hAnsi="宋体" w:cs="宋体"/>
          <w:highlight w:val="none"/>
        </w:rPr>
      </w:pPr>
      <w:r>
        <w:rPr>
          <w:rFonts w:hint="eastAsia" w:ascii="宋体" w:hAnsi="宋体" w:cs="宋体"/>
          <w:sz w:val="24"/>
          <w:highlight w:val="none"/>
          <w:u w:val="single"/>
          <w:lang w:val="en-US" w:eastAsia="zh-CN"/>
        </w:rPr>
        <w:t xml:space="preserve">        </w:t>
      </w:r>
      <w:r>
        <w:rPr>
          <w:rFonts w:hint="eastAsia" w:ascii="宋体" w:hAnsi="宋体" w:cs="宋体"/>
          <w:sz w:val="24"/>
          <w:highlight w:val="none"/>
        </w:rPr>
        <w:t>年</w:t>
      </w:r>
      <w:r>
        <w:rPr>
          <w:rFonts w:hint="eastAsia" w:ascii="宋体" w:hAnsi="宋体" w:cs="宋体"/>
          <w:sz w:val="24"/>
          <w:highlight w:val="none"/>
          <w:u w:val="single"/>
          <w:lang w:val="en-US" w:eastAsia="zh-CN"/>
        </w:rPr>
        <w:t xml:space="preserve">     </w:t>
      </w:r>
      <w:r>
        <w:rPr>
          <w:rFonts w:hint="eastAsia" w:ascii="宋体" w:hAnsi="宋体" w:cs="宋体"/>
          <w:sz w:val="24"/>
          <w:highlight w:val="none"/>
        </w:rPr>
        <w:t>月</w:t>
      </w:r>
      <w:r>
        <w:rPr>
          <w:rFonts w:hint="eastAsia" w:ascii="宋体" w:hAnsi="宋体" w:cs="宋体"/>
          <w:sz w:val="24"/>
          <w:highlight w:val="none"/>
          <w:u w:val="single"/>
          <w:lang w:val="en-US" w:eastAsia="zh-CN"/>
        </w:rPr>
        <w:t xml:space="preserve">      </w:t>
      </w:r>
      <w:r>
        <w:rPr>
          <w:rFonts w:hint="eastAsia" w:ascii="宋体" w:hAnsi="宋体" w:cs="宋体"/>
          <w:sz w:val="24"/>
          <w:highlight w:val="none"/>
        </w:rPr>
        <w:t>日</w:t>
      </w:r>
    </w:p>
    <w:p w14:paraId="2EA3C0F6">
      <w:pPr>
        <w:pStyle w:val="55"/>
        <w:adjustRightInd w:val="0"/>
        <w:snapToGrid w:val="0"/>
        <w:spacing w:before="240" w:after="120" w:line="440" w:lineRule="exact"/>
        <w:outlineLvl w:val="9"/>
        <w:rPr>
          <w:rFonts w:ascii="宋体" w:hAnsi="宋体" w:eastAsia="宋体" w:cs="宋体"/>
          <w:b/>
          <w:bCs w:val="0"/>
          <w:kern w:val="0"/>
          <w:sz w:val="28"/>
          <w:szCs w:val="28"/>
          <w:highlight w:val="none"/>
        </w:rPr>
        <w:sectPr>
          <w:pgSz w:w="11906" w:h="16838"/>
          <w:pgMar w:top="1440" w:right="1800" w:bottom="1440" w:left="1800" w:header="851" w:footer="992" w:gutter="0"/>
          <w:pgNumType w:fmt="decimal"/>
          <w:cols w:space="425" w:num="1"/>
          <w:docGrid w:type="lines" w:linePitch="312" w:charSpace="0"/>
        </w:sectPr>
      </w:pPr>
    </w:p>
    <w:p w14:paraId="7BDEF561">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61" w:name="_Toc38008079"/>
      <w:bookmarkStart w:id="1062" w:name="_Toc332"/>
      <w:bookmarkStart w:id="1063" w:name="_Toc475891555"/>
      <w:bookmarkStart w:id="1064" w:name="_Toc476245699"/>
      <w:bookmarkStart w:id="1065" w:name="_Toc475472672"/>
      <w:bookmarkStart w:id="1066" w:name="_Toc438052120"/>
      <w:r>
        <w:rPr>
          <w:rFonts w:hint="eastAsia" w:ascii="宋体" w:hAnsi="宋体"/>
          <w:sz w:val="24"/>
          <w:szCs w:val="24"/>
          <w:highlight w:val="none"/>
        </w:rPr>
        <w:t>投标专用印章授权函（如有）</w:t>
      </w:r>
      <w:bookmarkEnd w:id="1061"/>
      <w:bookmarkEnd w:id="1062"/>
    </w:p>
    <w:bookmarkEnd w:id="1063"/>
    <w:bookmarkEnd w:id="1064"/>
    <w:p w14:paraId="4A5C37F9">
      <w:pPr>
        <w:spacing w:line="400" w:lineRule="exact"/>
        <w:jc w:val="center"/>
        <w:rPr>
          <w:rFonts w:ascii="宋体" w:hAnsi="宋体"/>
          <w:b/>
          <w:sz w:val="24"/>
          <w:highlight w:val="none"/>
        </w:rPr>
      </w:pPr>
    </w:p>
    <w:p w14:paraId="74F98B98">
      <w:pPr>
        <w:spacing w:line="400" w:lineRule="exact"/>
        <w:jc w:val="center"/>
        <w:rPr>
          <w:rFonts w:asciiTheme="minorEastAsia" w:hAnsiTheme="minorEastAsia" w:eastAsiaTheme="minorEastAsia"/>
          <w:b/>
          <w:sz w:val="24"/>
          <w:highlight w:val="none"/>
        </w:rPr>
      </w:pPr>
      <w:bookmarkStart w:id="1067" w:name="_Toc38008080"/>
      <w:r>
        <w:rPr>
          <w:rFonts w:hint="eastAsia" w:asciiTheme="minorEastAsia" w:hAnsiTheme="minorEastAsia" w:eastAsiaTheme="minorEastAsia"/>
          <w:b/>
          <w:sz w:val="24"/>
          <w:highlight w:val="none"/>
        </w:rPr>
        <w:t>投标专用印章授权函</w:t>
      </w:r>
    </w:p>
    <w:p w14:paraId="1CAEBEF9">
      <w:pPr>
        <w:spacing w:line="400" w:lineRule="exact"/>
        <w:jc w:val="center"/>
        <w:rPr>
          <w:rFonts w:asciiTheme="minorEastAsia" w:hAnsiTheme="minorEastAsia" w:eastAsiaTheme="minorEastAsia"/>
          <w:color w:val="000000"/>
          <w:szCs w:val="21"/>
          <w:highlight w:val="none"/>
          <w:u w:val="single"/>
        </w:rPr>
      </w:pPr>
    </w:p>
    <w:p w14:paraId="2C2D93AF">
      <w:pPr>
        <w:spacing w:line="360" w:lineRule="auto"/>
        <w:rPr>
          <w:rFonts w:asciiTheme="minorEastAsia" w:hAnsiTheme="minorEastAsia" w:eastAsiaTheme="minorEastAsia"/>
          <w:szCs w:val="21"/>
          <w:highlight w:val="none"/>
        </w:rPr>
      </w:pPr>
    </w:p>
    <w:p w14:paraId="5947BB20">
      <w:pPr>
        <w:spacing w:line="360" w:lineRule="auto"/>
        <w:rPr>
          <w:rFonts w:asciiTheme="minorEastAsia" w:hAnsiTheme="minorEastAsia" w:eastAsiaTheme="minorEastAsia"/>
          <w:sz w:val="24"/>
          <w:highlight w:val="none"/>
        </w:rPr>
      </w:pPr>
    </w:p>
    <w:p w14:paraId="1EF715DB">
      <w:pPr>
        <w:spacing w:line="360" w:lineRule="auto"/>
        <w:ind w:firstLine="420" w:firstLineChars="200"/>
        <w:jc w:val="left"/>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我单位特授权在</w:t>
      </w:r>
      <w:r>
        <w:rPr>
          <w:rFonts w:hint="eastAsia" w:asciiTheme="minorEastAsia" w:hAnsiTheme="minorEastAsia" w:eastAsiaTheme="minorEastAsia"/>
          <w:szCs w:val="21"/>
          <w:highlight w:val="none"/>
          <w:u w:val="single"/>
        </w:rPr>
        <w:t>（采购项目名称）</w:t>
      </w:r>
      <w:r>
        <w:rPr>
          <w:rFonts w:hint="eastAsia" w:asciiTheme="minorEastAsia" w:hAnsiTheme="minorEastAsia" w:eastAsiaTheme="minorEastAsia"/>
          <w:szCs w:val="21"/>
          <w:highlight w:val="none"/>
        </w:rPr>
        <w:t>的资格审查、投标活动中使用“</w:t>
      </w:r>
      <w:r>
        <w:rPr>
          <w:rFonts w:hint="eastAsia" w:asciiTheme="minorEastAsia" w:hAnsiTheme="minorEastAsia" w:eastAsiaTheme="minorEastAsia"/>
          <w:szCs w:val="21"/>
          <w:highlight w:val="none"/>
          <w:u w:val="single"/>
        </w:rPr>
        <w:t>（被授权印章名称）</w:t>
      </w:r>
      <w:r>
        <w:rPr>
          <w:rFonts w:hint="eastAsia" w:asciiTheme="minorEastAsia" w:hAnsiTheme="minorEastAsia" w:eastAsiaTheme="minorEastAsia"/>
          <w:szCs w:val="21"/>
          <w:highlight w:val="none"/>
        </w:rPr>
        <w:t>”，</w:t>
      </w:r>
      <w:r>
        <w:rPr>
          <w:rFonts w:hint="eastAsia" w:asciiTheme="minorEastAsia" w:hAnsiTheme="minorEastAsia" w:eastAsiaTheme="minorEastAsia"/>
          <w:szCs w:val="21"/>
          <w:highlight w:val="none"/>
          <w:u w:val="single"/>
        </w:rPr>
        <w:t>（被授权印章名称）</w:t>
      </w:r>
      <w:r>
        <w:rPr>
          <w:rFonts w:hint="eastAsia" w:asciiTheme="minorEastAsia" w:hAnsiTheme="minorEastAsia" w:eastAsiaTheme="minorEastAsia"/>
          <w:szCs w:val="21"/>
          <w:highlight w:val="none"/>
        </w:rPr>
        <w:t>与我公司公章具有同等法律效力。因使用“</w:t>
      </w:r>
      <w:r>
        <w:rPr>
          <w:rFonts w:hint="eastAsia" w:asciiTheme="minorEastAsia" w:hAnsiTheme="minorEastAsia" w:eastAsiaTheme="minorEastAsia"/>
          <w:szCs w:val="21"/>
          <w:highlight w:val="none"/>
          <w:u w:val="single"/>
        </w:rPr>
        <w:t>（被授权印章名称）</w:t>
      </w:r>
      <w:r>
        <w:rPr>
          <w:rFonts w:hint="eastAsia" w:asciiTheme="minorEastAsia" w:hAnsiTheme="minorEastAsia" w:eastAsiaTheme="minorEastAsia"/>
          <w:szCs w:val="21"/>
          <w:highlight w:val="none"/>
        </w:rPr>
        <w:t>”所引起的法律后果由我单位承担。</w:t>
      </w:r>
    </w:p>
    <w:p w14:paraId="75448FD9">
      <w:pPr>
        <w:spacing w:line="360" w:lineRule="auto"/>
        <w:ind w:firstLine="420" w:firstLineChars="200"/>
        <w:jc w:val="left"/>
        <w:rPr>
          <w:rFonts w:asciiTheme="minorEastAsia" w:hAnsiTheme="minorEastAsia" w:eastAsiaTheme="minorEastAsia"/>
          <w:szCs w:val="21"/>
          <w:highlight w:val="none"/>
        </w:rPr>
      </w:pPr>
    </w:p>
    <w:p w14:paraId="6E2DE9BE">
      <w:pPr>
        <w:spacing w:line="360" w:lineRule="auto"/>
        <w:ind w:firstLine="420" w:firstLineChars="200"/>
        <w:jc w:val="left"/>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特此证明。</w:t>
      </w:r>
    </w:p>
    <w:p w14:paraId="504CCCD4">
      <w:pPr>
        <w:ind w:firstLine="422" w:firstLineChars="200"/>
        <w:rPr>
          <w:rFonts w:asciiTheme="minorEastAsia" w:hAnsiTheme="minorEastAsia" w:eastAsiaTheme="minorEastAsia"/>
          <w:b/>
          <w:szCs w:val="21"/>
          <w:highlight w:val="none"/>
        </w:rPr>
      </w:pPr>
    </w:p>
    <w:p w14:paraId="6DE13389">
      <w:pPr>
        <w:ind w:firstLine="422" w:firstLineChars="200"/>
        <w:rPr>
          <w:rFonts w:asciiTheme="minorEastAsia" w:hAnsiTheme="minorEastAsia" w:eastAsiaTheme="minorEastAsia"/>
          <w:b/>
          <w:szCs w:val="21"/>
          <w:highlight w:val="none"/>
        </w:rPr>
      </w:pPr>
    </w:p>
    <w:p w14:paraId="477D635E">
      <w:pPr>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 xml:space="preserve">投标人被授权印章：                            </w:t>
      </w:r>
    </w:p>
    <w:p w14:paraId="047EC22D">
      <w:pPr>
        <w:rPr>
          <w:rFonts w:asciiTheme="minorEastAsia" w:hAnsiTheme="minorEastAsia" w:eastAsiaTheme="minorEastAsia"/>
          <w:szCs w:val="21"/>
          <w:highlight w:val="none"/>
        </w:rPr>
      </w:pPr>
      <w:r>
        <w:rPr>
          <w:rFonts w:asciiTheme="minorEastAsia" w:hAnsiTheme="minorEastAsia" w:eastAsiaTheme="minorEastAsia"/>
          <w:szCs w:val="21"/>
          <w:highlight w:val="none"/>
        </w:rPr>
        <mc:AlternateContent>
          <mc:Choice Requires="wps">
            <w:drawing>
              <wp:anchor distT="0" distB="0" distL="114300" distR="114300" simplePos="0" relativeHeight="251665408" behindDoc="0" locked="0" layoutInCell="1" allowOverlap="1">
                <wp:simplePos x="0" y="0"/>
                <wp:positionH relativeFrom="column">
                  <wp:posOffset>209550</wp:posOffset>
                </wp:positionH>
                <wp:positionV relativeFrom="paragraph">
                  <wp:posOffset>89535</wp:posOffset>
                </wp:positionV>
                <wp:extent cx="2339975" cy="2339975"/>
                <wp:effectExtent l="4445" t="4445" r="17780" b="17780"/>
                <wp:wrapNone/>
                <wp:docPr id="17" name="矩形 2"/>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14:paraId="2EA62555">
                            <w:r>
                              <w:rPr>
                                <w:rFonts w:hint="eastAsia"/>
                              </w:rPr>
                              <w:t>（在</w:t>
                            </w:r>
                            <w:r>
                              <w:t>此盖章）</w:t>
                            </w:r>
                          </w:p>
                        </w:txbxContent>
                      </wps:txbx>
                      <wps:bodyPr rot="0" vert="horz" wrap="square" lIns="91440" tIns="45720" rIns="91440" bIns="45720" anchor="t" anchorCtr="0" upright="1">
                        <a:noAutofit/>
                      </wps:bodyPr>
                    </wps:wsp>
                  </a:graphicData>
                </a:graphic>
              </wp:anchor>
            </w:drawing>
          </mc:Choice>
          <mc:Fallback>
            <w:pict>
              <v:rect id="矩形 2" o:spid="_x0000_s1026" o:spt="1" style="position:absolute;left:0pt;margin-left:16.5pt;margin-top:7.05pt;height:184.25pt;width:184.25pt;z-index:251665408;mso-width-relative:page;mso-height-relative:page;" fillcolor="#FFFFFF" filled="t" stroked="t" coordsize="21600,21600" o:gfxdata="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oDBxnXAAAACQEAAA8AAAAAAAAAAQAgAAAAIgAAAGRycy9kb3ducmV2&#10;LnhtbFBLAQIUABQAAAAIAIdO4kBiQNsyNgIAAHwEAAAOAAAAAAAAAAEAIAAAACYBAABkcnMvZTJv&#10;RG9jLnhtbFBLBQYAAAAABgAGAFkBAADOBQAAAAA=&#10;">
                <v:fill on="t" focussize="0,0"/>
                <v:stroke color="#000000" miterlimit="8" joinstyle="miter"/>
                <v:imagedata o:title=""/>
                <o:lock v:ext="edit" aspectratio="f"/>
                <v:textbox>
                  <w:txbxContent>
                    <w:p w14:paraId="2EA62555">
                      <w:r>
                        <w:rPr>
                          <w:rFonts w:hint="eastAsia"/>
                        </w:rPr>
                        <w:t>（在</w:t>
                      </w:r>
                      <w:r>
                        <w:t>此盖章）</w:t>
                      </w:r>
                    </w:p>
                  </w:txbxContent>
                </v:textbox>
              </v:rect>
            </w:pict>
          </mc:Fallback>
        </mc:AlternateContent>
      </w:r>
    </w:p>
    <w:p w14:paraId="2ED6C2F8">
      <w:pPr>
        <w:rPr>
          <w:rFonts w:asciiTheme="minorEastAsia" w:hAnsiTheme="minorEastAsia" w:eastAsiaTheme="minorEastAsia"/>
          <w:szCs w:val="21"/>
          <w:highlight w:val="none"/>
        </w:rPr>
      </w:pPr>
    </w:p>
    <w:p w14:paraId="226AD445">
      <w:pPr>
        <w:rPr>
          <w:rFonts w:asciiTheme="minorEastAsia" w:hAnsiTheme="minorEastAsia" w:eastAsiaTheme="minorEastAsia"/>
          <w:szCs w:val="21"/>
          <w:highlight w:val="none"/>
        </w:rPr>
      </w:pPr>
    </w:p>
    <w:p w14:paraId="4A82FEDF">
      <w:pPr>
        <w:rPr>
          <w:rFonts w:asciiTheme="minorEastAsia" w:hAnsiTheme="minorEastAsia" w:eastAsiaTheme="minorEastAsia"/>
          <w:szCs w:val="21"/>
          <w:highlight w:val="none"/>
        </w:rPr>
      </w:pPr>
    </w:p>
    <w:p w14:paraId="3F1FB693">
      <w:pPr>
        <w:rPr>
          <w:rFonts w:asciiTheme="minorEastAsia" w:hAnsiTheme="minorEastAsia" w:eastAsiaTheme="minorEastAsia"/>
          <w:szCs w:val="21"/>
          <w:highlight w:val="none"/>
        </w:rPr>
      </w:pPr>
    </w:p>
    <w:p w14:paraId="69C10C51">
      <w:pPr>
        <w:ind w:firstLine="1259" w:firstLineChars="597"/>
        <w:rPr>
          <w:rFonts w:asciiTheme="minorEastAsia" w:hAnsiTheme="minorEastAsia" w:eastAsiaTheme="minorEastAsia"/>
          <w:b/>
          <w:szCs w:val="21"/>
          <w:highlight w:val="none"/>
        </w:rPr>
      </w:pPr>
    </w:p>
    <w:p w14:paraId="5FA79F43">
      <w:pPr>
        <w:ind w:right="18" w:firstLine="4676" w:firstLineChars="2227"/>
        <w:rPr>
          <w:rFonts w:asciiTheme="minorEastAsia" w:hAnsiTheme="minorEastAsia" w:eastAsiaTheme="minorEastAsia"/>
          <w:szCs w:val="21"/>
          <w:highlight w:val="none"/>
        </w:rPr>
      </w:pPr>
    </w:p>
    <w:p w14:paraId="72608345">
      <w:pPr>
        <w:ind w:right="18" w:firstLine="4676" w:firstLineChars="2227"/>
        <w:rPr>
          <w:rFonts w:asciiTheme="minorEastAsia" w:hAnsiTheme="minorEastAsia" w:eastAsiaTheme="minorEastAsia"/>
          <w:szCs w:val="21"/>
          <w:highlight w:val="none"/>
        </w:rPr>
      </w:pPr>
    </w:p>
    <w:p w14:paraId="7FC729E8">
      <w:pPr>
        <w:ind w:right="18" w:firstLine="4676" w:firstLineChars="2227"/>
        <w:rPr>
          <w:rFonts w:asciiTheme="minorEastAsia" w:hAnsiTheme="minorEastAsia" w:eastAsiaTheme="minorEastAsia"/>
          <w:szCs w:val="21"/>
          <w:highlight w:val="none"/>
        </w:rPr>
      </w:pPr>
    </w:p>
    <w:p w14:paraId="71FBFA25">
      <w:pPr>
        <w:ind w:right="18" w:firstLine="4676" w:firstLineChars="2227"/>
        <w:rPr>
          <w:rFonts w:asciiTheme="minorEastAsia" w:hAnsiTheme="minorEastAsia" w:eastAsiaTheme="minorEastAsia"/>
          <w:szCs w:val="21"/>
          <w:highlight w:val="none"/>
        </w:rPr>
      </w:pPr>
    </w:p>
    <w:p w14:paraId="2EC75C27">
      <w:pPr>
        <w:ind w:right="18" w:firstLine="4676" w:firstLineChars="2227"/>
        <w:rPr>
          <w:rFonts w:asciiTheme="minorEastAsia" w:hAnsiTheme="minorEastAsia" w:eastAsiaTheme="minorEastAsia"/>
          <w:szCs w:val="21"/>
          <w:highlight w:val="none"/>
        </w:rPr>
      </w:pPr>
    </w:p>
    <w:p w14:paraId="5EDAC95E">
      <w:pPr>
        <w:ind w:right="18" w:firstLine="4676" w:firstLineChars="2227"/>
        <w:rPr>
          <w:rFonts w:asciiTheme="minorEastAsia" w:hAnsiTheme="minorEastAsia" w:eastAsiaTheme="minorEastAsia"/>
          <w:szCs w:val="21"/>
          <w:highlight w:val="none"/>
        </w:rPr>
      </w:pPr>
    </w:p>
    <w:p w14:paraId="6786E617">
      <w:pPr>
        <w:ind w:right="18" w:firstLine="4676" w:firstLineChars="2227"/>
        <w:rPr>
          <w:rFonts w:asciiTheme="minorEastAsia" w:hAnsiTheme="minorEastAsia" w:eastAsiaTheme="minorEastAsia"/>
          <w:szCs w:val="21"/>
          <w:highlight w:val="none"/>
        </w:rPr>
      </w:pPr>
    </w:p>
    <w:p w14:paraId="10946DAA">
      <w:pPr>
        <w:ind w:right="18" w:firstLine="4676" w:firstLineChars="2227"/>
        <w:rPr>
          <w:rFonts w:asciiTheme="minorEastAsia" w:hAnsiTheme="minorEastAsia" w:eastAsiaTheme="minorEastAsia"/>
          <w:szCs w:val="21"/>
          <w:highlight w:val="none"/>
        </w:rPr>
      </w:pPr>
    </w:p>
    <w:p w14:paraId="3D165837">
      <w:pPr>
        <w:spacing w:line="440" w:lineRule="exact"/>
        <w:ind w:firstLine="1274" w:firstLineChars="607"/>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投标人名称：</w:t>
      </w:r>
      <w:r>
        <w:rPr>
          <w:rFonts w:hint="eastAsia" w:asciiTheme="minorEastAsia" w:hAnsiTheme="minorEastAsia" w:eastAsiaTheme="minorEastAsia"/>
          <w:szCs w:val="21"/>
          <w:highlight w:val="none"/>
          <w:u w:val="single"/>
        </w:rPr>
        <w:t xml:space="preserve">　　　　　　　　          </w:t>
      </w:r>
      <w:r>
        <w:rPr>
          <w:rFonts w:asciiTheme="minorEastAsia" w:hAnsiTheme="minorEastAsia" w:eastAsiaTheme="minorEastAsia"/>
          <w:szCs w:val="21"/>
          <w:highlight w:val="none"/>
        </w:rPr>
        <w:t>（盖单位公章）</w:t>
      </w:r>
    </w:p>
    <w:p w14:paraId="7CEC9463">
      <w:pPr>
        <w:spacing w:line="440" w:lineRule="exact"/>
        <w:ind w:firstLine="1274" w:firstLineChars="607"/>
        <w:jc w:val="left"/>
        <w:rPr>
          <w:rFonts w:asciiTheme="minorEastAsia" w:hAnsiTheme="minorEastAsia" w:eastAsiaTheme="minorEastAsia"/>
          <w:szCs w:val="21"/>
          <w:highlight w:val="none"/>
        </w:rPr>
      </w:pPr>
      <w:r>
        <w:rPr>
          <w:rFonts w:hint="eastAsia" w:cs="宋体" w:asciiTheme="minorEastAsia" w:hAnsiTheme="minorEastAsia" w:eastAsiaTheme="minorEastAsia"/>
          <w:highlight w:val="none"/>
        </w:rPr>
        <w:t>日期：</w:t>
      </w:r>
      <w:r>
        <w:rPr>
          <w:rFonts w:cs="宋体" w:asciiTheme="minorEastAsia" w:hAnsiTheme="minorEastAsia" w:eastAsiaTheme="minorEastAsia"/>
          <w:highlight w:val="none"/>
          <w:u w:val="single"/>
        </w:rPr>
        <w:t xml:space="preserve">_    </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__ </w:t>
      </w:r>
      <w:r>
        <w:rPr>
          <w:rFonts w:hint="eastAsia" w:cs="宋体" w:asciiTheme="minorEastAsia" w:hAnsiTheme="minorEastAsia" w:eastAsiaTheme="minorEastAsia"/>
          <w:highlight w:val="none"/>
        </w:rPr>
        <w:t>年</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    __</w:t>
      </w:r>
      <w:r>
        <w:rPr>
          <w:rFonts w:hint="eastAsia" w:cs="宋体" w:asciiTheme="minorEastAsia" w:hAnsiTheme="minorEastAsia" w:eastAsiaTheme="minorEastAsia"/>
          <w:highlight w:val="none"/>
        </w:rPr>
        <w:t>月</w:t>
      </w:r>
      <w:r>
        <w:rPr>
          <w:rFonts w:cs="宋体" w:asciiTheme="minorEastAsia" w:hAnsiTheme="minorEastAsia" w:eastAsiaTheme="minorEastAsia"/>
          <w:highlight w:val="none"/>
          <w:u w:val="single"/>
        </w:rPr>
        <w:t>_    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rPr>
        <w:t>日</w:t>
      </w:r>
    </w:p>
    <w:p w14:paraId="12F2AE61">
      <w:pPr>
        <w:ind w:right="18" w:firstLine="4676" w:firstLineChars="2227"/>
        <w:rPr>
          <w:rFonts w:asciiTheme="minorEastAsia" w:hAnsiTheme="minorEastAsia" w:eastAsiaTheme="minorEastAsia"/>
          <w:szCs w:val="21"/>
          <w:highlight w:val="none"/>
        </w:rPr>
      </w:pPr>
    </w:p>
    <w:p w14:paraId="5EFCE828">
      <w:pPr>
        <w:topLinePunct/>
        <w:spacing w:line="440" w:lineRule="exact"/>
        <w:jc w:val="left"/>
        <w:rPr>
          <w:rFonts w:asciiTheme="minorEastAsia" w:hAnsiTheme="minorEastAsia" w:eastAsiaTheme="minorEastAsia"/>
          <w:color w:val="000000"/>
          <w:highlight w:val="none"/>
        </w:rPr>
      </w:pPr>
      <w:r>
        <w:rPr>
          <w:rFonts w:hint="eastAsia" w:asciiTheme="minorEastAsia" w:hAnsiTheme="minorEastAsia" w:eastAsiaTheme="minorEastAsia"/>
          <w:b/>
          <w:color w:val="000000"/>
          <w:highlight w:val="none"/>
        </w:rPr>
        <w:t>编制要求</w:t>
      </w:r>
      <w:r>
        <w:rPr>
          <w:rFonts w:hint="eastAsia" w:asciiTheme="minorEastAsia" w:hAnsiTheme="minorEastAsia" w:eastAsiaTheme="minorEastAsia"/>
          <w:color w:val="000000"/>
          <w:highlight w:val="none"/>
        </w:rPr>
        <w:t>：</w:t>
      </w:r>
    </w:p>
    <w:p w14:paraId="5092B00A">
      <w:pPr>
        <w:topLinePunct/>
        <w:spacing w:line="440" w:lineRule="exact"/>
        <w:jc w:val="left"/>
        <w:rPr>
          <w:rFonts w:asciiTheme="minorEastAsia" w:hAnsiTheme="minorEastAsia" w:eastAsiaTheme="minorEastAsia"/>
          <w:color w:val="000000"/>
          <w:highlight w:val="none"/>
        </w:rPr>
      </w:pPr>
      <w:r>
        <w:rPr>
          <w:rFonts w:hint="eastAsia" w:asciiTheme="minorEastAsia" w:hAnsiTheme="minorEastAsia" w:eastAsiaTheme="minorEastAsia"/>
          <w:color w:val="000000"/>
          <w:highlight w:val="none"/>
        </w:rPr>
        <w:t>1.本文件仅适用于</w:t>
      </w:r>
      <w:r>
        <w:rPr>
          <w:rFonts w:hint="eastAsia" w:asciiTheme="minorEastAsia" w:hAnsiTheme="minorEastAsia" w:eastAsiaTheme="minorEastAsia"/>
          <w:szCs w:val="21"/>
          <w:highlight w:val="none"/>
        </w:rPr>
        <w:t>要求递交加盖印章扫描件的情形</w:t>
      </w:r>
      <w:r>
        <w:rPr>
          <w:rFonts w:hint="eastAsia" w:asciiTheme="minorEastAsia" w:hAnsiTheme="minorEastAsia" w:eastAsiaTheme="minorEastAsia"/>
          <w:color w:val="000000"/>
          <w:highlight w:val="none"/>
        </w:rPr>
        <w:t>。</w:t>
      </w:r>
    </w:p>
    <w:p w14:paraId="60B066BF">
      <w:pPr>
        <w:topLinePunct/>
        <w:spacing w:line="440" w:lineRule="exact"/>
        <w:jc w:val="left"/>
        <w:rPr>
          <w:rFonts w:asciiTheme="minorEastAsia" w:hAnsiTheme="minorEastAsia" w:eastAsiaTheme="minorEastAsia"/>
          <w:color w:val="000000"/>
          <w:szCs w:val="21"/>
          <w:highlight w:val="none"/>
        </w:rPr>
      </w:pPr>
      <w:r>
        <w:rPr>
          <w:rFonts w:hint="eastAsia" w:asciiTheme="minorEastAsia" w:hAnsiTheme="minorEastAsia" w:eastAsiaTheme="minorEastAsia"/>
          <w:color w:val="000000"/>
          <w:highlight w:val="none"/>
        </w:rPr>
        <w:t>2.</w:t>
      </w:r>
      <w:r>
        <w:rPr>
          <w:rFonts w:hint="eastAsia"/>
          <w:highlight w:val="none"/>
        </w:rPr>
        <w:t>除本文件允许投标人进行填写的内容以外，投标人不得对本文件进行修改</w:t>
      </w:r>
      <w:r>
        <w:rPr>
          <w:rFonts w:hint="eastAsia" w:asciiTheme="minorEastAsia" w:hAnsiTheme="minorEastAsia" w:eastAsiaTheme="minorEastAsia"/>
          <w:highlight w:val="none"/>
        </w:rPr>
        <w:t>。</w:t>
      </w:r>
    </w:p>
    <w:p w14:paraId="6B7F388C">
      <w:pPr>
        <w:pStyle w:val="40"/>
        <w:numPr>
          <w:ilvl w:val="0"/>
          <w:numId w:val="57"/>
        </w:numPr>
        <w:tabs>
          <w:tab w:val="left" w:pos="588"/>
        </w:tabs>
        <w:snapToGrid w:val="0"/>
        <w:spacing w:before="120" w:after="120" w:line="440" w:lineRule="exact"/>
        <w:jc w:val="left"/>
        <w:rPr>
          <w:rFonts w:ascii="宋体" w:hAnsi="宋体"/>
          <w:sz w:val="24"/>
          <w:szCs w:val="24"/>
          <w:highlight w:val="none"/>
        </w:rPr>
        <w:sectPr>
          <w:pgSz w:w="11906" w:h="16838"/>
          <w:pgMar w:top="1440" w:right="1800" w:bottom="1440" w:left="1800" w:header="851" w:footer="992" w:gutter="0"/>
          <w:pgNumType w:fmt="decimal"/>
          <w:cols w:space="425" w:num="1"/>
          <w:docGrid w:type="lines" w:linePitch="312" w:charSpace="0"/>
        </w:sectPr>
      </w:pPr>
    </w:p>
    <w:p w14:paraId="2695590E">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68" w:name="_Toc11088"/>
      <w:r>
        <w:rPr>
          <w:rFonts w:hint="eastAsia" w:ascii="宋体" w:hAnsi="宋体"/>
          <w:sz w:val="24"/>
          <w:szCs w:val="24"/>
          <w:highlight w:val="none"/>
        </w:rPr>
        <w:t>投标函</w:t>
      </w:r>
      <w:bookmarkEnd w:id="1065"/>
      <w:bookmarkEnd w:id="1066"/>
      <w:bookmarkEnd w:id="1067"/>
      <w:bookmarkEnd w:id="1068"/>
    </w:p>
    <w:p w14:paraId="0DD7430C">
      <w:pPr>
        <w:pStyle w:val="56"/>
        <w:ind w:firstLine="0" w:firstLineChars="0"/>
        <w:jc w:val="center"/>
        <w:rPr>
          <w:rFonts w:ascii="宋体" w:hAnsi="宋体"/>
          <w:b/>
          <w:sz w:val="24"/>
          <w:highlight w:val="none"/>
        </w:rPr>
      </w:pPr>
      <w:r>
        <w:rPr>
          <w:rFonts w:hint="eastAsia" w:ascii="宋体" w:hAnsi="宋体"/>
          <w:b/>
          <w:sz w:val="24"/>
          <w:highlight w:val="none"/>
        </w:rPr>
        <w:t>投  标  函</w:t>
      </w:r>
    </w:p>
    <w:p w14:paraId="2E20465F">
      <w:pPr>
        <w:adjustRightInd w:val="0"/>
        <w:snapToGrid w:val="0"/>
        <w:spacing w:line="440" w:lineRule="exact"/>
        <w:jc w:val="left"/>
        <w:rPr>
          <w:rFonts w:cs="宋体" w:asciiTheme="minorEastAsia" w:hAnsiTheme="minorEastAsia" w:eastAsiaTheme="minorEastAsia"/>
          <w:szCs w:val="21"/>
          <w:highlight w:val="none"/>
        </w:rPr>
      </w:pPr>
      <w:bookmarkStart w:id="1069" w:name="_Toc475472674"/>
      <w:bookmarkStart w:id="1070" w:name="_Toc38008082"/>
      <w:r>
        <w:rPr>
          <w:rFonts w:hint="eastAsia" w:cs="宋体" w:asciiTheme="minorEastAsia" w:hAnsiTheme="minorEastAsia" w:eastAsiaTheme="minorEastAsia"/>
          <w:szCs w:val="21"/>
          <w:highlight w:val="none"/>
        </w:rPr>
        <w:t>致：</w:t>
      </w:r>
      <w:r>
        <w:rPr>
          <w:rFonts w:hint="eastAsia" w:asciiTheme="minorEastAsia" w:hAnsiTheme="minorEastAsia" w:eastAsiaTheme="minorEastAsia"/>
          <w:szCs w:val="21"/>
          <w:highlight w:val="none"/>
        </w:rPr>
        <w:t>【</w:t>
      </w:r>
      <w:r>
        <w:rPr>
          <w:rFonts w:hint="eastAsia" w:asciiTheme="minorEastAsia" w:hAnsiTheme="minorEastAsia" w:eastAsiaTheme="minorEastAsia"/>
          <w:highlight w:val="none"/>
          <w:u w:val="single"/>
        </w:rPr>
        <w:t>XX公司[招标人名称]</w:t>
      </w:r>
      <w:r>
        <w:rPr>
          <w:rFonts w:hint="eastAsia" w:asciiTheme="minorEastAsia" w:hAnsiTheme="minorEastAsia" w:eastAsiaTheme="minorEastAsia"/>
          <w:szCs w:val="21"/>
          <w:highlight w:val="none"/>
        </w:rPr>
        <w:t>】</w:t>
      </w:r>
      <w:r>
        <w:rPr>
          <w:rFonts w:cs="宋体" w:asciiTheme="minorEastAsia" w:hAnsiTheme="minorEastAsia" w:eastAsiaTheme="minorEastAsia"/>
          <w:szCs w:val="21"/>
          <w:highlight w:val="none"/>
        </w:rPr>
        <w:t>：</w:t>
      </w:r>
    </w:p>
    <w:p w14:paraId="6AFC51E6">
      <w:pPr>
        <w:spacing w:line="44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u w:val="single"/>
        </w:rPr>
        <w:t xml:space="preserve">      （投标人名称）</w:t>
      </w:r>
      <w:r>
        <w:rPr>
          <w:rFonts w:hint="eastAsia" w:asciiTheme="minorEastAsia" w:hAnsiTheme="minorEastAsia" w:eastAsiaTheme="minorEastAsia"/>
          <w:szCs w:val="21"/>
          <w:highlight w:val="none"/>
        </w:rPr>
        <w:t>（以下称“我方”）</w:t>
      </w:r>
      <w:r>
        <w:rPr>
          <w:rFonts w:asciiTheme="minorEastAsia" w:hAnsiTheme="minorEastAsia" w:eastAsiaTheme="minorEastAsia"/>
          <w:szCs w:val="21"/>
          <w:highlight w:val="none"/>
        </w:rPr>
        <w:t>已仔细研究了</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szCs w:val="21"/>
          <w:highlight w:val="none"/>
        </w:rPr>
        <w:t>招标项目名称）标包（招标编号：）</w:t>
      </w:r>
      <w:r>
        <w:rPr>
          <w:rFonts w:asciiTheme="minorEastAsia" w:hAnsiTheme="minorEastAsia" w:eastAsiaTheme="minorEastAsia"/>
          <w:szCs w:val="21"/>
          <w:highlight w:val="none"/>
        </w:rPr>
        <w:t>招标文件的全部内容</w:t>
      </w:r>
      <w:r>
        <w:rPr>
          <w:rFonts w:hint="eastAsia" w:asciiTheme="minorEastAsia" w:hAnsiTheme="minorEastAsia" w:eastAsiaTheme="minorEastAsia"/>
          <w:szCs w:val="21"/>
          <w:highlight w:val="none"/>
        </w:rPr>
        <w:t>，</w:t>
      </w:r>
      <w:r>
        <w:rPr>
          <w:rFonts w:asciiTheme="minorEastAsia" w:hAnsiTheme="minorEastAsia" w:eastAsiaTheme="minorEastAsia"/>
          <w:bCs/>
          <w:szCs w:val="21"/>
          <w:highlight w:val="none"/>
        </w:rPr>
        <w:t>包括</w:t>
      </w:r>
      <w:r>
        <w:rPr>
          <w:rFonts w:hint="eastAsia" w:asciiTheme="minorEastAsia" w:hAnsiTheme="minorEastAsia" w:eastAsiaTheme="minorEastAsia"/>
          <w:bCs/>
          <w:szCs w:val="21"/>
          <w:highlight w:val="none"/>
        </w:rPr>
        <w:t>澄清或者</w:t>
      </w:r>
      <w:r>
        <w:rPr>
          <w:rFonts w:asciiTheme="minorEastAsia" w:hAnsiTheme="minorEastAsia" w:eastAsiaTheme="minorEastAsia"/>
          <w:bCs/>
          <w:szCs w:val="21"/>
          <w:highlight w:val="none"/>
        </w:rPr>
        <w:t>修改文件</w:t>
      </w:r>
      <w:r>
        <w:rPr>
          <w:rFonts w:hint="eastAsia" w:asciiTheme="minorEastAsia" w:hAnsiTheme="minorEastAsia" w:eastAsiaTheme="minorEastAsia"/>
          <w:bCs/>
          <w:szCs w:val="21"/>
          <w:highlight w:val="none"/>
        </w:rPr>
        <w:t>以及</w:t>
      </w:r>
      <w:r>
        <w:rPr>
          <w:rFonts w:asciiTheme="minorEastAsia" w:hAnsiTheme="minorEastAsia" w:eastAsiaTheme="minorEastAsia"/>
          <w:bCs/>
          <w:szCs w:val="21"/>
          <w:highlight w:val="none"/>
        </w:rPr>
        <w:t>有关附件</w:t>
      </w:r>
      <w:r>
        <w:rPr>
          <w:rFonts w:asciiTheme="minorEastAsia" w:hAnsiTheme="minorEastAsia" w:eastAsiaTheme="minorEastAsia"/>
          <w:szCs w:val="21"/>
          <w:highlight w:val="none"/>
        </w:rPr>
        <w:t>，</w:t>
      </w:r>
      <w:r>
        <w:rPr>
          <w:rFonts w:hint="eastAsia" w:asciiTheme="minorEastAsia" w:hAnsiTheme="minorEastAsia" w:eastAsiaTheme="minorEastAsia"/>
          <w:szCs w:val="21"/>
          <w:highlight w:val="none"/>
        </w:rPr>
        <w:t>我方将严格按照招标文件要求递交符合要求的全部投标文件。</w:t>
      </w:r>
    </w:p>
    <w:p w14:paraId="133503F2">
      <w:pPr>
        <w:spacing w:line="44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我方承诺如下内容：</w:t>
      </w:r>
    </w:p>
    <w:p w14:paraId="30A65236">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我方的投标文件包含第二章“投标人须知”第3.1款规定的全部内容。</w:t>
      </w:r>
    </w:p>
    <w:p w14:paraId="5E9FABA8">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asciiTheme="minorEastAsia" w:hAnsiTheme="minorEastAsia" w:eastAsiaTheme="minorEastAsia"/>
          <w:szCs w:val="21"/>
          <w:highlight w:val="none"/>
        </w:rPr>
        <w:t>我方承诺在</w:t>
      </w:r>
      <w:r>
        <w:rPr>
          <w:rFonts w:hint="eastAsia" w:asciiTheme="minorEastAsia" w:hAnsiTheme="minorEastAsia" w:eastAsiaTheme="minorEastAsia"/>
          <w:szCs w:val="21"/>
          <w:highlight w:val="none"/>
        </w:rPr>
        <w:t>招标文件规定的</w:t>
      </w:r>
      <w:r>
        <w:rPr>
          <w:rFonts w:asciiTheme="minorEastAsia" w:hAnsiTheme="minorEastAsia" w:eastAsiaTheme="minorEastAsia"/>
          <w:szCs w:val="21"/>
          <w:highlight w:val="none"/>
        </w:rPr>
        <w:t>投标有效期内不修改、撤销投标文件。</w:t>
      </w:r>
    </w:p>
    <w:p w14:paraId="10A4065F">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asciiTheme="minorEastAsia" w:hAnsiTheme="minorEastAsia" w:eastAsiaTheme="minorEastAsia"/>
          <w:szCs w:val="21"/>
          <w:highlight w:val="none"/>
        </w:rPr>
        <w:t>随同本投标函递交投标保证金一份，金额为人民币（大写）（¥ ）。</w:t>
      </w:r>
    </w:p>
    <w:p w14:paraId="37B0EEFD">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我方承诺如果在规定的开标时间后，在投标有效期内撤销投标，我方自愿接受招标人做出的不予退还我方投标保证金的决定。</w:t>
      </w:r>
    </w:p>
    <w:p w14:paraId="77A4AF9D">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我方在评标过程中根据评标委员会要求提供的符合相关规定的澄清文件，构成投标文件的组成部分。</w:t>
      </w:r>
    </w:p>
    <w:p w14:paraId="7B0271B4">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我方同意提供贵方可能要求的与投标有关的一切数据或者资料，并完全理解贵方不一定接受最低价的投标。</w:t>
      </w:r>
    </w:p>
    <w:p w14:paraId="0788DE2D">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我方承诺不向第三方透露与招标相关的所有信息。</w:t>
      </w:r>
    </w:p>
    <w:p w14:paraId="53A0CF62">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【我方承诺接受最新的《中国电信供应商不良行为管理规则》，</w:t>
      </w:r>
      <w:r>
        <w:rPr>
          <w:rFonts w:asciiTheme="minorEastAsia" w:hAnsiTheme="minorEastAsia" w:eastAsiaTheme="minorEastAsia"/>
          <w:szCs w:val="21"/>
          <w:highlight w:val="none"/>
        </w:rPr>
        <w:t>内容详见：</w:t>
      </w:r>
      <w:r>
        <w:rPr>
          <w:rFonts w:hint="eastAsia" w:asciiTheme="minorEastAsia" w:hAnsiTheme="minorEastAsia" w:eastAsiaTheme="minorEastAsia"/>
          <w:szCs w:val="21"/>
          <w:highlight w:val="none"/>
        </w:rPr>
        <w:t>招标文件第七章。本项承诺自本函签署之日起生效，长期有效，不受投标有效期的约束，其效力独立存在，不可撤销。】</w:t>
      </w:r>
    </w:p>
    <w:p w14:paraId="6E7CEC98">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asciiTheme="minorEastAsia" w:hAnsiTheme="minorEastAsia" w:eastAsiaTheme="minorEastAsia"/>
          <w:szCs w:val="21"/>
          <w:highlight w:val="none"/>
        </w:rPr>
        <w:t>如我方中标：</w:t>
      </w:r>
    </w:p>
    <w:p w14:paraId="21C58C5C">
      <w:pPr>
        <w:pStyle w:val="56"/>
        <w:numPr>
          <w:ilvl w:val="0"/>
          <w:numId w:val="59"/>
        </w:numPr>
        <w:tabs>
          <w:tab w:val="left" w:pos="993"/>
        </w:tabs>
        <w:spacing w:line="440" w:lineRule="exact"/>
        <w:ind w:left="0" w:firstLine="426" w:firstLineChars="0"/>
        <w:rPr>
          <w:rFonts w:asciiTheme="minorEastAsia" w:hAnsiTheme="minorEastAsia" w:eastAsiaTheme="minorEastAsia"/>
          <w:szCs w:val="21"/>
          <w:highlight w:val="none"/>
        </w:rPr>
      </w:pPr>
      <w:r>
        <w:rPr>
          <w:rFonts w:asciiTheme="minorEastAsia" w:hAnsiTheme="minorEastAsia" w:eastAsiaTheme="minorEastAsia"/>
          <w:szCs w:val="21"/>
          <w:highlight w:val="none"/>
        </w:rPr>
        <w:t>我方承诺在收到中标通知书后，在中标通知书规定的期限内与你方签订合同。</w:t>
      </w:r>
    </w:p>
    <w:p w14:paraId="2F0DC65F">
      <w:pPr>
        <w:pStyle w:val="56"/>
        <w:numPr>
          <w:ilvl w:val="0"/>
          <w:numId w:val="59"/>
        </w:numPr>
        <w:tabs>
          <w:tab w:val="left" w:pos="993"/>
        </w:tabs>
        <w:spacing w:line="440" w:lineRule="exact"/>
        <w:ind w:firstLineChars="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我方承诺不在签订合同时提出任何附加条件。</w:t>
      </w:r>
    </w:p>
    <w:p w14:paraId="2DA35827">
      <w:pPr>
        <w:pStyle w:val="56"/>
        <w:numPr>
          <w:ilvl w:val="0"/>
          <w:numId w:val="59"/>
        </w:numPr>
        <w:tabs>
          <w:tab w:val="left" w:pos="993"/>
        </w:tabs>
        <w:spacing w:line="440" w:lineRule="exact"/>
        <w:ind w:firstLineChars="0"/>
        <w:rPr>
          <w:rFonts w:asciiTheme="minorEastAsia" w:hAnsiTheme="minorEastAsia" w:eastAsiaTheme="minorEastAsia"/>
          <w:szCs w:val="21"/>
          <w:highlight w:val="none"/>
        </w:rPr>
      </w:pPr>
      <w:r>
        <w:rPr>
          <w:rFonts w:asciiTheme="minorEastAsia" w:hAnsiTheme="minorEastAsia" w:eastAsiaTheme="minorEastAsia"/>
          <w:szCs w:val="21"/>
          <w:highlight w:val="none"/>
        </w:rPr>
        <w:t>我方承诺按照招标文件规定递交履约</w:t>
      </w:r>
      <w:r>
        <w:rPr>
          <w:rFonts w:hint="eastAsia" w:asciiTheme="minorEastAsia" w:hAnsiTheme="minorEastAsia" w:eastAsiaTheme="minorEastAsia"/>
          <w:szCs w:val="21"/>
          <w:highlight w:val="none"/>
        </w:rPr>
        <w:t>保证金或履约保函、支付招标代理服务费</w:t>
      </w:r>
      <w:r>
        <w:rPr>
          <w:rFonts w:asciiTheme="minorEastAsia" w:hAnsiTheme="minorEastAsia" w:eastAsiaTheme="minorEastAsia"/>
          <w:szCs w:val="21"/>
          <w:highlight w:val="none"/>
        </w:rPr>
        <w:t>。</w:t>
      </w:r>
    </w:p>
    <w:p w14:paraId="356AF4F9">
      <w:pPr>
        <w:pStyle w:val="56"/>
        <w:numPr>
          <w:ilvl w:val="0"/>
          <w:numId w:val="59"/>
        </w:numPr>
        <w:tabs>
          <w:tab w:val="left" w:pos="993"/>
        </w:tabs>
        <w:spacing w:line="440" w:lineRule="exact"/>
        <w:ind w:firstLineChars="0"/>
        <w:rPr>
          <w:rFonts w:asciiTheme="minorEastAsia" w:hAnsiTheme="minorEastAsia" w:eastAsiaTheme="minorEastAsia"/>
          <w:szCs w:val="21"/>
          <w:highlight w:val="none"/>
        </w:rPr>
      </w:pPr>
      <w:r>
        <w:rPr>
          <w:rFonts w:asciiTheme="minorEastAsia" w:hAnsiTheme="minorEastAsia" w:eastAsiaTheme="minorEastAsia"/>
          <w:szCs w:val="21"/>
          <w:highlight w:val="none"/>
        </w:rPr>
        <w:t>我方承诺</w:t>
      </w:r>
      <w:r>
        <w:rPr>
          <w:rFonts w:hint="eastAsia" w:asciiTheme="minorEastAsia" w:hAnsiTheme="minorEastAsia" w:eastAsiaTheme="minorEastAsia"/>
          <w:szCs w:val="21"/>
          <w:highlight w:val="none"/>
        </w:rPr>
        <w:t>按照招标文件的规定及合同约定履行相关责任和义务,不将中标项目转包、违法分包。</w:t>
      </w:r>
    </w:p>
    <w:p w14:paraId="5B05F828">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14:paraId="31D798F2">
      <w:pPr>
        <w:spacing w:line="44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我方在此声明，所递交的投标文件及有关资料内容完整、真实和准确，且不存在第二章“投标人须知”第1.8款规定的任何一种情形。</w:t>
      </w:r>
      <w:r>
        <w:rPr>
          <w:rFonts w:asciiTheme="minorEastAsia" w:hAnsiTheme="minorEastAsia" w:eastAsiaTheme="minorEastAsia"/>
          <w:szCs w:val="21"/>
          <w:highlight w:val="none"/>
        </w:rPr>
        <w:t>如有弄虚作假，将承担相应的法律责任，并赔偿由此造成的一切损失。</w:t>
      </w:r>
    </w:p>
    <w:p w14:paraId="62FDFF77">
      <w:pPr>
        <w:pStyle w:val="56"/>
        <w:numPr>
          <w:ilvl w:val="3"/>
          <w:numId w:val="58"/>
        </w:numPr>
        <w:tabs>
          <w:tab w:val="left" w:pos="709"/>
        </w:tabs>
        <w:spacing w:line="440" w:lineRule="exact"/>
        <w:ind w:left="0"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其他</w:t>
      </w:r>
      <w:r>
        <w:rPr>
          <w:rFonts w:asciiTheme="minorEastAsia" w:hAnsiTheme="minorEastAsia" w:eastAsiaTheme="minorEastAsia"/>
          <w:szCs w:val="21"/>
          <w:highlight w:val="none"/>
        </w:rPr>
        <w:t>补充说明</w:t>
      </w:r>
      <w:r>
        <w:rPr>
          <w:rFonts w:hint="eastAsia" w:asciiTheme="minorEastAsia" w:hAnsiTheme="minorEastAsia" w:eastAsiaTheme="minorEastAsia"/>
          <w:szCs w:val="21"/>
          <w:highlight w:val="none"/>
        </w:rPr>
        <w:t>：【我方承诺按照招标人要求在</w:t>
      </w:r>
      <w:r>
        <w:rPr>
          <w:highlight w:val="none"/>
        </w:rPr>
        <w:t>中国电信阳光采购网</w:t>
      </w:r>
      <w:r>
        <w:rPr>
          <w:rFonts w:hint="eastAsia" w:asciiTheme="minorEastAsia" w:hAnsiTheme="minorEastAsia" w:eastAsiaTheme="minorEastAsia"/>
          <w:szCs w:val="21"/>
          <w:highlight w:val="none"/>
        </w:rPr>
        <w:t>进行供应商注册。】</w:t>
      </w:r>
    </w:p>
    <w:p w14:paraId="33CA6414">
      <w:pPr>
        <w:spacing w:line="440" w:lineRule="exact"/>
        <w:ind w:firstLine="1134" w:firstLineChars="54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投标人名称：</w:t>
      </w:r>
      <w:r>
        <w:rPr>
          <w:rFonts w:hint="eastAsia" w:asciiTheme="minorEastAsia" w:hAnsiTheme="minorEastAsia" w:eastAsiaTheme="minorEastAsia"/>
          <w:szCs w:val="21"/>
          <w:highlight w:val="none"/>
          <w:u w:val="single"/>
        </w:rPr>
        <w:t xml:space="preserve">　　　　　　　　               </w:t>
      </w:r>
    </w:p>
    <w:p w14:paraId="66811FD0">
      <w:pPr>
        <w:spacing w:line="440" w:lineRule="exact"/>
        <w:ind w:firstLine="1134" w:firstLineChars="540"/>
        <w:rPr>
          <w:rFonts w:asciiTheme="minorEastAsia" w:hAnsiTheme="minorEastAsia" w:eastAsiaTheme="minorEastAsia"/>
          <w:szCs w:val="21"/>
          <w:highlight w:val="none"/>
          <w:u w:val="single"/>
        </w:rPr>
      </w:pPr>
      <w:r>
        <w:rPr>
          <w:rFonts w:asciiTheme="minorEastAsia" w:hAnsiTheme="minorEastAsia" w:eastAsiaTheme="minorEastAsia"/>
          <w:szCs w:val="21"/>
          <w:highlight w:val="none"/>
        </w:rPr>
        <w:t>地址：</w:t>
      </w:r>
      <w:r>
        <w:rPr>
          <w:rFonts w:hint="eastAsia" w:asciiTheme="minorEastAsia" w:hAnsiTheme="minorEastAsia" w:eastAsiaTheme="minorEastAsia"/>
          <w:szCs w:val="21"/>
          <w:highlight w:val="none"/>
          <w:u w:val="single"/>
        </w:rPr>
        <w:t xml:space="preserve">                                     </w:t>
      </w:r>
    </w:p>
    <w:p w14:paraId="778B9869">
      <w:pPr>
        <w:spacing w:line="440" w:lineRule="exact"/>
        <w:ind w:firstLine="1134" w:firstLineChars="54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邮政编码：</w:t>
      </w:r>
      <w:r>
        <w:rPr>
          <w:rFonts w:hint="eastAsia" w:asciiTheme="minorEastAsia" w:hAnsiTheme="minorEastAsia" w:eastAsiaTheme="minorEastAsia"/>
          <w:szCs w:val="21"/>
          <w:highlight w:val="none"/>
          <w:u w:val="single"/>
        </w:rPr>
        <w:t xml:space="preserve">                                 </w:t>
      </w:r>
    </w:p>
    <w:p w14:paraId="04C12314">
      <w:pPr>
        <w:spacing w:line="440" w:lineRule="exact"/>
        <w:ind w:firstLine="1134" w:firstLineChars="540"/>
        <w:rPr>
          <w:rFonts w:asciiTheme="minorEastAsia" w:hAnsiTheme="minorEastAsia" w:eastAsiaTheme="minorEastAsia"/>
          <w:szCs w:val="21"/>
          <w:highlight w:val="none"/>
        </w:rPr>
      </w:pPr>
      <w:r>
        <w:rPr>
          <w:rFonts w:asciiTheme="minorEastAsia" w:hAnsiTheme="minorEastAsia" w:eastAsiaTheme="minorEastAsia"/>
          <w:szCs w:val="21"/>
          <w:highlight w:val="none"/>
        </w:rPr>
        <w:t>电话：</w:t>
      </w:r>
      <w:r>
        <w:rPr>
          <w:rFonts w:hint="eastAsia" w:asciiTheme="minorEastAsia" w:hAnsiTheme="minorEastAsia" w:eastAsiaTheme="minorEastAsia"/>
          <w:szCs w:val="21"/>
          <w:highlight w:val="none"/>
          <w:u w:val="single"/>
        </w:rPr>
        <w:t xml:space="preserve">                                     </w:t>
      </w:r>
    </w:p>
    <w:p w14:paraId="27C06039">
      <w:pPr>
        <w:spacing w:line="440" w:lineRule="exact"/>
        <w:ind w:firstLine="1134" w:firstLineChars="54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电子邮箱</w:t>
      </w:r>
      <w:r>
        <w:rPr>
          <w:rFonts w:asciiTheme="minorEastAsia" w:hAnsiTheme="minorEastAsia" w:eastAsiaTheme="minorEastAsia"/>
          <w:szCs w:val="21"/>
          <w:highlight w:val="none"/>
        </w:rPr>
        <w:t>：</w:t>
      </w:r>
      <w:r>
        <w:rPr>
          <w:rFonts w:hint="eastAsia" w:asciiTheme="minorEastAsia" w:hAnsiTheme="minorEastAsia" w:eastAsiaTheme="minorEastAsia"/>
          <w:szCs w:val="21"/>
          <w:highlight w:val="none"/>
          <w:u w:val="single"/>
        </w:rPr>
        <w:t xml:space="preserve">                                 </w:t>
      </w:r>
    </w:p>
    <w:p w14:paraId="1D6B38C8">
      <w:pPr>
        <w:spacing w:line="400" w:lineRule="exact"/>
        <w:ind w:firstLine="1134" w:firstLineChars="540"/>
        <w:rPr>
          <w:rFonts w:asciiTheme="minorEastAsia" w:hAnsiTheme="minorEastAsia" w:eastAsiaTheme="minorEastAsia"/>
          <w:highlight w:val="none"/>
        </w:rPr>
      </w:pPr>
      <w:r>
        <w:rPr>
          <w:rFonts w:hint="eastAsia" w:asciiTheme="minorEastAsia" w:hAnsiTheme="minorEastAsia" w:eastAsiaTheme="minorEastAsia"/>
          <w:highlight w:val="none"/>
        </w:rPr>
        <w:t>日期：</w:t>
      </w:r>
      <w:r>
        <w:rPr>
          <w:rFonts w:hint="eastAsia" w:asciiTheme="minorEastAsia" w:hAnsiTheme="minorEastAsia" w:eastAsiaTheme="minorEastAsia"/>
          <w:highlight w:val="none"/>
          <w:u w:val="single"/>
        </w:rPr>
        <w:t xml:space="preserve">          </w:t>
      </w:r>
      <w:r>
        <w:rPr>
          <w:rFonts w:hint="eastAsia" w:asciiTheme="minorEastAsia" w:hAnsiTheme="minorEastAsia" w:eastAsiaTheme="minorEastAsia"/>
          <w:highlight w:val="none"/>
        </w:rPr>
        <w:t>年</w:t>
      </w:r>
      <w:r>
        <w:rPr>
          <w:rFonts w:hint="eastAsia" w:asciiTheme="minorEastAsia" w:hAnsiTheme="minorEastAsia" w:eastAsiaTheme="minorEastAsia"/>
          <w:highlight w:val="none"/>
          <w:u w:val="single"/>
        </w:rPr>
        <w:t xml:space="preserve">        </w:t>
      </w:r>
      <w:r>
        <w:rPr>
          <w:rFonts w:hint="eastAsia" w:asciiTheme="minorEastAsia" w:hAnsiTheme="minorEastAsia" w:eastAsiaTheme="minorEastAsia"/>
          <w:highlight w:val="none"/>
        </w:rPr>
        <w:t>月</w:t>
      </w:r>
      <w:r>
        <w:rPr>
          <w:rFonts w:hint="eastAsia" w:asciiTheme="minorEastAsia" w:hAnsiTheme="minorEastAsia" w:eastAsiaTheme="minorEastAsia"/>
          <w:highlight w:val="none"/>
          <w:u w:val="single"/>
        </w:rPr>
        <w:t xml:space="preserve">       </w:t>
      </w:r>
      <w:r>
        <w:rPr>
          <w:rFonts w:hint="eastAsia" w:asciiTheme="minorEastAsia" w:hAnsiTheme="minorEastAsia" w:eastAsiaTheme="minorEastAsia"/>
          <w:highlight w:val="none"/>
        </w:rPr>
        <w:t>日</w:t>
      </w:r>
    </w:p>
    <w:p w14:paraId="105417E4">
      <w:pPr>
        <w:ind w:firstLine="1134" w:firstLineChars="540"/>
        <w:rPr>
          <w:rFonts w:asciiTheme="minorEastAsia" w:hAnsiTheme="minorEastAsia" w:eastAsiaTheme="minorEastAsia"/>
          <w:highlight w:val="none"/>
        </w:rPr>
      </w:pPr>
    </w:p>
    <w:p w14:paraId="1C713AE3">
      <w:pPr>
        <w:ind w:firstLine="2835" w:firstLineChars="1350"/>
        <w:rPr>
          <w:rFonts w:asciiTheme="minorEastAsia" w:hAnsiTheme="minorEastAsia" w:eastAsiaTheme="minorEastAsia"/>
          <w:highlight w:val="none"/>
        </w:rPr>
      </w:pPr>
    </w:p>
    <w:p w14:paraId="266AFF06">
      <w:pPr>
        <w:topLinePunct/>
        <w:spacing w:line="440" w:lineRule="exact"/>
        <w:jc w:val="left"/>
        <w:rPr>
          <w:rFonts w:asciiTheme="minorEastAsia" w:hAnsiTheme="minorEastAsia" w:eastAsiaTheme="minorEastAsia"/>
          <w:highlight w:val="none"/>
        </w:rPr>
        <w:sectPr>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r>
        <w:rPr>
          <w:rFonts w:hint="eastAsia" w:asciiTheme="minorEastAsia" w:hAnsiTheme="minorEastAsia" w:eastAsiaTheme="minorEastAsia"/>
          <w:highlight w:val="none"/>
        </w:rPr>
        <w:t>。</w:t>
      </w:r>
    </w:p>
    <w:p w14:paraId="71CEC577">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71" w:name="_Toc27991"/>
      <w:r>
        <w:rPr>
          <w:rFonts w:ascii="宋体" w:hAnsi="宋体"/>
          <w:sz w:val="24"/>
          <w:szCs w:val="24"/>
          <w:highlight w:val="none"/>
        </w:rPr>
        <w:t>法定代表人/负责人身份证明</w:t>
      </w:r>
      <w:bookmarkEnd w:id="1069"/>
      <w:bookmarkEnd w:id="1070"/>
      <w:bookmarkEnd w:id="1071"/>
    </w:p>
    <w:p w14:paraId="57B9CD61">
      <w:pPr>
        <w:jc w:val="center"/>
        <w:rPr>
          <w:rFonts w:ascii="宋体" w:hAnsi="宋体" w:cs="宋体"/>
          <w:b/>
          <w:sz w:val="24"/>
          <w:highlight w:val="none"/>
        </w:rPr>
      </w:pPr>
    </w:p>
    <w:p w14:paraId="10F3D2FC">
      <w:pPr>
        <w:jc w:val="center"/>
        <w:rPr>
          <w:rFonts w:cs="宋体" w:asciiTheme="minorEastAsia" w:hAnsiTheme="minorEastAsia" w:eastAsiaTheme="minorEastAsia"/>
          <w:b/>
          <w:sz w:val="24"/>
          <w:highlight w:val="none"/>
        </w:rPr>
      </w:pPr>
      <w:r>
        <w:rPr>
          <w:rFonts w:hint="eastAsia" w:cs="宋体" w:asciiTheme="minorEastAsia" w:hAnsiTheme="minorEastAsia" w:eastAsiaTheme="minorEastAsia"/>
          <w:b/>
          <w:sz w:val="24"/>
          <w:highlight w:val="none"/>
        </w:rPr>
        <w:t>法定代表人/负责人身份证明</w:t>
      </w:r>
    </w:p>
    <w:p w14:paraId="72394BB4">
      <w:pPr>
        <w:spacing w:line="440" w:lineRule="exact"/>
        <w:rPr>
          <w:rFonts w:asciiTheme="minorEastAsia" w:hAnsiTheme="minorEastAsia" w:eastAsiaTheme="minorEastAsia"/>
          <w:szCs w:val="21"/>
          <w:highlight w:val="none"/>
        </w:rPr>
      </w:pPr>
    </w:p>
    <w:p w14:paraId="00154F20">
      <w:pPr>
        <w:topLinePunct/>
        <w:snapToGrid w:val="0"/>
        <w:spacing w:line="440" w:lineRule="exact"/>
        <w:rPr>
          <w:rFonts w:asciiTheme="minorEastAsia" w:hAnsiTheme="minorEastAsia" w:eastAsiaTheme="minorEastAsia"/>
          <w:bCs/>
          <w:szCs w:val="21"/>
          <w:highlight w:val="none"/>
          <w:u w:val="single"/>
        </w:rPr>
      </w:pPr>
      <w:r>
        <w:rPr>
          <w:rFonts w:hint="eastAsia" w:asciiTheme="minorEastAsia" w:hAnsiTheme="minorEastAsia" w:eastAsiaTheme="minorEastAsia"/>
          <w:bCs/>
          <w:szCs w:val="21"/>
          <w:highlight w:val="none"/>
        </w:rPr>
        <w:t>投标</w:t>
      </w:r>
      <w:r>
        <w:rPr>
          <w:rFonts w:asciiTheme="minorEastAsia" w:hAnsiTheme="minorEastAsia" w:eastAsiaTheme="minorEastAsia"/>
          <w:bCs/>
          <w:szCs w:val="21"/>
          <w:highlight w:val="none"/>
        </w:rPr>
        <w:t>人名称：</w:t>
      </w:r>
      <w:r>
        <w:rPr>
          <w:rFonts w:hint="eastAsia" w:asciiTheme="minorEastAsia" w:hAnsiTheme="minorEastAsia" w:eastAsiaTheme="minorEastAsia"/>
          <w:bCs/>
          <w:szCs w:val="21"/>
          <w:highlight w:val="none"/>
          <w:u w:val="single"/>
        </w:rPr>
        <w:t xml:space="preserve">                       </w:t>
      </w:r>
    </w:p>
    <w:p w14:paraId="6D0EF6CC">
      <w:pPr>
        <w:topLinePunct/>
        <w:snapToGrid w:val="0"/>
        <w:spacing w:line="440" w:lineRule="exact"/>
        <w:rPr>
          <w:rFonts w:asciiTheme="minorEastAsia" w:hAnsiTheme="minorEastAsia" w:eastAsiaTheme="minorEastAsia"/>
          <w:bCs/>
          <w:szCs w:val="21"/>
          <w:highlight w:val="none"/>
        </w:rPr>
      </w:pPr>
      <w:r>
        <w:rPr>
          <w:rFonts w:asciiTheme="minorEastAsia" w:hAnsiTheme="minorEastAsia" w:eastAsiaTheme="minorEastAsia"/>
          <w:bCs/>
          <w:szCs w:val="21"/>
          <w:highlight w:val="none"/>
        </w:rPr>
        <w:t>单位性质：</w:t>
      </w:r>
      <w:r>
        <w:rPr>
          <w:rFonts w:hint="eastAsia" w:asciiTheme="minorEastAsia" w:hAnsiTheme="minorEastAsia" w:eastAsiaTheme="minorEastAsia"/>
          <w:bCs/>
          <w:szCs w:val="21"/>
          <w:highlight w:val="none"/>
          <w:u w:val="single"/>
        </w:rPr>
        <w:t xml:space="preserve">                         </w:t>
      </w:r>
    </w:p>
    <w:p w14:paraId="0C3B9A75">
      <w:pPr>
        <w:topLinePunct/>
        <w:snapToGrid w:val="0"/>
        <w:spacing w:line="440" w:lineRule="exact"/>
        <w:rPr>
          <w:rFonts w:asciiTheme="minorEastAsia" w:hAnsiTheme="minorEastAsia" w:eastAsiaTheme="minorEastAsia"/>
          <w:bCs/>
          <w:szCs w:val="21"/>
          <w:highlight w:val="none"/>
        </w:rPr>
      </w:pPr>
      <w:r>
        <w:rPr>
          <w:rFonts w:asciiTheme="minorEastAsia" w:hAnsiTheme="minorEastAsia" w:eastAsiaTheme="minorEastAsia"/>
          <w:bCs/>
          <w:szCs w:val="21"/>
          <w:highlight w:val="none"/>
        </w:rPr>
        <w:t>成立时间：</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年</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月</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日</w:t>
      </w:r>
    </w:p>
    <w:p w14:paraId="761C1F8D">
      <w:pPr>
        <w:topLinePunct/>
        <w:snapToGrid w:val="0"/>
        <w:spacing w:line="440" w:lineRule="exact"/>
        <w:rPr>
          <w:rFonts w:asciiTheme="minorEastAsia" w:hAnsiTheme="minorEastAsia" w:eastAsiaTheme="minorEastAsia"/>
          <w:bCs/>
          <w:szCs w:val="21"/>
          <w:highlight w:val="none"/>
        </w:rPr>
      </w:pPr>
      <w:r>
        <w:rPr>
          <w:rFonts w:asciiTheme="minorEastAsia" w:hAnsiTheme="minorEastAsia" w:eastAsiaTheme="minorEastAsia"/>
          <w:bCs/>
          <w:szCs w:val="21"/>
          <w:highlight w:val="none"/>
        </w:rPr>
        <w:t>经营期限：</w:t>
      </w:r>
      <w:r>
        <w:rPr>
          <w:rFonts w:hint="eastAsia" w:asciiTheme="minorEastAsia" w:hAnsiTheme="minorEastAsia" w:eastAsiaTheme="minorEastAsia"/>
          <w:bCs/>
          <w:szCs w:val="21"/>
          <w:highlight w:val="none"/>
          <w:u w:val="single"/>
        </w:rPr>
        <w:t xml:space="preserve">             </w:t>
      </w:r>
    </w:p>
    <w:p w14:paraId="40A16AE7">
      <w:pPr>
        <w:topLinePunct/>
        <w:snapToGrid w:val="0"/>
        <w:spacing w:line="440" w:lineRule="exact"/>
        <w:rPr>
          <w:rFonts w:asciiTheme="minorEastAsia" w:hAnsiTheme="minorEastAsia" w:eastAsiaTheme="minorEastAsia"/>
          <w:bCs/>
          <w:szCs w:val="21"/>
          <w:highlight w:val="none"/>
          <w:u w:val="single"/>
        </w:rPr>
      </w:pPr>
      <w:r>
        <w:rPr>
          <w:rFonts w:asciiTheme="minorEastAsia" w:hAnsiTheme="minorEastAsia" w:eastAsiaTheme="minorEastAsia"/>
          <w:bCs/>
          <w:szCs w:val="21"/>
          <w:highlight w:val="none"/>
        </w:rPr>
        <w:t>姓名：</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性别：</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年龄：</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rPr>
        <w:t>职务：</w:t>
      </w:r>
      <w:r>
        <w:rPr>
          <w:rFonts w:hint="eastAsia" w:asciiTheme="minorEastAsia" w:hAnsiTheme="minorEastAsia" w:eastAsiaTheme="minorEastAsia"/>
          <w:bCs/>
          <w:szCs w:val="21"/>
          <w:highlight w:val="none"/>
          <w:u w:val="single"/>
        </w:rPr>
        <w:t xml:space="preserve">          </w:t>
      </w:r>
    </w:p>
    <w:p w14:paraId="1B1C08D2">
      <w:pPr>
        <w:topLinePunct/>
        <w:snapToGrid w:val="0"/>
        <w:spacing w:line="440" w:lineRule="exact"/>
        <w:rPr>
          <w:rFonts w:asciiTheme="minorEastAsia" w:hAnsiTheme="minorEastAsia" w:eastAsiaTheme="minorEastAsia"/>
          <w:bCs/>
          <w:szCs w:val="21"/>
          <w:highlight w:val="none"/>
        </w:rPr>
      </w:pPr>
      <w:r>
        <w:rPr>
          <w:rFonts w:asciiTheme="minorEastAsia" w:hAnsiTheme="minorEastAsia" w:eastAsiaTheme="minorEastAsia"/>
          <w:bCs/>
          <w:szCs w:val="21"/>
          <w:highlight w:val="none"/>
        </w:rPr>
        <w:t>系</w:t>
      </w:r>
      <w:r>
        <w:rPr>
          <w:rFonts w:hint="eastAsia" w:asciiTheme="minorEastAsia" w:hAnsiTheme="minorEastAsia" w:eastAsiaTheme="minorEastAsia"/>
          <w:highlight w:val="none"/>
          <w:u w:val="single"/>
        </w:rPr>
        <w:t>【XX公司</w:t>
      </w:r>
      <w:r>
        <w:rPr>
          <w:rFonts w:hint="eastAsia" w:asciiTheme="minorEastAsia" w:hAnsiTheme="minorEastAsia" w:eastAsiaTheme="minorEastAsia"/>
          <w:szCs w:val="21"/>
          <w:highlight w:val="none"/>
          <w:u w:val="single"/>
        </w:rPr>
        <w:t>[投标人单位</w:t>
      </w:r>
      <w:r>
        <w:rPr>
          <w:rFonts w:asciiTheme="minorEastAsia" w:hAnsiTheme="minorEastAsia" w:eastAsiaTheme="minorEastAsia"/>
          <w:szCs w:val="21"/>
          <w:highlight w:val="none"/>
          <w:u w:val="single"/>
        </w:rPr>
        <w:t>名称</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rPr>
        <w:t>的法定代表人</w:t>
      </w:r>
      <w:r>
        <w:rPr>
          <w:rFonts w:hint="eastAsia" w:asciiTheme="minorEastAsia" w:hAnsiTheme="minorEastAsia" w:eastAsiaTheme="minorEastAsia"/>
          <w:bCs/>
          <w:szCs w:val="21"/>
          <w:highlight w:val="none"/>
        </w:rPr>
        <w:t>/负责人</w:t>
      </w:r>
      <w:r>
        <w:rPr>
          <w:rFonts w:asciiTheme="minorEastAsia" w:hAnsiTheme="minorEastAsia" w:eastAsiaTheme="minorEastAsia"/>
          <w:bCs/>
          <w:szCs w:val="21"/>
          <w:highlight w:val="none"/>
        </w:rPr>
        <w:t>。</w:t>
      </w:r>
    </w:p>
    <w:p w14:paraId="4BFD54B4">
      <w:pPr>
        <w:topLinePunct/>
        <w:snapToGrid w:val="0"/>
        <w:spacing w:line="440" w:lineRule="exact"/>
        <w:ind w:firstLine="420" w:firstLineChars="200"/>
        <w:rPr>
          <w:rFonts w:asciiTheme="minorEastAsia" w:hAnsiTheme="minorEastAsia" w:eastAsiaTheme="minorEastAsia"/>
          <w:bCs/>
          <w:szCs w:val="21"/>
          <w:highlight w:val="none"/>
        </w:rPr>
      </w:pPr>
      <w:r>
        <w:rPr>
          <w:rFonts w:asciiTheme="minorEastAsia" w:hAnsiTheme="minorEastAsia" w:eastAsiaTheme="minorEastAsia"/>
          <w:bCs/>
          <w:szCs w:val="21"/>
          <w:highlight w:val="none"/>
        </w:rPr>
        <w:t>特此证明。</w:t>
      </w:r>
    </w:p>
    <w:p w14:paraId="7F7C7C38">
      <w:pPr>
        <w:topLinePunct/>
        <w:snapToGrid w:val="0"/>
        <w:spacing w:line="440" w:lineRule="exact"/>
        <w:ind w:firstLine="420" w:firstLineChars="200"/>
        <w:rPr>
          <w:rFonts w:asciiTheme="minorEastAsia" w:hAnsiTheme="minorEastAsia" w:eastAsiaTheme="minorEastAsia"/>
          <w:bCs/>
          <w:szCs w:val="21"/>
          <w:highlight w:val="none"/>
        </w:rPr>
      </w:pPr>
    </w:p>
    <w:p w14:paraId="6012E046">
      <w:pPr>
        <w:topLinePunct/>
        <w:snapToGrid w:val="0"/>
        <w:spacing w:line="440" w:lineRule="exact"/>
        <w:rPr>
          <w:rFonts w:asciiTheme="minorEastAsia" w:hAnsiTheme="minorEastAsia" w:eastAsiaTheme="minorEastAsia"/>
          <w:highlight w:val="none"/>
        </w:rPr>
      </w:pPr>
      <w:r>
        <w:rPr>
          <w:rFonts w:asciiTheme="minorEastAsia" w:hAnsiTheme="minorEastAsia" w:eastAsiaTheme="minorEastAsia"/>
          <w:highlight w:val="none"/>
        </w:rPr>
        <w:t>附：法定代表人/负责人</w:t>
      </w:r>
      <w:r>
        <w:rPr>
          <w:rFonts w:hint="eastAsia" w:asciiTheme="minorEastAsia" w:hAnsiTheme="minorEastAsia" w:eastAsiaTheme="minorEastAsia"/>
          <w:highlight w:val="none"/>
        </w:rPr>
        <w:t>的合法有效</w:t>
      </w:r>
      <w:r>
        <w:rPr>
          <w:rFonts w:asciiTheme="minorEastAsia" w:hAnsiTheme="minorEastAsia" w:eastAsiaTheme="minorEastAsia"/>
          <w:highlight w:val="none"/>
        </w:rPr>
        <w:t>身份证</w:t>
      </w:r>
      <w:r>
        <w:rPr>
          <w:rFonts w:hint="eastAsia" w:asciiTheme="minorEastAsia" w:hAnsiTheme="minorEastAsia" w:eastAsiaTheme="minorEastAsia"/>
          <w:highlight w:val="none"/>
        </w:rPr>
        <w:t>明</w:t>
      </w:r>
      <w:r>
        <w:rPr>
          <w:rFonts w:asciiTheme="minorEastAsia" w:hAnsiTheme="minorEastAsia" w:eastAsiaTheme="minorEastAsia"/>
          <w:highlight w:val="none"/>
        </w:rPr>
        <w:t>复印件</w:t>
      </w:r>
      <w:r>
        <w:rPr>
          <w:rFonts w:hint="eastAsia" w:asciiTheme="minorEastAsia" w:hAnsiTheme="minorEastAsia" w:eastAsiaTheme="minorEastAsia"/>
          <w:highlight w:val="none"/>
        </w:rPr>
        <w:t>或扫描件</w:t>
      </w:r>
      <w:r>
        <w:rPr>
          <w:rFonts w:hint="eastAsia" w:asciiTheme="minorEastAsia" w:hAnsiTheme="minorEastAsia" w:eastAsiaTheme="minorEastAsia"/>
          <w:bCs/>
          <w:szCs w:val="21"/>
          <w:highlight w:val="none"/>
        </w:rPr>
        <w:t>(如提供中华人民共和国居民身份证的，需同时提供国徽面及人像面)</w:t>
      </w:r>
    </w:p>
    <w:p w14:paraId="35258FBB">
      <w:pPr>
        <w:spacing w:line="500" w:lineRule="exact"/>
        <w:rPr>
          <w:rFonts w:asciiTheme="minorEastAsia" w:hAnsiTheme="minorEastAsia" w:eastAsiaTheme="minorEastAsia"/>
          <w:szCs w:val="21"/>
          <w:highlight w:val="none"/>
        </w:rPr>
      </w:pPr>
    </w:p>
    <w:p w14:paraId="23A4E452">
      <w:pPr>
        <w:spacing w:line="500" w:lineRule="exact"/>
        <w:rPr>
          <w:rFonts w:asciiTheme="minorEastAsia" w:hAnsiTheme="minorEastAsia" w:eastAsiaTheme="minorEastAsia"/>
          <w:szCs w:val="21"/>
          <w:highlight w:val="none"/>
        </w:rPr>
      </w:pPr>
      <w:r>
        <w:rPr>
          <w:rFonts w:asciiTheme="minorEastAsia" w:hAnsiTheme="minorEastAsia" w:eastAsiaTheme="minorEastAsia"/>
          <w:szCs w:val="21"/>
          <w:highlight w:val="none"/>
        </w:rPr>
        <mc:AlternateContent>
          <mc:Choice Requires="wps">
            <w:drawing>
              <wp:anchor distT="0" distB="0" distL="114300" distR="114300" simplePos="0" relativeHeight="251668480" behindDoc="0" locked="0" layoutInCell="1" allowOverlap="1">
                <wp:simplePos x="0" y="0"/>
                <wp:positionH relativeFrom="column">
                  <wp:posOffset>2645410</wp:posOffset>
                </wp:positionH>
                <wp:positionV relativeFrom="paragraph">
                  <wp:posOffset>238760</wp:posOffset>
                </wp:positionV>
                <wp:extent cx="3297555" cy="2113915"/>
                <wp:effectExtent l="4445" t="4445" r="12700" b="15240"/>
                <wp:wrapNone/>
                <wp:docPr id="10" name="流程图: 可选过程 10"/>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129CE130">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70C811C1">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66.45pt;width:259.65pt;z-index:251668480;mso-width-relative:page;mso-height-relative:page;" fillcolor="#FFFFFF" filled="t" stroked="t" coordsize="21600,21600" o:gfxdata="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AIl+NgAAAAKAQAADwAAAAAAAAABACAAAAAiAAAAZHJzL2Rvd25yZXYueG1sUEsBAhQAFAAA&#10;AAgAh07iQCyKqIthAgAAowQAAA4AAAAAAAAAAQAgAAAAJwEAAGRycy9lMm9Eb2MueG1sUEsFBgAA&#10;AAAGAAYAWQEAAPoFAAAAAA==&#10;">
                <v:fill on="t" focussize="0,0"/>
                <v:stroke color="#000000" miterlimit="8" joinstyle="miter"/>
                <v:imagedata o:title=""/>
                <o:lock v:ext="edit" aspectratio="f"/>
                <v:textbox>
                  <w:txbxContent>
                    <w:p w14:paraId="129CE130">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70C811C1">
                      <w:pPr>
                        <w:jc w:val="center"/>
                        <w:rPr>
                          <w:szCs w:val="21"/>
                        </w:rPr>
                      </w:pPr>
                      <w:r>
                        <w:rPr>
                          <w:rFonts w:hint="eastAsia"/>
                          <w:szCs w:val="21"/>
                        </w:rPr>
                        <w:t>粘贴处</w:t>
                      </w:r>
                    </w:p>
                  </w:txbxContent>
                </v:textbox>
              </v:shape>
            </w:pict>
          </mc:Fallback>
        </mc:AlternateContent>
      </w:r>
      <w:r>
        <w:rPr>
          <w:rFonts w:asciiTheme="minorEastAsia" w:hAnsiTheme="minorEastAsia" w:eastAsiaTheme="minorEastAsia"/>
          <w:szCs w:val="21"/>
          <w:highlight w:val="none"/>
        </w:rPr>
        <mc:AlternateContent>
          <mc:Choice Requires="wps">
            <w:drawing>
              <wp:anchor distT="0" distB="0" distL="114300" distR="114300" simplePos="0" relativeHeight="251667456" behindDoc="0" locked="0" layoutInCell="1" allowOverlap="1">
                <wp:simplePos x="0" y="0"/>
                <wp:positionH relativeFrom="column">
                  <wp:posOffset>-652145</wp:posOffset>
                </wp:positionH>
                <wp:positionV relativeFrom="paragraph">
                  <wp:posOffset>238760</wp:posOffset>
                </wp:positionV>
                <wp:extent cx="3297555" cy="2113915"/>
                <wp:effectExtent l="4445" t="4445" r="12700" b="15240"/>
                <wp:wrapNone/>
                <wp:docPr id="9" name="流程图: 可选过程 9"/>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4D829B9E">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27B38286">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66.45pt;width:259.65pt;z-index:251667456;mso-width-relative:page;mso-height-relative:page;" fillcolor="#FFFFFF" filled="t" stroked="t" coordsize="21600,21600" o:gfxdata="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gIJXNkAAAALAQAADwAAAAAAAAABACAAAAAiAAAAZHJzL2Rvd25yZXYueG1sUEsBAhQAFAAA&#10;AAgAh07iQE/ScbZgAgAAoQQAAA4AAAAAAAAAAQAgAAAAKAEAAGRycy9lMm9Eb2MueG1sUEsFBgAA&#10;AAAGAAYAWQEAAPoFAAAAAA==&#10;">
                <v:fill on="t" focussize="0,0"/>
                <v:stroke color="#000000" miterlimit="8" joinstyle="miter"/>
                <v:imagedata o:title=""/>
                <o:lock v:ext="edit" aspectratio="f"/>
                <v:textbox>
                  <w:txbxContent>
                    <w:p w14:paraId="4D829B9E">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27B38286">
                      <w:pPr>
                        <w:jc w:val="center"/>
                        <w:rPr>
                          <w:szCs w:val="21"/>
                        </w:rPr>
                      </w:pPr>
                      <w:r>
                        <w:rPr>
                          <w:rFonts w:hint="eastAsia"/>
                          <w:szCs w:val="21"/>
                        </w:rPr>
                        <w:t>粘贴处</w:t>
                      </w:r>
                    </w:p>
                  </w:txbxContent>
                </v:textbox>
              </v:shape>
            </w:pict>
          </mc:Fallback>
        </mc:AlternateContent>
      </w:r>
    </w:p>
    <w:p w14:paraId="60E62E21">
      <w:pPr>
        <w:spacing w:line="500" w:lineRule="exact"/>
        <w:rPr>
          <w:rFonts w:asciiTheme="minorEastAsia" w:hAnsiTheme="minorEastAsia" w:eastAsiaTheme="minorEastAsia"/>
          <w:szCs w:val="21"/>
          <w:highlight w:val="none"/>
        </w:rPr>
      </w:pPr>
    </w:p>
    <w:p w14:paraId="384B8B4F">
      <w:pPr>
        <w:spacing w:line="440" w:lineRule="exact"/>
        <w:rPr>
          <w:rFonts w:asciiTheme="minorEastAsia" w:hAnsiTheme="minorEastAsia" w:eastAsiaTheme="minorEastAsia"/>
          <w:szCs w:val="21"/>
          <w:highlight w:val="none"/>
        </w:rPr>
      </w:pPr>
    </w:p>
    <w:p w14:paraId="00390734">
      <w:pPr>
        <w:spacing w:line="440" w:lineRule="exact"/>
        <w:rPr>
          <w:rFonts w:asciiTheme="minorEastAsia" w:hAnsiTheme="minorEastAsia" w:eastAsiaTheme="minorEastAsia"/>
          <w:szCs w:val="21"/>
          <w:highlight w:val="none"/>
        </w:rPr>
      </w:pPr>
    </w:p>
    <w:p w14:paraId="7B2C817D">
      <w:pPr>
        <w:spacing w:line="500" w:lineRule="exact"/>
        <w:rPr>
          <w:rFonts w:asciiTheme="minorEastAsia" w:hAnsiTheme="minorEastAsia" w:eastAsiaTheme="minorEastAsia"/>
          <w:szCs w:val="21"/>
          <w:highlight w:val="none"/>
        </w:rPr>
      </w:pPr>
    </w:p>
    <w:p w14:paraId="3951B435">
      <w:pPr>
        <w:spacing w:line="440" w:lineRule="exact"/>
        <w:rPr>
          <w:rFonts w:asciiTheme="minorEastAsia" w:hAnsiTheme="minorEastAsia" w:eastAsiaTheme="minorEastAsia"/>
          <w:szCs w:val="21"/>
          <w:highlight w:val="none"/>
        </w:rPr>
      </w:pPr>
    </w:p>
    <w:p w14:paraId="027C83C5">
      <w:pPr>
        <w:spacing w:line="500" w:lineRule="exact"/>
        <w:rPr>
          <w:rFonts w:asciiTheme="minorEastAsia" w:hAnsiTheme="minorEastAsia" w:eastAsiaTheme="minorEastAsia"/>
          <w:szCs w:val="21"/>
          <w:highlight w:val="none"/>
        </w:rPr>
      </w:pPr>
    </w:p>
    <w:p w14:paraId="6044D611">
      <w:pPr>
        <w:spacing w:line="440" w:lineRule="exact"/>
        <w:rPr>
          <w:rFonts w:asciiTheme="minorEastAsia" w:hAnsiTheme="minorEastAsia" w:eastAsiaTheme="minorEastAsia"/>
          <w:szCs w:val="21"/>
          <w:highlight w:val="none"/>
        </w:rPr>
      </w:pPr>
    </w:p>
    <w:p w14:paraId="47861EA0">
      <w:pPr>
        <w:spacing w:line="440" w:lineRule="exact"/>
        <w:rPr>
          <w:rFonts w:asciiTheme="minorEastAsia" w:hAnsiTheme="minorEastAsia" w:eastAsiaTheme="minorEastAsia"/>
          <w:szCs w:val="21"/>
          <w:highlight w:val="none"/>
        </w:rPr>
      </w:pPr>
    </w:p>
    <w:p w14:paraId="36E2EDB8">
      <w:pPr>
        <w:spacing w:line="440" w:lineRule="exact"/>
        <w:ind w:firstLine="1274" w:firstLineChars="607"/>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投标人名称：</w:t>
      </w:r>
      <w:r>
        <w:rPr>
          <w:rFonts w:hint="eastAsia" w:asciiTheme="minorEastAsia" w:hAnsiTheme="minorEastAsia" w:eastAsiaTheme="minorEastAsia"/>
          <w:szCs w:val="21"/>
          <w:highlight w:val="none"/>
          <w:u w:val="single"/>
        </w:rPr>
        <w:t xml:space="preserve">　　　　　　　　          </w:t>
      </w:r>
    </w:p>
    <w:p w14:paraId="3C757282">
      <w:pPr>
        <w:spacing w:line="440" w:lineRule="exact"/>
        <w:ind w:firstLine="1274" w:firstLineChars="607"/>
        <w:jc w:val="left"/>
        <w:rPr>
          <w:rFonts w:asciiTheme="minorEastAsia" w:hAnsiTheme="minorEastAsia" w:eastAsiaTheme="minorEastAsia"/>
          <w:szCs w:val="21"/>
          <w:highlight w:val="none"/>
        </w:rPr>
      </w:pPr>
      <w:r>
        <w:rPr>
          <w:rFonts w:hint="eastAsia" w:cs="宋体" w:asciiTheme="minorEastAsia" w:hAnsiTheme="minorEastAsia" w:eastAsiaTheme="minorEastAsia"/>
          <w:highlight w:val="none"/>
        </w:rPr>
        <w:t>日期：</w:t>
      </w:r>
      <w:r>
        <w:rPr>
          <w:rFonts w:cs="宋体" w:asciiTheme="minorEastAsia" w:hAnsiTheme="minorEastAsia" w:eastAsiaTheme="minorEastAsia"/>
          <w:highlight w:val="none"/>
          <w:u w:val="single"/>
        </w:rPr>
        <w:t xml:space="preserve">_    </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__ </w:t>
      </w:r>
      <w:r>
        <w:rPr>
          <w:rFonts w:hint="eastAsia" w:cs="宋体" w:asciiTheme="minorEastAsia" w:hAnsiTheme="minorEastAsia" w:eastAsiaTheme="minorEastAsia"/>
          <w:highlight w:val="none"/>
        </w:rPr>
        <w:t>年</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    __</w:t>
      </w:r>
      <w:r>
        <w:rPr>
          <w:rFonts w:hint="eastAsia" w:cs="宋体" w:asciiTheme="minorEastAsia" w:hAnsiTheme="minorEastAsia" w:eastAsiaTheme="minorEastAsia"/>
          <w:highlight w:val="none"/>
        </w:rPr>
        <w:t>月</w:t>
      </w:r>
      <w:r>
        <w:rPr>
          <w:rFonts w:cs="宋体" w:asciiTheme="minorEastAsia" w:hAnsiTheme="minorEastAsia" w:eastAsiaTheme="minorEastAsia"/>
          <w:highlight w:val="none"/>
          <w:u w:val="single"/>
        </w:rPr>
        <w:t>_    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rPr>
        <w:t>日</w:t>
      </w:r>
    </w:p>
    <w:p w14:paraId="12374432">
      <w:pPr>
        <w:rPr>
          <w:rFonts w:asciiTheme="minorEastAsia" w:hAnsiTheme="minorEastAsia" w:eastAsiaTheme="minorEastAsia"/>
          <w:b/>
          <w:highlight w:val="none"/>
        </w:rPr>
      </w:pPr>
    </w:p>
    <w:p w14:paraId="651C4278">
      <w:pPr>
        <w:rPr>
          <w:rFonts w:asciiTheme="minorEastAsia" w:hAnsiTheme="minorEastAsia" w:eastAsiaTheme="minorEastAsia"/>
          <w:highlight w:val="none"/>
        </w:rPr>
      </w:pPr>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p>
    <w:p w14:paraId="0B1ECEBC">
      <w:pPr>
        <w:pStyle w:val="40"/>
        <w:numPr>
          <w:ilvl w:val="0"/>
          <w:numId w:val="57"/>
        </w:numPr>
        <w:tabs>
          <w:tab w:val="left" w:pos="588"/>
        </w:tabs>
        <w:snapToGrid w:val="0"/>
        <w:spacing w:before="120" w:after="120" w:line="440" w:lineRule="exact"/>
        <w:jc w:val="left"/>
        <w:rPr>
          <w:rFonts w:ascii="宋体" w:hAnsi="宋体"/>
          <w:sz w:val="24"/>
          <w:szCs w:val="24"/>
          <w:highlight w:val="none"/>
        </w:rPr>
      </w:pPr>
      <w:r>
        <w:rPr>
          <w:rFonts w:ascii="宋体" w:hAnsi="宋体"/>
          <w:szCs w:val="21"/>
          <w:highlight w:val="none"/>
        </w:rPr>
        <w:br w:type="page"/>
      </w:r>
      <w:bookmarkStart w:id="1072" w:name="_Toc38008083"/>
      <w:bookmarkStart w:id="1073" w:name="_Toc475472675"/>
      <w:bookmarkStart w:id="1074" w:name="_Toc438052122"/>
      <w:bookmarkStart w:id="1075" w:name="_Toc27820"/>
      <w:r>
        <w:rPr>
          <w:rFonts w:ascii="宋体" w:hAnsi="宋体"/>
          <w:sz w:val="24"/>
          <w:szCs w:val="24"/>
          <w:highlight w:val="none"/>
        </w:rPr>
        <w:t>法定代表人/负责人授权委托书</w:t>
      </w:r>
      <w:bookmarkEnd w:id="1072"/>
      <w:bookmarkEnd w:id="1073"/>
      <w:bookmarkEnd w:id="1074"/>
      <w:bookmarkEnd w:id="1075"/>
    </w:p>
    <w:p w14:paraId="37520256">
      <w:pPr>
        <w:jc w:val="center"/>
        <w:rPr>
          <w:rFonts w:ascii="宋体" w:hAnsi="宋体" w:cs="宋体"/>
          <w:b/>
          <w:sz w:val="24"/>
          <w:highlight w:val="none"/>
        </w:rPr>
      </w:pPr>
    </w:p>
    <w:p w14:paraId="290BBC92">
      <w:pPr>
        <w:jc w:val="center"/>
        <w:rPr>
          <w:rFonts w:ascii="宋体" w:hAnsi="宋体" w:cs="宋体"/>
          <w:b/>
          <w:sz w:val="24"/>
          <w:highlight w:val="none"/>
        </w:rPr>
      </w:pPr>
    </w:p>
    <w:p w14:paraId="71F1A27B">
      <w:pPr>
        <w:jc w:val="center"/>
        <w:rPr>
          <w:rFonts w:cs="宋体" w:asciiTheme="minorEastAsia" w:hAnsiTheme="minorEastAsia" w:eastAsiaTheme="minorEastAsia"/>
          <w:b/>
          <w:sz w:val="24"/>
          <w:highlight w:val="none"/>
        </w:rPr>
      </w:pPr>
      <w:r>
        <w:rPr>
          <w:rFonts w:hint="eastAsia" w:cs="宋体" w:asciiTheme="minorEastAsia" w:hAnsiTheme="minorEastAsia" w:eastAsiaTheme="minorEastAsia"/>
          <w:b/>
          <w:sz w:val="24"/>
          <w:highlight w:val="none"/>
        </w:rPr>
        <w:t>法定代表人/负责人授权委托书</w:t>
      </w:r>
    </w:p>
    <w:p w14:paraId="288ABF02">
      <w:pPr>
        <w:jc w:val="center"/>
        <w:rPr>
          <w:rFonts w:cs="宋体" w:asciiTheme="minorEastAsia" w:hAnsiTheme="minorEastAsia" w:eastAsiaTheme="minorEastAsia"/>
          <w:b/>
          <w:sz w:val="24"/>
          <w:highlight w:val="none"/>
        </w:rPr>
      </w:pPr>
    </w:p>
    <w:p w14:paraId="0DAFEB82">
      <w:pPr>
        <w:topLinePunct/>
        <w:snapToGrid w:val="0"/>
        <w:spacing w:line="440" w:lineRule="exact"/>
        <w:ind w:firstLine="420" w:firstLineChars="200"/>
        <w:rPr>
          <w:rFonts w:asciiTheme="minorEastAsia" w:hAnsiTheme="minorEastAsia" w:eastAsiaTheme="minorEastAsia"/>
          <w:bCs/>
          <w:szCs w:val="21"/>
          <w:highlight w:val="none"/>
        </w:rPr>
      </w:pPr>
      <w:r>
        <w:rPr>
          <w:rFonts w:asciiTheme="minorEastAsia" w:hAnsiTheme="minorEastAsia" w:eastAsiaTheme="minorEastAsia"/>
          <w:bCs/>
          <w:szCs w:val="21"/>
          <w:highlight w:val="none"/>
        </w:rPr>
        <w:t>本人</w:t>
      </w: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 xml:space="preserve"> [投标人法定代表人/负责人</w:t>
      </w:r>
      <w:r>
        <w:rPr>
          <w:rFonts w:asciiTheme="minorEastAsia" w:hAnsiTheme="minorEastAsia" w:eastAsiaTheme="minorEastAsia"/>
          <w:szCs w:val="21"/>
          <w:highlight w:val="none"/>
          <w:u w:val="single"/>
        </w:rPr>
        <w:t>姓名</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rPr>
        <w:t xml:space="preserve">系 </w:t>
      </w:r>
      <w:r>
        <w:rPr>
          <w:rFonts w:hint="eastAsia" w:asciiTheme="minorEastAsia" w:hAnsiTheme="minorEastAsia" w:eastAsiaTheme="minorEastAsia"/>
          <w:highlight w:val="none"/>
          <w:u w:val="single"/>
        </w:rPr>
        <w:t>【XX公司</w:t>
      </w:r>
      <w:r>
        <w:rPr>
          <w:rFonts w:hint="eastAsia" w:asciiTheme="minorEastAsia" w:hAnsiTheme="minorEastAsia" w:eastAsiaTheme="minorEastAsia"/>
          <w:szCs w:val="21"/>
          <w:highlight w:val="none"/>
          <w:u w:val="single"/>
        </w:rPr>
        <w:t>[投标</w:t>
      </w:r>
      <w:r>
        <w:rPr>
          <w:rFonts w:asciiTheme="minorEastAsia" w:hAnsiTheme="minorEastAsia" w:eastAsiaTheme="minorEastAsia"/>
          <w:szCs w:val="21"/>
          <w:highlight w:val="none"/>
          <w:u w:val="single"/>
        </w:rPr>
        <w:t>人名称</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rPr>
        <w:t>的法定代表人</w:t>
      </w:r>
      <w:r>
        <w:rPr>
          <w:rFonts w:hint="eastAsia" w:asciiTheme="minorEastAsia" w:hAnsiTheme="minorEastAsia" w:eastAsiaTheme="minorEastAsia"/>
          <w:bCs/>
          <w:szCs w:val="21"/>
          <w:highlight w:val="none"/>
        </w:rPr>
        <w:t>/负责人</w:t>
      </w:r>
      <w:r>
        <w:rPr>
          <w:rFonts w:asciiTheme="minorEastAsia" w:hAnsiTheme="minorEastAsia" w:eastAsiaTheme="minorEastAsia"/>
          <w:bCs/>
          <w:szCs w:val="21"/>
          <w:highlight w:val="none"/>
        </w:rPr>
        <w:t>，现委托</w:t>
      </w: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 xml:space="preserve"> [委托代理人</w:t>
      </w:r>
      <w:r>
        <w:rPr>
          <w:rFonts w:asciiTheme="minorEastAsia" w:hAnsiTheme="minorEastAsia" w:eastAsiaTheme="minorEastAsia"/>
          <w:szCs w:val="21"/>
          <w:highlight w:val="none"/>
          <w:u w:val="single"/>
        </w:rPr>
        <w:t>姓名</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rPr>
        <w:t>为我方代理人。代理人根据授权，以我方名义</w:t>
      </w:r>
      <w:r>
        <w:rPr>
          <w:rFonts w:hint="eastAsia" w:asciiTheme="minorEastAsia" w:hAnsiTheme="minorEastAsia" w:eastAsiaTheme="minorEastAsia"/>
          <w:bCs/>
          <w:szCs w:val="21"/>
          <w:highlight w:val="none"/>
        </w:rPr>
        <w:t>全权处理</w:t>
      </w: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项目[</w:t>
      </w:r>
      <w:r>
        <w:rPr>
          <w:rFonts w:asciiTheme="minorEastAsia" w:hAnsiTheme="minorEastAsia" w:eastAsiaTheme="minorEastAsia"/>
          <w:bCs/>
          <w:szCs w:val="21"/>
          <w:highlight w:val="none"/>
          <w:u w:val="single"/>
        </w:rPr>
        <w:t>招标项目名称</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】【XX</w:t>
      </w:r>
      <w:r>
        <w:rPr>
          <w:rFonts w:asciiTheme="minorEastAsia" w:hAnsiTheme="minorEastAsia" w:eastAsiaTheme="minorEastAsia"/>
          <w:szCs w:val="21"/>
          <w:highlight w:val="none"/>
          <w:u w:val="single"/>
        </w:rPr>
        <w:t>标包</w:t>
      </w:r>
      <w:r>
        <w:rPr>
          <w:rFonts w:hint="eastAsia" w:asciiTheme="minorEastAsia" w:hAnsiTheme="minorEastAsia" w:eastAsiaTheme="minorEastAsia"/>
          <w:szCs w:val="21"/>
          <w:highlight w:val="none"/>
          <w:u w:val="single"/>
        </w:rPr>
        <w:t>[标包名称]</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u w:val="single"/>
        </w:rPr>
        <w:t>签署、澄清</w:t>
      </w:r>
      <w:r>
        <w:rPr>
          <w:rFonts w:hint="eastAsia" w:asciiTheme="minorEastAsia" w:hAnsiTheme="minorEastAsia" w:eastAsiaTheme="minorEastAsia"/>
          <w:bCs/>
          <w:szCs w:val="21"/>
          <w:highlight w:val="none"/>
          <w:u w:val="single"/>
        </w:rPr>
        <w:t>、说明、补正</w:t>
      </w:r>
      <w:r>
        <w:rPr>
          <w:rFonts w:asciiTheme="minorEastAsia" w:hAnsiTheme="minorEastAsia" w:eastAsiaTheme="minorEastAsia"/>
          <w:bCs/>
          <w:szCs w:val="21"/>
          <w:highlight w:val="none"/>
          <w:u w:val="single"/>
        </w:rPr>
        <w:t>、递交、撤回、修改投标文件</w:t>
      </w:r>
      <w:r>
        <w:rPr>
          <w:rFonts w:hint="eastAsia" w:asciiTheme="minorEastAsia" w:hAnsiTheme="minorEastAsia" w:eastAsiaTheme="minorEastAsia"/>
          <w:bCs/>
          <w:szCs w:val="21"/>
          <w:highlight w:val="none"/>
          <w:u w:val="single"/>
        </w:rPr>
        <w:t>，</w:t>
      </w:r>
      <w:r>
        <w:rPr>
          <w:rFonts w:asciiTheme="minorEastAsia" w:hAnsiTheme="minorEastAsia" w:eastAsiaTheme="minorEastAsia"/>
          <w:bCs/>
          <w:szCs w:val="21"/>
          <w:highlight w:val="none"/>
          <w:u w:val="single"/>
        </w:rPr>
        <w:t>签订合同和处理</w:t>
      </w:r>
      <w:r>
        <w:rPr>
          <w:rFonts w:hint="eastAsia" w:asciiTheme="minorEastAsia" w:hAnsiTheme="minorEastAsia" w:eastAsiaTheme="minorEastAsia"/>
          <w:bCs/>
          <w:szCs w:val="21"/>
          <w:highlight w:val="none"/>
          <w:u w:val="single"/>
        </w:rPr>
        <w:t>一切</w:t>
      </w:r>
      <w:r>
        <w:rPr>
          <w:rFonts w:asciiTheme="minorEastAsia" w:hAnsiTheme="minorEastAsia" w:eastAsiaTheme="minorEastAsia"/>
          <w:bCs/>
          <w:szCs w:val="21"/>
          <w:highlight w:val="none"/>
          <w:u w:val="single"/>
        </w:rPr>
        <w:t>有关事宜</w:t>
      </w:r>
      <w:r>
        <w:rPr>
          <w:rFonts w:hint="eastAsia" w:asciiTheme="minorEastAsia" w:hAnsiTheme="minorEastAsia" w:eastAsiaTheme="minorEastAsia"/>
          <w:highlight w:val="none"/>
          <w:u w:val="single"/>
        </w:rPr>
        <w:t>】</w:t>
      </w:r>
      <w:r>
        <w:rPr>
          <w:rFonts w:asciiTheme="minorEastAsia" w:hAnsiTheme="minorEastAsia" w:eastAsiaTheme="minorEastAsia"/>
          <w:bCs/>
          <w:szCs w:val="21"/>
          <w:highlight w:val="none"/>
        </w:rPr>
        <w:t xml:space="preserve">，其法律后果由我方承担。 </w:t>
      </w:r>
    </w:p>
    <w:p w14:paraId="74AC7F04">
      <w:pPr>
        <w:topLinePunct/>
        <w:snapToGrid w:val="0"/>
        <w:spacing w:line="440" w:lineRule="exact"/>
        <w:ind w:firstLine="420" w:firstLineChars="200"/>
        <w:rPr>
          <w:rFonts w:asciiTheme="minorEastAsia" w:hAnsiTheme="minorEastAsia" w:eastAsiaTheme="minorEastAsia"/>
          <w:bCs/>
          <w:szCs w:val="21"/>
          <w:highlight w:val="none"/>
        </w:rPr>
      </w:pPr>
      <w:r>
        <w:rPr>
          <w:rFonts w:asciiTheme="minorEastAsia" w:hAnsiTheme="minorEastAsia" w:eastAsiaTheme="minorEastAsia"/>
          <w:bCs/>
          <w:szCs w:val="21"/>
          <w:highlight w:val="none"/>
        </w:rPr>
        <w:t>委托期限：</w:t>
      </w:r>
      <w:r>
        <w:rPr>
          <w:rFonts w:hint="eastAsia" w:asciiTheme="minorEastAsia" w:hAnsiTheme="minorEastAsia" w:eastAsiaTheme="minorEastAsia"/>
          <w:bCs/>
          <w:szCs w:val="21"/>
          <w:highlight w:val="none"/>
        </w:rPr>
        <w:t>。</w:t>
      </w:r>
    </w:p>
    <w:p w14:paraId="27D52487">
      <w:pPr>
        <w:topLinePunct/>
        <w:snapToGrid w:val="0"/>
        <w:spacing w:line="440" w:lineRule="exact"/>
        <w:ind w:firstLine="420" w:firstLineChars="200"/>
        <w:rPr>
          <w:rFonts w:asciiTheme="minorEastAsia" w:hAnsiTheme="minorEastAsia" w:eastAsiaTheme="minorEastAsia"/>
          <w:bCs/>
          <w:szCs w:val="21"/>
          <w:highlight w:val="none"/>
        </w:rPr>
      </w:pPr>
      <w:r>
        <w:rPr>
          <w:rFonts w:hint="eastAsia" w:asciiTheme="minorEastAsia" w:hAnsiTheme="minorEastAsia" w:eastAsiaTheme="minorEastAsia"/>
          <w:bCs/>
          <w:szCs w:val="21"/>
          <w:highlight w:val="none"/>
        </w:rPr>
        <w:t>委托</w:t>
      </w:r>
      <w:r>
        <w:rPr>
          <w:rFonts w:asciiTheme="minorEastAsia" w:hAnsiTheme="minorEastAsia" w:eastAsiaTheme="minorEastAsia"/>
          <w:bCs/>
          <w:szCs w:val="21"/>
          <w:highlight w:val="none"/>
        </w:rPr>
        <w:t>代理人无转委托权。</w:t>
      </w:r>
    </w:p>
    <w:p w14:paraId="75E3ECE6">
      <w:pPr>
        <w:spacing w:line="440" w:lineRule="exact"/>
        <w:ind w:firstLine="420" w:firstLineChars="200"/>
        <w:rPr>
          <w:rFonts w:asciiTheme="minorEastAsia" w:hAnsiTheme="minorEastAsia" w:eastAsiaTheme="minorEastAsia"/>
          <w:bCs/>
          <w:szCs w:val="21"/>
          <w:highlight w:val="none"/>
        </w:rPr>
      </w:pPr>
      <w:r>
        <w:rPr>
          <w:rFonts w:hint="eastAsia" w:asciiTheme="minorEastAsia" w:hAnsiTheme="minorEastAsia" w:eastAsiaTheme="minorEastAsia"/>
          <w:bCs/>
          <w:szCs w:val="21"/>
          <w:highlight w:val="none"/>
        </w:rPr>
        <w:t>附：</w:t>
      </w:r>
    </w:p>
    <w:p w14:paraId="7D5BF07B">
      <w:pPr>
        <w:spacing w:line="440" w:lineRule="exact"/>
        <w:ind w:firstLine="420" w:firstLineChars="200"/>
        <w:rPr>
          <w:rFonts w:asciiTheme="minorEastAsia" w:hAnsiTheme="minorEastAsia" w:eastAsiaTheme="minorEastAsia"/>
          <w:bCs/>
          <w:szCs w:val="21"/>
          <w:highlight w:val="none"/>
        </w:rPr>
      </w:pPr>
      <w:r>
        <w:rPr>
          <w:rFonts w:hint="eastAsia" w:asciiTheme="minorEastAsia" w:hAnsiTheme="minorEastAsia" w:eastAsiaTheme="minorEastAsia"/>
          <w:bCs/>
          <w:szCs w:val="21"/>
          <w:highlight w:val="none"/>
        </w:rPr>
        <w:t>1</w:t>
      </w:r>
      <w:r>
        <w:rPr>
          <w:rFonts w:asciiTheme="minorEastAsia" w:hAnsiTheme="minorEastAsia" w:eastAsiaTheme="minorEastAsia"/>
          <w:bCs/>
          <w:szCs w:val="21"/>
          <w:highlight w:val="none"/>
        </w:rPr>
        <w:t>.</w:t>
      </w:r>
      <w:r>
        <w:rPr>
          <w:rFonts w:hint="eastAsia" w:asciiTheme="minorEastAsia" w:hAnsiTheme="minorEastAsia" w:eastAsiaTheme="minorEastAsia"/>
          <w:bCs/>
          <w:szCs w:val="21"/>
          <w:highlight w:val="none"/>
        </w:rPr>
        <w:t>委托代理人</w:t>
      </w:r>
      <w:r>
        <w:rPr>
          <w:rFonts w:hint="eastAsia" w:asciiTheme="minorEastAsia" w:hAnsiTheme="minorEastAsia" w:eastAsiaTheme="minorEastAsia"/>
          <w:highlight w:val="none"/>
        </w:rPr>
        <w:t>的合法有效</w:t>
      </w:r>
      <w:r>
        <w:rPr>
          <w:rFonts w:asciiTheme="minorEastAsia" w:hAnsiTheme="minorEastAsia" w:eastAsiaTheme="minorEastAsia"/>
          <w:highlight w:val="none"/>
        </w:rPr>
        <w:t>身份证</w:t>
      </w:r>
      <w:r>
        <w:rPr>
          <w:rFonts w:hint="eastAsia" w:asciiTheme="minorEastAsia" w:hAnsiTheme="minorEastAsia" w:eastAsiaTheme="minorEastAsia"/>
          <w:highlight w:val="none"/>
        </w:rPr>
        <w:t>明</w:t>
      </w:r>
      <w:r>
        <w:rPr>
          <w:rFonts w:hint="eastAsia" w:asciiTheme="minorEastAsia" w:hAnsiTheme="minorEastAsia" w:eastAsiaTheme="minorEastAsia"/>
          <w:bCs/>
          <w:szCs w:val="21"/>
          <w:highlight w:val="none"/>
        </w:rPr>
        <w:t>复印件或扫描件(如提供中华人民共和国居民身份证的，需同时提供国徽面及人像面)</w:t>
      </w:r>
    </w:p>
    <w:p w14:paraId="39774770">
      <w:pPr>
        <w:topLinePunct/>
        <w:snapToGrid w:val="0"/>
        <w:spacing w:line="440" w:lineRule="exact"/>
        <w:ind w:firstLine="2310" w:firstLineChars="1100"/>
        <w:rPr>
          <w:rFonts w:asciiTheme="minorEastAsia" w:hAnsiTheme="minorEastAsia" w:eastAsiaTheme="minorEastAsia"/>
          <w:bCs/>
          <w:szCs w:val="21"/>
          <w:highlight w:val="none"/>
        </w:rPr>
      </w:pPr>
      <w:r>
        <w:rPr>
          <w:rFonts w:asciiTheme="minorEastAsia" w:hAnsiTheme="minorEastAsia" w:eastAsiaTheme="minorEastAsia"/>
          <w:bCs/>
          <w:szCs w:val="21"/>
          <w:highlight w:val="none"/>
        </w:rPr>
        <w:t>投标人</w:t>
      </w:r>
      <w:r>
        <w:rPr>
          <w:rFonts w:hint="eastAsia" w:asciiTheme="minorEastAsia" w:hAnsiTheme="minorEastAsia" w:eastAsiaTheme="minorEastAsia"/>
          <w:bCs/>
          <w:szCs w:val="21"/>
          <w:highlight w:val="none"/>
        </w:rPr>
        <w:t>名称</w:t>
      </w:r>
      <w:r>
        <w:rPr>
          <w:rFonts w:asciiTheme="minorEastAsia" w:hAnsiTheme="minorEastAsia" w:eastAsiaTheme="minorEastAsia"/>
          <w:bCs/>
          <w:szCs w:val="21"/>
          <w:highlight w:val="none"/>
        </w:rPr>
        <w:t>：</w:t>
      </w:r>
      <w:r>
        <w:rPr>
          <w:rFonts w:asciiTheme="minorEastAsia" w:hAnsiTheme="minorEastAsia" w:eastAsiaTheme="minorEastAsia"/>
          <w:bCs/>
          <w:szCs w:val="21"/>
          <w:highlight w:val="none"/>
          <w:u w:val="single"/>
        </w:rPr>
        <w:t xml:space="preserve">                             </w:t>
      </w:r>
      <w:r>
        <w:rPr>
          <w:rFonts w:hint="eastAsia" w:asciiTheme="minorEastAsia" w:hAnsiTheme="minorEastAsia" w:eastAsiaTheme="minorEastAsia"/>
          <w:bCs/>
          <w:szCs w:val="21"/>
          <w:highlight w:val="none"/>
          <w:u w:val="single"/>
        </w:rPr>
        <w:t xml:space="preserve">          </w:t>
      </w:r>
      <w:r>
        <w:rPr>
          <w:rFonts w:asciiTheme="minorEastAsia" w:hAnsiTheme="minorEastAsia" w:eastAsiaTheme="minorEastAsia"/>
          <w:bCs/>
          <w:szCs w:val="21"/>
          <w:highlight w:val="none"/>
          <w:u w:val="single"/>
        </w:rPr>
        <w:t xml:space="preserve"> </w:t>
      </w:r>
    </w:p>
    <w:p w14:paraId="554E9E3F">
      <w:pPr>
        <w:topLinePunct/>
        <w:snapToGrid w:val="0"/>
        <w:spacing w:line="440" w:lineRule="exact"/>
        <w:ind w:firstLine="2310" w:firstLineChars="1100"/>
        <w:rPr>
          <w:rFonts w:asciiTheme="minorEastAsia" w:hAnsiTheme="minorEastAsia" w:eastAsiaTheme="minorEastAsia"/>
          <w:bCs/>
          <w:szCs w:val="21"/>
          <w:highlight w:val="none"/>
        </w:rPr>
      </w:pPr>
      <w:r>
        <w:rPr>
          <w:rFonts w:hint="eastAsia" w:asciiTheme="minorEastAsia" w:hAnsiTheme="minorEastAsia" w:eastAsiaTheme="minorEastAsia"/>
          <w:bCs/>
          <w:szCs w:val="21"/>
          <w:highlight w:val="none"/>
        </w:rPr>
        <w:t>委托代理人上级领导（姓名）：</w:t>
      </w:r>
      <w:r>
        <w:rPr>
          <w:rFonts w:hint="eastAsia" w:asciiTheme="minorEastAsia" w:hAnsiTheme="minorEastAsia" w:eastAsiaTheme="minorEastAsia"/>
          <w:bCs/>
          <w:szCs w:val="21"/>
          <w:highlight w:val="none"/>
          <w:u w:val="single"/>
        </w:rPr>
        <w:t xml:space="preserve">                         </w:t>
      </w:r>
    </w:p>
    <w:p w14:paraId="705499EC">
      <w:pPr>
        <w:topLinePunct/>
        <w:snapToGrid w:val="0"/>
        <w:spacing w:line="440" w:lineRule="exact"/>
        <w:ind w:firstLine="2310" w:firstLineChars="1100"/>
        <w:rPr>
          <w:rFonts w:asciiTheme="minorEastAsia" w:hAnsiTheme="minorEastAsia" w:eastAsiaTheme="minorEastAsia"/>
          <w:bCs/>
          <w:szCs w:val="21"/>
          <w:highlight w:val="none"/>
        </w:rPr>
      </w:pPr>
      <w:r>
        <w:rPr>
          <w:rFonts w:hint="eastAsia" w:asciiTheme="minorEastAsia" w:hAnsiTheme="minorEastAsia" w:eastAsiaTheme="minorEastAsia"/>
          <w:bCs/>
          <w:szCs w:val="21"/>
          <w:highlight w:val="none"/>
        </w:rPr>
        <w:t>联系方式（手机）：</w:t>
      </w:r>
      <w:r>
        <w:rPr>
          <w:rFonts w:hint="eastAsia" w:asciiTheme="minorEastAsia" w:hAnsiTheme="minorEastAsia" w:eastAsiaTheme="minorEastAsia"/>
          <w:bCs/>
          <w:szCs w:val="21"/>
          <w:highlight w:val="none"/>
          <w:u w:val="single"/>
        </w:rPr>
        <w:t xml:space="preserve">                                   </w:t>
      </w:r>
    </w:p>
    <w:p w14:paraId="24F32AD7">
      <w:pPr>
        <w:topLinePunct/>
        <w:snapToGrid w:val="0"/>
        <w:spacing w:line="440" w:lineRule="exact"/>
        <w:ind w:firstLine="2373" w:firstLineChars="1130"/>
        <w:rPr>
          <w:rFonts w:asciiTheme="minorEastAsia" w:hAnsiTheme="minorEastAsia" w:eastAsiaTheme="minorEastAsia"/>
          <w:highlight w:val="none"/>
        </w:rPr>
      </w:pPr>
      <w:r>
        <w:rPr>
          <w:rFonts w:hint="eastAsia" w:asciiTheme="minorEastAsia" w:hAnsiTheme="minorEastAsia" w:eastAsiaTheme="minorEastAsia"/>
          <w:highlight w:val="none"/>
        </w:rPr>
        <w:t>日期：</w:t>
      </w:r>
      <w:r>
        <w:rPr>
          <w:rFonts w:hint="eastAsia" w:asciiTheme="minorEastAsia" w:hAnsiTheme="minorEastAsia" w:eastAsiaTheme="minorEastAsia"/>
          <w:highlight w:val="none"/>
          <w:u w:val="single"/>
        </w:rPr>
        <w:t xml:space="preserve">_     __ </w:t>
      </w:r>
      <w:r>
        <w:rPr>
          <w:rFonts w:hint="eastAsia" w:asciiTheme="minorEastAsia" w:hAnsiTheme="minorEastAsia" w:eastAsiaTheme="minorEastAsia"/>
          <w:highlight w:val="none"/>
        </w:rPr>
        <w:t>年</w:t>
      </w:r>
      <w:r>
        <w:rPr>
          <w:rFonts w:hint="eastAsia" w:asciiTheme="minorEastAsia" w:hAnsiTheme="minorEastAsia" w:eastAsiaTheme="minorEastAsia"/>
          <w:highlight w:val="none"/>
          <w:u w:val="single"/>
        </w:rPr>
        <w:t>_     __</w:t>
      </w:r>
      <w:r>
        <w:rPr>
          <w:rFonts w:hint="eastAsia" w:asciiTheme="minorEastAsia" w:hAnsiTheme="minorEastAsia" w:eastAsiaTheme="minorEastAsia"/>
          <w:highlight w:val="none"/>
        </w:rPr>
        <w:t>月</w:t>
      </w:r>
      <w:r>
        <w:rPr>
          <w:rFonts w:hint="eastAsia" w:asciiTheme="minorEastAsia" w:hAnsiTheme="minorEastAsia" w:eastAsiaTheme="minorEastAsia"/>
          <w:highlight w:val="none"/>
          <w:u w:val="single"/>
        </w:rPr>
        <w:t>_    _ _</w:t>
      </w:r>
      <w:r>
        <w:rPr>
          <w:rFonts w:hint="eastAsia" w:asciiTheme="minorEastAsia" w:hAnsiTheme="minorEastAsia" w:eastAsiaTheme="minorEastAsia"/>
          <w:highlight w:val="none"/>
        </w:rPr>
        <w:t>日</w:t>
      </w:r>
    </w:p>
    <w:p w14:paraId="0EF0FC7E">
      <w:pPr>
        <w:topLinePunct/>
        <w:snapToGrid w:val="0"/>
        <w:spacing w:line="440" w:lineRule="exact"/>
        <w:rPr>
          <w:rFonts w:asciiTheme="minorEastAsia" w:hAnsiTheme="minorEastAsia" w:eastAsiaTheme="minorEastAsia"/>
          <w:szCs w:val="21"/>
          <w:highlight w:val="none"/>
        </w:rPr>
      </w:pPr>
      <w:r>
        <w:rPr>
          <w:rFonts w:asciiTheme="minorEastAsia" w:hAnsiTheme="minorEastAsia" w:eastAsiaTheme="minorEastAsia"/>
          <w:szCs w:val="21"/>
          <w:highlight w:val="none"/>
        </w:rPr>
        <mc:AlternateContent>
          <mc:Choice Requires="wps">
            <w:drawing>
              <wp:anchor distT="0" distB="0" distL="114300" distR="114300" simplePos="0" relativeHeight="251673600" behindDoc="0" locked="0" layoutInCell="1" allowOverlap="1">
                <wp:simplePos x="0" y="0"/>
                <wp:positionH relativeFrom="column">
                  <wp:posOffset>2641600</wp:posOffset>
                </wp:positionH>
                <wp:positionV relativeFrom="paragraph">
                  <wp:posOffset>234950</wp:posOffset>
                </wp:positionV>
                <wp:extent cx="3297555" cy="1875790"/>
                <wp:effectExtent l="4445" t="4445" r="12700" b="5715"/>
                <wp:wrapNone/>
                <wp:docPr id="8" name="流程图: 可选过程 8"/>
                <wp:cNvGraphicFramePr/>
                <a:graphic xmlns:a="http://schemas.openxmlformats.org/drawingml/2006/main">
                  <a:graphicData uri="http://schemas.microsoft.com/office/word/2010/wordprocessingShape">
                    <wps:wsp>
                      <wps:cNvSpPr>
                        <a:spLocks noChangeArrowheads="1"/>
                      </wps:cNvSpPr>
                      <wps:spPr bwMode="auto">
                        <a:xfrm>
                          <a:off x="0" y="0"/>
                          <a:ext cx="3297555" cy="1875790"/>
                        </a:xfrm>
                        <a:prstGeom prst="flowChartAlternateProcess">
                          <a:avLst/>
                        </a:prstGeom>
                        <a:solidFill>
                          <a:srgbClr val="FFFFFF"/>
                        </a:solidFill>
                        <a:ln w="9525">
                          <a:solidFill>
                            <a:srgbClr val="000000"/>
                          </a:solidFill>
                          <a:miter lim="800000"/>
                        </a:ln>
                      </wps:spPr>
                      <wps:txbx>
                        <w:txbxContent>
                          <w:p w14:paraId="1D82AA7A">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pt;margin-top:18.5pt;height:147.7pt;width:259.65pt;z-index:251673600;mso-width-relative:page;mso-height-relative:page;" fillcolor="#FFFFFF" filled="t" stroked="t" coordsize="21600,21600" o:gfxdata="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dhYDLZAAAACgEAAA8AAAAAAAAAAQAgAAAAIgAAAGRycy9kb3ducmV2LnhtbFBLAQIUABQA&#10;AAAIAIdO4kB42MkPYQIAAKEEAAAOAAAAAAAAAAEAIAAAACgBAABkcnMvZTJvRG9jLnhtbFBLBQYA&#10;AAAABgAGAFkBAAD7BQAAAAA=&#10;">
                <v:fill on="t" focussize="0,0"/>
                <v:stroke color="#000000" miterlimit="8" joinstyle="miter"/>
                <v:imagedata o:title=""/>
                <o:lock v:ext="edit" aspectratio="f"/>
                <v:textbox>
                  <w:txbxContent>
                    <w:p w14:paraId="1D82AA7A">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r>
        <w:rPr>
          <w:rFonts w:asciiTheme="minorEastAsia" w:hAnsiTheme="minorEastAsia" w:eastAsiaTheme="minorEastAsia"/>
          <w:szCs w:val="21"/>
          <w:highlight w:val="none"/>
        </w:rPr>
        <mc:AlternateContent>
          <mc:Choice Requires="wps">
            <w:drawing>
              <wp:anchor distT="0" distB="0" distL="114300" distR="114300" simplePos="0" relativeHeight="251672576" behindDoc="0" locked="0" layoutInCell="1" allowOverlap="1">
                <wp:simplePos x="0" y="0"/>
                <wp:positionH relativeFrom="column">
                  <wp:posOffset>-652145</wp:posOffset>
                </wp:positionH>
                <wp:positionV relativeFrom="paragraph">
                  <wp:posOffset>238760</wp:posOffset>
                </wp:positionV>
                <wp:extent cx="3297555" cy="1875790"/>
                <wp:effectExtent l="4445" t="4445" r="12700" b="5715"/>
                <wp:wrapNone/>
                <wp:docPr id="7" name="流程图: 可选过程 7"/>
                <wp:cNvGraphicFramePr/>
                <a:graphic xmlns:a="http://schemas.openxmlformats.org/drawingml/2006/main">
                  <a:graphicData uri="http://schemas.microsoft.com/office/word/2010/wordprocessingShape">
                    <wps:wsp>
                      <wps:cNvSpPr>
                        <a:spLocks noChangeArrowheads="1"/>
                      </wps:cNvSpPr>
                      <wps:spPr bwMode="auto">
                        <a:xfrm>
                          <a:off x="0" y="0"/>
                          <a:ext cx="3297555" cy="1875790"/>
                        </a:xfrm>
                        <a:prstGeom prst="flowChartAlternateProcess">
                          <a:avLst/>
                        </a:prstGeom>
                        <a:solidFill>
                          <a:srgbClr val="FFFFFF"/>
                        </a:solidFill>
                        <a:ln w="9525">
                          <a:solidFill>
                            <a:srgbClr val="000000"/>
                          </a:solidFill>
                          <a:miter lim="800000"/>
                        </a:ln>
                      </wps:spPr>
                      <wps:txbx>
                        <w:txbxContent>
                          <w:p w14:paraId="1AF548E3">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47.7pt;width:259.65pt;z-index:251672576;mso-width-relative:page;mso-height-relative:page;" fillcolor="#FFFFFF" filled="t" stroked="t" coordsize="21600,21600" o:gfxdata="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cbT39gAAAALAQAADwAAAAAAAAABACAAAAAiAAAAZHJzL2Rvd25yZXYueG1sUEsBAhQAFAAA&#10;AAgAh07iQDhIe/VhAgAAoQQAAA4AAAAAAAAAAQAgAAAAJwEAAGRycy9lMm9Eb2MueG1sUEsFBgAA&#10;AAAGAAYAWQEAAPoFAAAAAA==&#10;">
                <v:fill on="t" focussize="0,0"/>
                <v:stroke color="#000000" miterlimit="8" joinstyle="miter"/>
                <v:imagedata o:title=""/>
                <o:lock v:ext="edit" aspectratio="f"/>
                <v:textbox>
                  <w:txbxContent>
                    <w:p w14:paraId="1AF548E3">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p>
    <w:p w14:paraId="3D91B5B5">
      <w:pPr>
        <w:spacing w:line="440" w:lineRule="exact"/>
        <w:rPr>
          <w:rFonts w:asciiTheme="minorEastAsia" w:hAnsiTheme="minorEastAsia" w:eastAsiaTheme="minorEastAsia"/>
          <w:szCs w:val="21"/>
          <w:highlight w:val="none"/>
        </w:rPr>
      </w:pPr>
    </w:p>
    <w:p w14:paraId="4546E68A">
      <w:pPr>
        <w:spacing w:line="500" w:lineRule="exact"/>
        <w:rPr>
          <w:rFonts w:asciiTheme="minorEastAsia" w:hAnsiTheme="minorEastAsia" w:eastAsiaTheme="minorEastAsia"/>
          <w:szCs w:val="21"/>
          <w:highlight w:val="none"/>
        </w:rPr>
      </w:pPr>
    </w:p>
    <w:p w14:paraId="73A2548F">
      <w:pPr>
        <w:spacing w:line="440" w:lineRule="exact"/>
        <w:rPr>
          <w:rFonts w:asciiTheme="minorEastAsia" w:hAnsiTheme="minorEastAsia" w:eastAsiaTheme="minorEastAsia"/>
          <w:szCs w:val="21"/>
          <w:highlight w:val="none"/>
        </w:rPr>
      </w:pPr>
    </w:p>
    <w:p w14:paraId="7A2F0BCA">
      <w:pPr>
        <w:topLinePunct/>
        <w:snapToGrid w:val="0"/>
        <w:spacing w:line="440" w:lineRule="exact"/>
        <w:rPr>
          <w:rFonts w:asciiTheme="minorEastAsia" w:hAnsiTheme="minorEastAsia" w:eastAsiaTheme="minorEastAsia"/>
          <w:highlight w:val="none"/>
        </w:rPr>
      </w:pPr>
    </w:p>
    <w:p w14:paraId="54199595">
      <w:pPr>
        <w:topLinePunct/>
        <w:snapToGrid w:val="0"/>
        <w:spacing w:line="440" w:lineRule="exact"/>
        <w:ind w:firstLine="420" w:firstLineChars="200"/>
        <w:rPr>
          <w:rFonts w:asciiTheme="minorEastAsia" w:hAnsiTheme="minorEastAsia" w:eastAsiaTheme="minorEastAsia"/>
          <w:bCs/>
          <w:szCs w:val="21"/>
          <w:highlight w:val="none"/>
        </w:rPr>
      </w:pPr>
    </w:p>
    <w:p w14:paraId="31D5E2ED">
      <w:pPr>
        <w:topLinePunct/>
        <w:spacing w:line="440" w:lineRule="exact"/>
        <w:jc w:val="left"/>
        <w:rPr>
          <w:rFonts w:asciiTheme="minorEastAsia" w:hAnsiTheme="minorEastAsia" w:eastAsiaTheme="minorEastAsia"/>
          <w:b/>
          <w:highlight w:val="none"/>
        </w:rPr>
      </w:pPr>
    </w:p>
    <w:p w14:paraId="0B5AC30A">
      <w:pPr>
        <w:topLinePunct/>
        <w:spacing w:line="440" w:lineRule="exact"/>
        <w:jc w:val="left"/>
        <w:rPr>
          <w:rFonts w:asciiTheme="minorEastAsia" w:hAnsiTheme="minorEastAsia" w:eastAsiaTheme="minorEastAsia"/>
          <w:b/>
          <w:highlight w:val="none"/>
        </w:rPr>
      </w:pPr>
    </w:p>
    <w:p w14:paraId="2C5BD542">
      <w:pPr>
        <w:topLinePunct/>
        <w:spacing w:line="440" w:lineRule="exact"/>
        <w:jc w:val="left"/>
        <w:rPr>
          <w:rFonts w:asciiTheme="minorEastAsia" w:hAnsiTheme="minorEastAsia" w:eastAsiaTheme="minorEastAsia"/>
          <w:b/>
          <w:highlight w:val="none"/>
        </w:rPr>
      </w:pPr>
      <w:bookmarkStart w:id="1076" w:name="_Toc475294115"/>
      <w:bookmarkStart w:id="1077" w:name="_Toc475472677"/>
      <w:bookmarkStart w:id="1078" w:name="_Toc38008085"/>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r>
        <w:rPr>
          <w:rFonts w:hint="eastAsia" w:asciiTheme="minorEastAsia" w:hAnsiTheme="minorEastAsia" w:eastAsiaTheme="minorEastAsia"/>
          <w:highlight w:val="none"/>
        </w:rPr>
        <w:t>。</w:t>
      </w:r>
    </w:p>
    <w:p w14:paraId="0961A18E">
      <w:pPr>
        <w:rPr>
          <w:highlight w:val="none"/>
        </w:rPr>
        <w:sectPr>
          <w:pgSz w:w="11906" w:h="16838"/>
          <w:pgMar w:top="1440" w:right="1797" w:bottom="1440" w:left="1797" w:header="851" w:footer="992" w:gutter="0"/>
          <w:pgNumType w:fmt="decimal"/>
          <w:cols w:space="425" w:num="1"/>
          <w:docGrid w:linePitch="312" w:charSpace="0"/>
        </w:sectPr>
      </w:pPr>
    </w:p>
    <w:p w14:paraId="0FD1A670">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79" w:name="_Toc31393"/>
      <w:r>
        <w:rPr>
          <w:rFonts w:hint="eastAsia" w:ascii="宋体" w:hAnsi="宋体"/>
          <w:sz w:val="24"/>
          <w:szCs w:val="24"/>
          <w:highlight w:val="none"/>
        </w:rPr>
        <w:t>廉洁投标承诺书</w:t>
      </w:r>
      <w:bookmarkEnd w:id="1076"/>
      <w:bookmarkEnd w:id="1077"/>
      <w:bookmarkEnd w:id="1078"/>
      <w:bookmarkEnd w:id="1079"/>
    </w:p>
    <w:p w14:paraId="61917FBF">
      <w:pPr>
        <w:topLinePunct/>
        <w:spacing w:line="440" w:lineRule="exact"/>
        <w:jc w:val="center"/>
        <w:rPr>
          <w:rFonts w:ascii="宋体" w:hAnsi="宋体"/>
          <w:b/>
          <w:highlight w:val="none"/>
        </w:rPr>
      </w:pPr>
      <w:r>
        <w:rPr>
          <w:rFonts w:hint="eastAsia" w:ascii="宋体" w:hAnsi="宋体"/>
          <w:b/>
          <w:sz w:val="24"/>
          <w:highlight w:val="none"/>
        </w:rPr>
        <w:t>廉洁投标承诺书</w:t>
      </w:r>
    </w:p>
    <w:p w14:paraId="7D2D7236">
      <w:pPr>
        <w:topLinePunct/>
        <w:snapToGrid w:val="0"/>
        <w:spacing w:line="400" w:lineRule="exact"/>
        <w:rPr>
          <w:rFonts w:asciiTheme="minorEastAsia" w:hAnsiTheme="minorEastAsia" w:eastAsiaTheme="minorEastAsia"/>
          <w:highlight w:val="none"/>
        </w:rPr>
      </w:pPr>
      <w:r>
        <w:rPr>
          <w:rFonts w:hint="eastAsia" w:asciiTheme="minorEastAsia" w:hAnsiTheme="minorEastAsia" w:eastAsiaTheme="minorEastAsia"/>
          <w:szCs w:val="21"/>
          <w:highlight w:val="none"/>
        </w:rPr>
        <w:t>致：【XX公司[招标人名称]】：</w:t>
      </w:r>
    </w:p>
    <w:p w14:paraId="51647FBA">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我公司自愿参加</w:t>
      </w: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项目[项目名称]</w:t>
      </w:r>
      <w:r>
        <w:rPr>
          <w:rFonts w:hint="eastAsia" w:asciiTheme="minorEastAsia" w:hAnsiTheme="minorEastAsia" w:eastAsiaTheme="minorEastAsia"/>
          <w:highlight w:val="none"/>
          <w:u w:val="single"/>
        </w:rPr>
        <w:t>】【XX</w:t>
      </w:r>
      <w:r>
        <w:rPr>
          <w:rFonts w:asciiTheme="minorEastAsia" w:hAnsiTheme="minorEastAsia" w:eastAsiaTheme="minorEastAsia"/>
          <w:szCs w:val="21"/>
          <w:highlight w:val="none"/>
          <w:u w:val="single"/>
        </w:rPr>
        <w:t>标包</w:t>
      </w:r>
      <w:r>
        <w:rPr>
          <w:rFonts w:hint="eastAsia" w:asciiTheme="minorEastAsia" w:hAnsiTheme="minorEastAsia" w:eastAsiaTheme="minorEastAsia"/>
          <w:szCs w:val="21"/>
          <w:highlight w:val="none"/>
          <w:u w:val="single"/>
        </w:rPr>
        <w:t>[标包名称]</w:t>
      </w:r>
      <w:r>
        <w:rPr>
          <w:rFonts w:hint="eastAsia" w:asciiTheme="minorEastAsia" w:hAnsiTheme="minorEastAsia" w:eastAsiaTheme="minorEastAsia"/>
          <w:highlight w:val="none"/>
          <w:u w:val="single"/>
        </w:rPr>
        <w:t>】</w:t>
      </w:r>
      <w:r>
        <w:rPr>
          <w:rFonts w:hint="eastAsia" w:asciiTheme="minorEastAsia" w:hAnsiTheme="minorEastAsia" w:eastAsiaTheme="minorEastAsia"/>
          <w:szCs w:val="21"/>
          <w:highlight w:val="none"/>
        </w:rPr>
        <w:t>招标项目，为保证招投标活动公开、公平、公正，依据国家法律法规和廉洁从业相关规定，现承诺如下：</w:t>
      </w:r>
    </w:p>
    <w:p w14:paraId="69C2F917">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宋体" w:hAnsi="宋体"/>
          <w:szCs w:val="21"/>
          <w:highlight w:val="none"/>
        </w:rPr>
        <w:t>不通过受让、租借或者挂靠资质投标，或者以其他方式以他人名义投标；不伪造、变造资质、资格证书或者其他许可证件，提供虚假业绩、奖项、项目负责人等材料投标，</w:t>
      </w:r>
      <w:r>
        <w:rPr>
          <w:rFonts w:hint="eastAsia" w:asciiTheme="minorEastAsia" w:hAnsiTheme="minorEastAsia" w:eastAsiaTheme="minorEastAsia"/>
          <w:szCs w:val="21"/>
          <w:highlight w:val="none"/>
        </w:rPr>
        <w:t>或者以其他方式弄虚作假，骗取中标；</w:t>
      </w:r>
    </w:p>
    <w:p w14:paraId="394863AD">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不与其他投标人相互串通投标或订立攻守同盟；</w:t>
      </w:r>
    </w:p>
    <w:p w14:paraId="5202EF9E">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不与招标人或招标代理机构串通投标；</w:t>
      </w:r>
    </w:p>
    <w:p w14:paraId="60A9D248">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不向招标人、招标代理机构、</w:t>
      </w:r>
      <w:r>
        <w:rPr>
          <w:rFonts w:hint="eastAsia" w:ascii="宋体" w:hAnsi="宋体"/>
          <w:szCs w:val="21"/>
          <w:highlight w:val="none"/>
        </w:rPr>
        <w:t>交易平台运行服务机构、</w:t>
      </w:r>
      <w:r>
        <w:rPr>
          <w:rFonts w:hint="eastAsia" w:asciiTheme="minorEastAsia" w:hAnsiTheme="minorEastAsia" w:eastAsiaTheme="minorEastAsia"/>
          <w:szCs w:val="21"/>
          <w:highlight w:val="none"/>
        </w:rPr>
        <w:t>评标委员会成员</w:t>
      </w:r>
      <w:r>
        <w:rPr>
          <w:rFonts w:hint="eastAsia" w:ascii="宋体" w:hAnsi="宋体"/>
          <w:szCs w:val="21"/>
          <w:highlight w:val="none"/>
        </w:rPr>
        <w:t>或行政监督部门人员等</w:t>
      </w:r>
      <w:r>
        <w:rPr>
          <w:rFonts w:hint="eastAsia" w:asciiTheme="minorEastAsia" w:hAnsiTheme="minorEastAsia" w:eastAsiaTheme="minorEastAsia"/>
          <w:szCs w:val="21"/>
          <w:highlight w:val="none"/>
        </w:rPr>
        <w:t>行贿</w:t>
      </w:r>
      <w:r>
        <w:rPr>
          <w:rFonts w:hint="eastAsia" w:ascii="宋体" w:hAnsi="宋体"/>
          <w:szCs w:val="21"/>
          <w:highlight w:val="none"/>
        </w:rPr>
        <w:t>谋取中标</w:t>
      </w:r>
      <w:r>
        <w:rPr>
          <w:rFonts w:hint="eastAsia" w:asciiTheme="minorEastAsia" w:hAnsiTheme="minorEastAsia" w:eastAsiaTheme="minorEastAsia"/>
          <w:szCs w:val="21"/>
          <w:highlight w:val="none"/>
        </w:rPr>
        <w:t>，包括提供现金(礼金)、礼券、礼品、购物卡、有价证券等财物，或娱乐、宴请、</w:t>
      </w:r>
      <w:r>
        <w:rPr>
          <w:rFonts w:hint="eastAsia" w:ascii="宋体" w:hAnsi="宋体"/>
          <w:color w:val="000000" w:themeColor="text1"/>
          <w:szCs w:val="21"/>
          <w:highlight w:val="none"/>
          <w14:textFill>
            <w14:solidFill>
              <w14:schemeClr w14:val="tx1"/>
            </w14:solidFill>
          </w14:textFill>
        </w:rPr>
        <w:t>旅游等</w:t>
      </w:r>
      <w:r>
        <w:rPr>
          <w:rFonts w:hint="eastAsia" w:asciiTheme="minorEastAsia" w:hAnsiTheme="minorEastAsia" w:eastAsiaTheme="minorEastAsia"/>
          <w:szCs w:val="21"/>
          <w:highlight w:val="none"/>
        </w:rPr>
        <w:t>活动，或支付应由其个人承担的学费、餐费、医药费等各种费用等；</w:t>
      </w:r>
    </w:p>
    <w:p w14:paraId="56EA2EC1">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不通过非正常渠道探听采购过程中应当保密的信息，包括(潜在)投标人的数量与名称、评标委员会成员名单和联系方式、其他投标人的投标文件、评标情况及中标推荐意见等。</w:t>
      </w:r>
    </w:p>
    <w:p w14:paraId="2F47F648">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不私下接触招标人、招标代理机构或评标委员会成员，利用人际关系干扰招标投标活动；</w:t>
      </w:r>
    </w:p>
    <w:p w14:paraId="1AC10585">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不在办公场所、招标现场寻衅滋事、无理取闹或以其他手段非法干预、影响招标的过程和结果；</w:t>
      </w:r>
    </w:p>
    <w:p w14:paraId="1DED96DF">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不捏造事实、伪造材料，或以非法取得的材料进行恶意</w:t>
      </w:r>
      <w:r>
        <w:rPr>
          <w:rFonts w:hint="eastAsia" w:ascii="宋体" w:hAnsi="宋体"/>
          <w:szCs w:val="21"/>
          <w:highlight w:val="none"/>
        </w:rPr>
        <w:t>提出异议、</w:t>
      </w:r>
      <w:r>
        <w:rPr>
          <w:rFonts w:hint="eastAsia" w:asciiTheme="minorEastAsia" w:hAnsiTheme="minorEastAsia" w:eastAsiaTheme="minorEastAsia"/>
          <w:szCs w:val="21"/>
          <w:highlight w:val="none"/>
        </w:rPr>
        <w:t>投诉</w:t>
      </w:r>
      <w:r>
        <w:rPr>
          <w:rFonts w:hint="eastAsia" w:ascii="宋体" w:hAnsi="宋体"/>
          <w:szCs w:val="21"/>
          <w:highlight w:val="none"/>
        </w:rPr>
        <w:t>或举报，干扰正常招标投标活动</w:t>
      </w:r>
      <w:r>
        <w:rPr>
          <w:rFonts w:hint="eastAsia" w:asciiTheme="minorEastAsia" w:hAnsiTheme="minorEastAsia" w:eastAsiaTheme="minorEastAsia"/>
          <w:szCs w:val="21"/>
          <w:highlight w:val="none"/>
        </w:rPr>
        <w:t>；不毫无根据地散播不实消息，诋毁他人名誉，主观臆断反映问题与诉求；</w:t>
      </w:r>
    </w:p>
    <w:p w14:paraId="0E46242E">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不以低于成本的报价竞标；</w:t>
      </w:r>
    </w:p>
    <w:p w14:paraId="74F400AA">
      <w:pPr>
        <w:numPr>
          <w:ilvl w:val="0"/>
          <w:numId w:val="60"/>
        </w:numPr>
        <w:tabs>
          <w:tab w:val="left" w:pos="709"/>
        </w:tabs>
        <w:topLinePunct/>
        <w:snapToGrid w:val="0"/>
        <w:spacing w:line="400" w:lineRule="exact"/>
        <w:ind w:left="0" w:firstLine="42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不以其他方式排挤其他投标人的公平竞争；</w:t>
      </w:r>
    </w:p>
    <w:p w14:paraId="7AF79DA3">
      <w:pPr>
        <w:numPr>
          <w:ilvl w:val="0"/>
          <w:numId w:val="60"/>
        </w:numPr>
        <w:tabs>
          <w:tab w:val="left" w:pos="709"/>
        </w:tabs>
        <w:topLinePunct/>
        <w:spacing w:line="440" w:lineRule="exact"/>
        <w:ind w:left="0" w:firstLine="420"/>
        <w:rPr>
          <w:rFonts w:asciiTheme="minorEastAsia" w:hAnsiTheme="minorEastAsia" w:eastAsiaTheme="minorEastAsia"/>
          <w:color w:val="000000" w:themeColor="text1"/>
          <w:szCs w:val="21"/>
          <w:highlight w:val="none"/>
          <w14:textFill>
            <w14:solidFill>
              <w14:schemeClr w14:val="tx1"/>
            </w14:solidFill>
          </w14:textFill>
        </w:rPr>
      </w:pPr>
      <w:r>
        <w:rPr>
          <w:rFonts w:hint="eastAsia" w:asciiTheme="minorEastAsia" w:hAnsiTheme="minorEastAsia" w:eastAsiaTheme="minorEastAsia"/>
          <w:szCs w:val="21"/>
          <w:highlight w:val="none"/>
        </w:rPr>
        <w:t>在最近五年内，不存在与采购活动相关的行贿犯罪记录；</w:t>
      </w:r>
    </w:p>
    <w:p w14:paraId="70CF2B08">
      <w:pPr>
        <w:numPr>
          <w:ilvl w:val="0"/>
          <w:numId w:val="60"/>
        </w:numPr>
        <w:tabs>
          <w:tab w:val="left" w:pos="709"/>
        </w:tabs>
        <w:topLinePunct/>
        <w:spacing w:line="440" w:lineRule="exact"/>
        <w:rPr>
          <w:rFonts w:asciiTheme="minorEastAsia" w:hAnsiTheme="minorEastAsia" w:eastAsiaTheme="minorEastAsia"/>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发现评标专家有违法行为的，及时向行政监督部门报告。</w:t>
      </w:r>
    </w:p>
    <w:p w14:paraId="2360B3F4">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如发生任何违反本承诺的行为，除按法律法规接受处罚外，招标人有权否决我方本次投标、宣布中标无效、暂停甚至取消我方参加招标人后续招标项目的投标资格等。</w:t>
      </w:r>
    </w:p>
    <w:p w14:paraId="619C5A3D">
      <w:pPr>
        <w:topLinePunct/>
        <w:snapToGrid w:val="0"/>
        <w:spacing w:line="400" w:lineRule="exact"/>
        <w:ind w:firstLine="420" w:firstLineChars="200"/>
        <w:rPr>
          <w:rFonts w:ascii="宋体" w:hAnsi="宋体"/>
          <w:szCs w:val="21"/>
          <w:highlight w:val="none"/>
        </w:rPr>
      </w:pPr>
    </w:p>
    <w:p w14:paraId="539D3EDC">
      <w:pPr>
        <w:topLinePunct/>
        <w:spacing w:line="440" w:lineRule="exact"/>
        <w:ind w:left="420"/>
        <w:rPr>
          <w:rFonts w:ascii="宋体" w:hAnsi="宋体"/>
          <w:szCs w:val="21"/>
          <w:highlight w:val="none"/>
        </w:rPr>
      </w:pPr>
    </w:p>
    <w:p w14:paraId="7691A995">
      <w:pPr>
        <w:spacing w:line="440" w:lineRule="exact"/>
        <w:ind w:firstLine="1134" w:firstLineChars="540"/>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p>
    <w:p w14:paraId="0036B134">
      <w:pPr>
        <w:spacing w:line="440" w:lineRule="exact"/>
        <w:ind w:firstLine="1134" w:firstLineChars="540"/>
        <w:rPr>
          <w:rFonts w:ascii="宋体" w:hAnsi="宋体"/>
          <w:szCs w:val="21"/>
          <w:highlight w:val="none"/>
        </w:rPr>
      </w:pPr>
      <w:r>
        <w:rPr>
          <w:rFonts w:hint="eastAsia" w:ascii="宋体" w:hAnsi="宋体"/>
          <w:szCs w:val="21"/>
          <w:highlight w:val="none"/>
        </w:rPr>
        <w:t>日期：XX年 XX月XX日</w:t>
      </w:r>
    </w:p>
    <w:p w14:paraId="0D34F7AF">
      <w:pPr>
        <w:topLinePunct/>
        <w:spacing w:line="440" w:lineRule="exact"/>
        <w:jc w:val="left"/>
        <w:rPr>
          <w:rFonts w:asciiTheme="minorEastAsia" w:hAnsiTheme="minorEastAsia" w:eastAsiaTheme="minorEastAsia"/>
          <w:highlight w:val="none"/>
        </w:rPr>
      </w:pPr>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p>
    <w:p w14:paraId="1C1B3A1B">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80" w:name="_Toc441224725"/>
      <w:bookmarkStart w:id="1081" w:name="_Toc22612"/>
      <w:bookmarkStart w:id="1082" w:name="_Toc38008086"/>
      <w:bookmarkStart w:id="1083" w:name="_Toc475294116"/>
      <w:bookmarkStart w:id="1084" w:name="_Toc475472678"/>
      <w:r>
        <w:rPr>
          <w:rFonts w:hint="eastAsia" w:ascii="宋体" w:hAnsi="宋体"/>
          <w:sz w:val="24"/>
          <w:szCs w:val="24"/>
          <w:highlight w:val="none"/>
        </w:rPr>
        <w:t>近</w:t>
      </w:r>
      <w:r>
        <w:rPr>
          <w:rFonts w:hint="eastAsia" w:ascii="宋体" w:hAnsi="宋体"/>
          <w:sz w:val="24"/>
          <w:highlight w:val="none"/>
        </w:rPr>
        <w:t>【五】</w:t>
      </w:r>
      <w:r>
        <w:rPr>
          <w:rFonts w:hint="eastAsia" w:ascii="宋体" w:hAnsi="宋体"/>
          <w:sz w:val="24"/>
          <w:szCs w:val="24"/>
          <w:highlight w:val="none"/>
        </w:rPr>
        <w:t>年发生的诉讼及仲裁情况</w:t>
      </w:r>
      <w:bookmarkEnd w:id="1080"/>
      <w:bookmarkEnd w:id="1081"/>
      <w:bookmarkEnd w:id="1082"/>
      <w:bookmarkEnd w:id="1083"/>
      <w:bookmarkEnd w:id="1084"/>
    </w:p>
    <w:p w14:paraId="74D4548E">
      <w:pPr>
        <w:topLinePunct/>
        <w:spacing w:line="440" w:lineRule="exact"/>
        <w:jc w:val="center"/>
        <w:rPr>
          <w:rFonts w:asciiTheme="minorEastAsia" w:hAnsiTheme="minorEastAsia" w:eastAsiaTheme="minorEastAsia"/>
          <w:b/>
          <w:sz w:val="24"/>
          <w:highlight w:val="none"/>
        </w:rPr>
      </w:pPr>
      <w:r>
        <w:rPr>
          <w:rFonts w:hint="eastAsia" w:asciiTheme="minorEastAsia" w:hAnsiTheme="minorEastAsia" w:eastAsiaTheme="minorEastAsia"/>
          <w:b/>
          <w:sz w:val="24"/>
          <w:highlight w:val="none"/>
        </w:rPr>
        <w:t>近【五】年发生的诉讼及仲裁情况</w:t>
      </w:r>
    </w:p>
    <w:p w14:paraId="2DB3E69E">
      <w:pPr>
        <w:rPr>
          <w:rFonts w:asciiTheme="minorEastAsia" w:hAnsiTheme="minorEastAsia" w:eastAsiaTheme="minorEastAsia"/>
          <w:highlight w:val="none"/>
        </w:rPr>
      </w:pPr>
    </w:p>
    <w:p w14:paraId="33722E26">
      <w:pPr>
        <w:topLinePunct/>
        <w:spacing w:line="44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如投标人有诉讼和/或仲裁（包括已结案和尚在进行的诉讼和/或仲裁阶段的案件），且</w:t>
      </w:r>
      <w:r>
        <w:rPr>
          <w:rFonts w:hint="eastAsia" w:asciiTheme="minorEastAsia" w:hAnsiTheme="minorEastAsia" w:eastAsiaTheme="minorEastAsia"/>
          <w:color w:val="000000"/>
          <w:szCs w:val="21"/>
          <w:highlight w:val="none"/>
        </w:rPr>
        <w:t>可能影响履约能力的，</w:t>
      </w:r>
      <w:r>
        <w:rPr>
          <w:rFonts w:hint="eastAsia" w:asciiTheme="minorEastAsia" w:hAnsiTheme="minorEastAsia" w:eastAsiaTheme="minorEastAsia"/>
          <w:szCs w:val="21"/>
          <w:highlight w:val="none"/>
        </w:rPr>
        <w:t>则须向招标人提供诉讼和/或仲裁案件的有关资料及证明，包括原告（诉讼和/或仲裁申请人）、被告（诉讼和/或仲裁被申请人）、诉讼和/或仲裁原因、诉讼和/或仲裁事件、诉讼和/或仲裁金额、诉讼和/或仲裁结果等，并填入下表。</w:t>
      </w:r>
    </w:p>
    <w:p w14:paraId="498789A7">
      <w:pPr>
        <w:topLinePunct/>
        <w:spacing w:line="44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如投标人无上述情况，则应在第一行“</w:t>
      </w:r>
      <w:r>
        <w:rPr>
          <w:rFonts w:hint="eastAsia" w:cs="Arial" w:asciiTheme="minorEastAsia" w:hAnsiTheme="minorEastAsia" w:eastAsiaTheme="minorEastAsia"/>
          <w:szCs w:val="21"/>
          <w:highlight w:val="none"/>
        </w:rPr>
        <w:t>起诉（仲裁）人</w:t>
      </w:r>
      <w:r>
        <w:rPr>
          <w:rFonts w:hint="eastAsia" w:asciiTheme="minorEastAsia" w:hAnsiTheme="minorEastAsia" w:eastAsiaTheme="minorEastAsia"/>
          <w:szCs w:val="21"/>
          <w:highlight w:val="none"/>
        </w:rPr>
        <w:t>”列填写“不涉及”。</w:t>
      </w:r>
    </w:p>
    <w:tbl>
      <w:tblPr>
        <w:tblStyle w:val="42"/>
        <w:tblW w:w="5000" w:type="pct"/>
        <w:tblInd w:w="0" w:type="dxa"/>
        <w:tblLayout w:type="autofit"/>
        <w:tblCellMar>
          <w:top w:w="0" w:type="dxa"/>
          <w:left w:w="0" w:type="dxa"/>
          <w:bottom w:w="0" w:type="dxa"/>
          <w:right w:w="0" w:type="dxa"/>
        </w:tblCellMar>
      </w:tblPr>
      <w:tblGrid>
        <w:gridCol w:w="650"/>
        <w:gridCol w:w="800"/>
        <w:gridCol w:w="1207"/>
        <w:gridCol w:w="1450"/>
        <w:gridCol w:w="1490"/>
        <w:gridCol w:w="1044"/>
        <w:gridCol w:w="1044"/>
        <w:gridCol w:w="651"/>
      </w:tblGrid>
      <w:tr w14:paraId="40DE71FF">
        <w:tblPrEx>
          <w:tblCellMar>
            <w:top w:w="0" w:type="dxa"/>
            <w:left w:w="0" w:type="dxa"/>
            <w:bottom w:w="0" w:type="dxa"/>
            <w:right w:w="0" w:type="dxa"/>
          </w:tblCellMar>
        </w:tblPrEx>
        <w:trPr>
          <w:trHeight w:val="899" w:hRule="atLeast"/>
        </w:trPr>
        <w:tc>
          <w:tcPr>
            <w:tcW w:w="3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14:paraId="7B26B911">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序号</w:t>
            </w:r>
          </w:p>
        </w:tc>
        <w:tc>
          <w:tcPr>
            <w:tcW w:w="48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70CC50EE">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日期</w:t>
            </w:r>
          </w:p>
        </w:tc>
        <w:tc>
          <w:tcPr>
            <w:tcW w:w="72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0A21A3DD">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起诉（仲裁）人</w:t>
            </w:r>
          </w:p>
        </w:tc>
        <w:tc>
          <w:tcPr>
            <w:tcW w:w="87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40667234">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被诉（被仲裁）人</w:t>
            </w:r>
          </w:p>
        </w:tc>
        <w:tc>
          <w:tcPr>
            <w:tcW w:w="89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6720AC51">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诉讼（仲裁）事件</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43CEFD80">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诉讼（仲裁）金额</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0DAC9773">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诉讼（仲裁）结果</w:t>
            </w:r>
          </w:p>
        </w:tc>
        <w:tc>
          <w:tcPr>
            <w:tcW w:w="39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7D3AFF93">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备注</w:t>
            </w:r>
          </w:p>
        </w:tc>
      </w:tr>
      <w:tr w14:paraId="6CE18FEA">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78BB3A88">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1</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7A1B8A2">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F39C43B">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07B4F02B">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C307FE8">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1788901">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302F8DF3">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08CD0F3">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r>
      <w:tr w14:paraId="24653CA7">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19868E6A">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2</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58110BA">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F24288E">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9CED610">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9E3B774">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62F1F6C">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2F94529">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B4411FA">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r>
      <w:tr w14:paraId="07B220A3">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3581D324">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3</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6DB8F2B">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5AC91E1">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F833CF7">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3FE9EE7">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D60EF94">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652D40F9">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4D9F8F6">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r>
      <w:tr w14:paraId="6BFA4B6A">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14:paraId="0B1758E7">
            <w:pPr>
              <w:jc w:val="cente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66EC6EBE">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C608D8F">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AA5B1F6">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DD00395">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D86B51C">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3FABF3B">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3A97CE8">
            <w:pPr>
              <w:rPr>
                <w:rFonts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　</w:t>
            </w:r>
          </w:p>
        </w:tc>
      </w:tr>
    </w:tbl>
    <w:p w14:paraId="42108CCD">
      <w:pPr>
        <w:spacing w:line="440" w:lineRule="exact"/>
        <w:ind w:right="480" w:firstLine="4800" w:firstLineChars="2000"/>
        <w:rPr>
          <w:rFonts w:asciiTheme="minorEastAsia" w:hAnsiTheme="minorEastAsia" w:eastAsiaTheme="minorEastAsia"/>
          <w:sz w:val="24"/>
          <w:highlight w:val="none"/>
        </w:rPr>
      </w:pPr>
    </w:p>
    <w:p w14:paraId="2D10F54E">
      <w:pPr>
        <w:spacing w:line="440" w:lineRule="exact"/>
        <w:ind w:right="480" w:firstLine="4800" w:firstLineChars="2000"/>
        <w:rPr>
          <w:rFonts w:ascii="宋体" w:hAnsi="宋体"/>
          <w:sz w:val="24"/>
          <w:highlight w:val="none"/>
        </w:rPr>
      </w:pPr>
    </w:p>
    <w:p w14:paraId="73198AD9">
      <w:pPr>
        <w:spacing w:line="440" w:lineRule="exact"/>
        <w:ind w:firstLine="1134" w:firstLineChars="540"/>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p>
    <w:p w14:paraId="620C03F9">
      <w:pPr>
        <w:spacing w:line="440" w:lineRule="exact"/>
        <w:ind w:firstLine="1134" w:firstLineChars="540"/>
        <w:rPr>
          <w:rFonts w:ascii="宋体" w:hAnsi="宋体"/>
          <w:szCs w:val="21"/>
          <w:highlight w:val="none"/>
        </w:rPr>
      </w:pPr>
      <w:r>
        <w:rPr>
          <w:rFonts w:hint="eastAsia" w:ascii="宋体" w:hAnsi="宋体"/>
          <w:szCs w:val="21"/>
          <w:highlight w:val="none"/>
        </w:rPr>
        <w:t>日期：XX年 XX月XX日</w:t>
      </w:r>
    </w:p>
    <w:p w14:paraId="06DCDDAD">
      <w:pPr>
        <w:topLinePunct/>
        <w:spacing w:line="440" w:lineRule="exact"/>
        <w:jc w:val="left"/>
        <w:rPr>
          <w:rFonts w:ascii="宋体" w:hAnsi="宋体"/>
          <w:szCs w:val="21"/>
          <w:highlight w:val="none"/>
        </w:rPr>
      </w:pPr>
    </w:p>
    <w:p w14:paraId="48D308EF">
      <w:pPr>
        <w:topLinePunct/>
        <w:spacing w:line="440" w:lineRule="exact"/>
        <w:jc w:val="left"/>
        <w:rPr>
          <w:rFonts w:asciiTheme="minorEastAsia" w:hAnsiTheme="minorEastAsia" w:eastAsiaTheme="minorEastAsia"/>
          <w:highlight w:val="none"/>
        </w:rPr>
        <w:sectPr>
          <w:pgSz w:w="11906" w:h="16838"/>
          <w:pgMar w:top="1440" w:right="1800" w:bottom="1440" w:left="1800" w:header="851" w:footer="992" w:gutter="0"/>
          <w:cols w:space="425" w:num="1"/>
          <w:docGrid w:type="lines" w:linePitch="312" w:charSpace="0"/>
        </w:sectPr>
      </w:pPr>
      <w:bookmarkStart w:id="1085" w:name="_Toc475472679"/>
      <w:bookmarkStart w:id="1086" w:name="_Toc38008087"/>
      <w:bookmarkStart w:id="1087" w:name="_Toc444791972"/>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r>
        <w:rPr>
          <w:rFonts w:hint="eastAsia" w:asciiTheme="minorEastAsia" w:hAnsiTheme="minorEastAsia" w:eastAsiaTheme="minorEastAsia"/>
          <w:color w:val="000000"/>
          <w:szCs w:val="21"/>
          <w:highlight w:val="none"/>
        </w:rPr>
        <w:t>。</w:t>
      </w:r>
    </w:p>
    <w:p w14:paraId="7D12ABAA">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088" w:name="_Toc26161"/>
      <w:r>
        <w:rPr>
          <w:rFonts w:hint="eastAsia" w:ascii="宋体" w:hAnsi="宋体"/>
          <w:sz w:val="24"/>
          <w:szCs w:val="24"/>
          <w:highlight w:val="none"/>
        </w:rPr>
        <w:t>招标代理服务费支付承诺函</w:t>
      </w:r>
      <w:bookmarkEnd w:id="1085"/>
      <w:bookmarkEnd w:id="1086"/>
      <w:bookmarkEnd w:id="1087"/>
      <w:bookmarkEnd w:id="1088"/>
    </w:p>
    <w:p w14:paraId="596E5D43">
      <w:pPr>
        <w:ind w:firstLine="420" w:firstLineChars="200"/>
        <w:rPr>
          <w:rFonts w:ascii="宋体" w:hAnsi="宋体"/>
          <w:szCs w:val="21"/>
          <w:highlight w:val="none"/>
        </w:rPr>
      </w:pPr>
    </w:p>
    <w:p w14:paraId="4B5C2132">
      <w:pPr>
        <w:jc w:val="center"/>
        <w:rPr>
          <w:rFonts w:asciiTheme="minorEastAsia" w:hAnsiTheme="minorEastAsia" w:eastAsiaTheme="minorEastAsia"/>
          <w:b/>
          <w:sz w:val="24"/>
          <w:highlight w:val="none"/>
        </w:rPr>
      </w:pPr>
      <w:bookmarkStart w:id="1089" w:name="_Toc231704287"/>
      <w:r>
        <w:rPr>
          <w:rFonts w:hint="eastAsia" w:asciiTheme="minorEastAsia" w:hAnsiTheme="minorEastAsia" w:eastAsiaTheme="minorEastAsia"/>
          <w:b/>
          <w:sz w:val="24"/>
          <w:highlight w:val="none"/>
        </w:rPr>
        <w:t>招标代理服务费支付承诺函</w:t>
      </w:r>
      <w:bookmarkEnd w:id="1089"/>
    </w:p>
    <w:p w14:paraId="74BDA1C0">
      <w:pPr>
        <w:ind w:firstLine="422" w:firstLineChars="200"/>
        <w:jc w:val="center"/>
        <w:rPr>
          <w:rFonts w:asciiTheme="minorEastAsia" w:hAnsiTheme="minorEastAsia" w:eastAsiaTheme="minorEastAsia"/>
          <w:b/>
          <w:szCs w:val="21"/>
          <w:highlight w:val="none"/>
        </w:rPr>
      </w:pPr>
    </w:p>
    <w:p w14:paraId="6C2EB155">
      <w:pPr>
        <w:spacing w:line="480" w:lineRule="exact"/>
        <w:ind w:firstLine="105" w:firstLineChars="5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（招标代理机构名称）：</w:t>
      </w:r>
    </w:p>
    <w:p w14:paraId="0F8BDEEC">
      <w:pPr>
        <w:spacing w:line="480" w:lineRule="exact"/>
        <w:ind w:firstLine="480" w:firstLineChars="229"/>
        <w:rPr>
          <w:rFonts w:asciiTheme="minorEastAsia" w:hAnsiTheme="minorEastAsia" w:eastAsiaTheme="minorEastAsia"/>
          <w:szCs w:val="21"/>
          <w:highlight w:val="none"/>
        </w:rPr>
      </w:pPr>
    </w:p>
    <w:p w14:paraId="16AF02E8">
      <w:pPr>
        <w:spacing w:line="480" w:lineRule="exact"/>
        <w:ind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我公司为贵公司代理的（项目名称）招标项目的投标人。我方承诺，如我公司中标，我公司将按投标人须知第9条的要求，向贵公司支付招标代理服务费。我公司将承担因我方支付招标代理服务费不及时或不支付招标代理服务费而造成的贵方各项损失，包括但不限于违约金、赔偿损失等。</w:t>
      </w:r>
    </w:p>
    <w:p w14:paraId="457C146E">
      <w:pPr>
        <w:spacing w:line="480" w:lineRule="exact"/>
        <w:ind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特此承诺！</w:t>
      </w:r>
    </w:p>
    <w:p w14:paraId="00797400">
      <w:pPr>
        <w:spacing w:line="480" w:lineRule="exact"/>
        <w:rPr>
          <w:rFonts w:asciiTheme="minorEastAsia" w:hAnsiTheme="minorEastAsia" w:eastAsiaTheme="minorEastAsia"/>
          <w:szCs w:val="21"/>
          <w:highlight w:val="none"/>
        </w:rPr>
      </w:pPr>
    </w:p>
    <w:p w14:paraId="6B09854F">
      <w:pPr>
        <w:spacing w:line="440" w:lineRule="exact"/>
        <w:ind w:firstLine="1274" w:firstLineChars="607"/>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投标人名称：</w:t>
      </w:r>
      <w:r>
        <w:rPr>
          <w:rFonts w:hint="eastAsia" w:asciiTheme="minorEastAsia" w:hAnsiTheme="minorEastAsia" w:eastAsiaTheme="minorEastAsia"/>
          <w:szCs w:val="21"/>
          <w:highlight w:val="none"/>
          <w:u w:val="single"/>
        </w:rPr>
        <w:t xml:space="preserve">　　　　　　　　                 </w:t>
      </w:r>
    </w:p>
    <w:p w14:paraId="45136F15">
      <w:pPr>
        <w:spacing w:line="440" w:lineRule="exact"/>
        <w:ind w:firstLine="1274" w:firstLineChars="607"/>
        <w:jc w:val="left"/>
        <w:rPr>
          <w:rFonts w:asciiTheme="minorEastAsia" w:hAnsiTheme="minorEastAsia" w:eastAsiaTheme="minorEastAsia"/>
          <w:szCs w:val="21"/>
          <w:highlight w:val="none"/>
        </w:rPr>
      </w:pPr>
      <w:r>
        <w:rPr>
          <w:rFonts w:hint="eastAsia" w:cs="宋体" w:asciiTheme="minorEastAsia" w:hAnsiTheme="minorEastAsia" w:eastAsiaTheme="minorEastAsia"/>
          <w:highlight w:val="none"/>
        </w:rPr>
        <w:t>日期：</w:t>
      </w:r>
      <w:r>
        <w:rPr>
          <w:rFonts w:cs="宋体" w:asciiTheme="minorEastAsia" w:hAnsiTheme="minorEastAsia" w:eastAsiaTheme="minorEastAsia"/>
          <w:highlight w:val="none"/>
          <w:u w:val="single"/>
        </w:rPr>
        <w:t xml:space="preserve">_    </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__ </w:t>
      </w:r>
      <w:r>
        <w:rPr>
          <w:rFonts w:hint="eastAsia" w:cs="宋体" w:asciiTheme="minorEastAsia" w:hAnsiTheme="minorEastAsia" w:eastAsiaTheme="minorEastAsia"/>
          <w:highlight w:val="none"/>
        </w:rPr>
        <w:t>年</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    __</w:t>
      </w:r>
      <w:r>
        <w:rPr>
          <w:rFonts w:hint="eastAsia" w:cs="宋体" w:asciiTheme="minorEastAsia" w:hAnsiTheme="minorEastAsia" w:eastAsiaTheme="minorEastAsia"/>
          <w:highlight w:val="none"/>
        </w:rPr>
        <w:t>月</w:t>
      </w:r>
      <w:r>
        <w:rPr>
          <w:rFonts w:cs="宋体" w:asciiTheme="minorEastAsia" w:hAnsiTheme="minorEastAsia" w:eastAsiaTheme="minorEastAsia"/>
          <w:highlight w:val="none"/>
          <w:u w:val="single"/>
        </w:rPr>
        <w:t>_    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rPr>
        <w:t>日</w:t>
      </w:r>
    </w:p>
    <w:p w14:paraId="20308224">
      <w:pPr>
        <w:topLinePunct/>
        <w:spacing w:line="440" w:lineRule="exact"/>
        <w:ind w:left="422" w:hanging="422" w:hangingChars="201"/>
        <w:jc w:val="left"/>
        <w:rPr>
          <w:highlight w:val="none"/>
        </w:rPr>
      </w:pPr>
    </w:p>
    <w:p w14:paraId="07EFF29D">
      <w:pPr>
        <w:topLinePunct/>
        <w:spacing w:line="440" w:lineRule="exact"/>
        <w:ind w:left="424" w:hanging="424" w:hangingChars="201"/>
        <w:jc w:val="left"/>
        <w:rPr>
          <w:rFonts w:ascii="宋体" w:hAnsi="宋体"/>
          <w:b/>
          <w:highlight w:val="none"/>
        </w:rPr>
      </w:pPr>
    </w:p>
    <w:p w14:paraId="0B1B2FEE">
      <w:pPr>
        <w:topLinePunct/>
        <w:spacing w:line="440" w:lineRule="exact"/>
        <w:ind w:left="424" w:hanging="424" w:hangingChars="201"/>
        <w:jc w:val="left"/>
        <w:rPr>
          <w:rFonts w:asciiTheme="minorEastAsia" w:hAnsiTheme="minorEastAsia" w:eastAsiaTheme="minorEastAsia"/>
          <w:b/>
          <w:highlight w:val="none"/>
        </w:rPr>
      </w:pPr>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除本文件允许投标人进行填写的内容以外，投标人不得对本文件进行修改</w:t>
      </w:r>
      <w:r>
        <w:rPr>
          <w:rFonts w:hint="eastAsia" w:asciiTheme="minorEastAsia" w:hAnsiTheme="minorEastAsia" w:eastAsiaTheme="minorEastAsia"/>
          <w:color w:val="000000"/>
          <w:szCs w:val="21"/>
          <w:highlight w:val="none"/>
        </w:rPr>
        <w:t>。</w:t>
      </w:r>
    </w:p>
    <w:p w14:paraId="3D979DB4">
      <w:pPr>
        <w:numPr>
          <w:ilvl w:val="0"/>
          <w:numId w:val="61"/>
        </w:numPr>
        <w:topLinePunct/>
        <w:spacing w:line="440" w:lineRule="exact"/>
        <w:ind w:left="422" w:hanging="422" w:hangingChars="201"/>
        <w:jc w:val="left"/>
        <w:rPr>
          <w:rFonts w:ascii="宋体" w:hAnsi="宋体"/>
          <w:highlight w:val="none"/>
        </w:rPr>
        <w:sectPr>
          <w:pgSz w:w="11906" w:h="16838"/>
          <w:pgMar w:top="1440" w:right="1800" w:bottom="1440" w:left="1800" w:header="851" w:footer="992" w:gutter="0"/>
          <w:pgNumType w:fmt="decimal"/>
          <w:cols w:space="425" w:num="1"/>
          <w:docGrid w:type="lines" w:linePitch="312" w:charSpace="0"/>
        </w:sectPr>
      </w:pPr>
    </w:p>
    <w:p w14:paraId="2B914505">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rPr>
      </w:pPr>
      <w:bookmarkStart w:id="1090" w:name="_Toc20141"/>
      <w:bookmarkStart w:id="1091" w:name="_Toc26504"/>
      <w:r>
        <w:rPr>
          <w:rFonts w:hint="eastAsia" w:ascii="宋体" w:hAnsi="宋体" w:eastAsia="宋体" w:cs="Times New Roman"/>
          <w:sz w:val="24"/>
          <w:szCs w:val="24"/>
          <w:highlight w:val="none"/>
          <w:lang w:val="en-US" w:eastAsia="zh-CN"/>
        </w:rPr>
        <w:t>营业执照</w:t>
      </w:r>
      <w:bookmarkEnd w:id="1090"/>
      <w:bookmarkEnd w:id="1091"/>
    </w:p>
    <w:p w14:paraId="4533684D">
      <w:pPr>
        <w:rPr>
          <w:rFonts w:hint="eastAsia"/>
          <w:highlight w:val="none"/>
        </w:rPr>
      </w:pPr>
    </w:p>
    <w:p w14:paraId="035986CE">
      <w:pPr>
        <w:pStyle w:val="14"/>
        <w:rPr>
          <w:rFonts w:hint="default"/>
          <w:highlight w:val="none"/>
          <w:lang w:val="en-US" w:eastAsia="zh-CN"/>
        </w:rPr>
      </w:pPr>
      <w:bookmarkStart w:id="1092" w:name="_Toc75869521"/>
      <w:bookmarkEnd w:id="1092"/>
      <w:bookmarkStart w:id="1093" w:name="_Toc75869519"/>
      <w:bookmarkEnd w:id="1093"/>
      <w:bookmarkStart w:id="1094" w:name="_Toc75869518"/>
      <w:bookmarkEnd w:id="1094"/>
      <w:bookmarkStart w:id="1095" w:name="_Toc75869523"/>
      <w:bookmarkEnd w:id="1095"/>
      <w:bookmarkStart w:id="1096" w:name="_Toc75869522"/>
      <w:bookmarkEnd w:id="1096"/>
      <w:bookmarkStart w:id="1097" w:name="_Toc75869520"/>
      <w:bookmarkEnd w:id="1097"/>
      <w:bookmarkStart w:id="1098" w:name="_Toc29124"/>
      <w:bookmarkStart w:id="1099" w:name="_Toc438052129"/>
      <w:bookmarkStart w:id="1100" w:name="_Toc38008090"/>
      <w:bookmarkStart w:id="1101" w:name="_Toc475472682"/>
    </w:p>
    <w:p w14:paraId="0F5BA505">
      <w:pPr>
        <w:pStyle w:val="40"/>
        <w:numPr>
          <w:ilvl w:val="0"/>
          <w:numId w:val="57"/>
        </w:numPr>
        <w:tabs>
          <w:tab w:val="left" w:pos="588"/>
        </w:tabs>
        <w:snapToGrid w:val="0"/>
        <w:spacing w:before="120" w:after="120" w:line="440" w:lineRule="exact"/>
        <w:jc w:val="left"/>
        <w:rPr>
          <w:rFonts w:hint="default" w:ascii="宋体" w:hAnsi="宋体" w:eastAsia="宋体" w:cs="Times New Roman"/>
          <w:sz w:val="24"/>
          <w:szCs w:val="24"/>
          <w:highlight w:val="none"/>
          <w:lang w:val="en-US" w:eastAsia="zh-CN"/>
        </w:rPr>
      </w:pPr>
      <w:bookmarkStart w:id="1102" w:name="_Toc2613"/>
      <w:r>
        <w:rPr>
          <w:rFonts w:hint="eastAsia" w:ascii="宋体" w:hAnsi="宋体" w:eastAsia="宋体" w:cs="Times New Roman"/>
          <w:sz w:val="24"/>
          <w:szCs w:val="24"/>
          <w:highlight w:val="none"/>
          <w:lang w:val="en-US" w:eastAsia="zh-CN"/>
        </w:rPr>
        <w:t>财务要求</w:t>
      </w:r>
      <w:bookmarkEnd w:id="1098"/>
      <w:bookmarkEnd w:id="1102"/>
    </w:p>
    <w:p w14:paraId="65C25874">
      <w:pPr>
        <w:spacing w:line="440" w:lineRule="exact"/>
        <w:ind w:firstLine="420" w:firstLineChars="200"/>
        <w:rPr>
          <w:rFonts w:ascii="宋体" w:hAnsi="宋体"/>
          <w:color w:val="auto"/>
          <w:szCs w:val="21"/>
          <w:highlight w:val="none"/>
        </w:rPr>
      </w:pPr>
      <w:r>
        <w:rPr>
          <w:rFonts w:hint="eastAsia" w:ascii="宋体" w:hAnsi="宋体"/>
          <w:color w:val="auto"/>
          <w:szCs w:val="21"/>
          <w:highlight w:val="none"/>
        </w:rPr>
        <w:t>投标人能够或承诺能够为本项目开具增值税专用发票。（须提供证明材料或承诺函）</w:t>
      </w:r>
    </w:p>
    <w:p w14:paraId="1AB0EF1B">
      <w:pPr>
        <w:spacing w:line="360" w:lineRule="exact"/>
        <w:rPr>
          <w:rFonts w:ascii="宋体" w:hAnsi="宋体"/>
          <w:highlight w:val="none"/>
        </w:rPr>
      </w:pPr>
      <w:r>
        <w:rPr>
          <w:rFonts w:hint="eastAsia" w:ascii="宋体" w:hAnsi="宋体"/>
          <w:highlight w:val="none"/>
        </w:rPr>
        <w:t>【XX公司[招标人名称]】：</w:t>
      </w:r>
    </w:p>
    <w:p w14:paraId="3FF1AF6F">
      <w:pPr>
        <w:spacing w:line="360" w:lineRule="exact"/>
        <w:ind w:firstLine="315" w:firstLineChars="150"/>
        <w:rPr>
          <w:rFonts w:ascii="宋体" w:hAnsi="宋体"/>
          <w:highlight w:val="none"/>
        </w:rPr>
      </w:pPr>
    </w:p>
    <w:p w14:paraId="7E70533C">
      <w:pPr>
        <w:spacing w:line="360" w:lineRule="exact"/>
        <w:ind w:firstLine="315" w:firstLineChars="150"/>
        <w:rPr>
          <w:rFonts w:ascii="宋体" w:hAnsi="宋体"/>
          <w:highlight w:val="none"/>
        </w:rPr>
      </w:pPr>
      <w:r>
        <w:rPr>
          <w:rFonts w:hint="eastAsia" w:ascii="宋体" w:hAnsi="宋体"/>
          <w:highlight w:val="none"/>
        </w:rPr>
        <w:t>我公司为增值税一般纳税人</w:t>
      </w:r>
      <w:r>
        <w:rPr>
          <w:rFonts w:hint="eastAsia" w:ascii="宋体" w:hAnsi="宋体"/>
          <w:b/>
          <w:highlight w:val="none"/>
        </w:rPr>
        <w:t>/</w:t>
      </w:r>
      <w:r>
        <w:rPr>
          <w:rFonts w:hint="eastAsia" w:ascii="宋体" w:hAnsi="宋体"/>
          <w:highlight w:val="none"/>
        </w:rPr>
        <w:t>小规模纳税人，可开具符合</w:t>
      </w:r>
      <w:r>
        <w:rPr>
          <w:rFonts w:hint="eastAsia" w:ascii="宋体" w:hAnsi="宋体"/>
          <w:szCs w:val="21"/>
          <w:highlight w:val="none"/>
        </w:rPr>
        <w:t>国家营改增政策</w:t>
      </w:r>
      <w:r>
        <w:rPr>
          <w:rFonts w:hint="eastAsia" w:ascii="宋体" w:hAnsi="宋体"/>
          <w:highlight w:val="none"/>
        </w:rPr>
        <w:t>要求税率的增值税专用发票。我公司承诺能够为本项目开具增值税专用发票。</w:t>
      </w:r>
    </w:p>
    <w:p w14:paraId="6F6B151B">
      <w:pPr>
        <w:spacing w:line="360" w:lineRule="exact"/>
        <w:rPr>
          <w:rFonts w:ascii="宋体" w:hAnsi="宋体"/>
          <w:highlight w:val="none"/>
        </w:rPr>
      </w:pPr>
      <w:r>
        <w:rPr>
          <w:rFonts w:hint="eastAsia" w:ascii="宋体" w:hAnsi="宋体"/>
          <w:highlight w:val="none"/>
        </w:rPr>
        <w:t> </w:t>
      </w:r>
    </w:p>
    <w:p w14:paraId="717BCAFD">
      <w:pPr>
        <w:spacing w:line="360" w:lineRule="exact"/>
        <w:ind w:firstLine="315" w:firstLineChars="150"/>
        <w:rPr>
          <w:rFonts w:ascii="宋体" w:hAnsi="宋体"/>
          <w:highlight w:val="none"/>
        </w:rPr>
      </w:pPr>
      <w:r>
        <w:rPr>
          <w:rFonts w:hint="eastAsia" w:ascii="宋体" w:hAnsi="宋体"/>
          <w:highlight w:val="none"/>
        </w:rPr>
        <w:t>特此承诺。</w:t>
      </w:r>
    </w:p>
    <w:p w14:paraId="7979ED27">
      <w:pPr>
        <w:spacing w:line="360" w:lineRule="exact"/>
        <w:rPr>
          <w:rFonts w:ascii="宋体" w:hAnsi="宋体"/>
          <w:highlight w:val="none"/>
        </w:rPr>
      </w:pPr>
      <w:r>
        <w:rPr>
          <w:rFonts w:hint="eastAsia" w:ascii="宋体" w:hAnsi="宋体"/>
          <w:highlight w:val="none"/>
        </w:rPr>
        <w:t> </w:t>
      </w:r>
    </w:p>
    <w:p w14:paraId="27E62704">
      <w:pPr>
        <w:spacing w:line="360" w:lineRule="exact"/>
        <w:rPr>
          <w:rFonts w:ascii="宋体" w:hAnsi="宋体"/>
          <w:highlight w:val="none"/>
        </w:rPr>
      </w:pPr>
      <w:r>
        <w:rPr>
          <w:rFonts w:hint="eastAsia" w:ascii="宋体" w:hAnsi="宋体"/>
          <w:highlight w:val="none"/>
        </w:rPr>
        <w:t> </w:t>
      </w:r>
    </w:p>
    <w:p w14:paraId="718EDEBB">
      <w:pPr>
        <w:wordWrap w:val="0"/>
        <w:spacing w:line="360" w:lineRule="exact"/>
        <w:jc w:val="right"/>
        <w:rPr>
          <w:rFonts w:ascii="宋体" w:hAnsi="宋体"/>
          <w:highlight w:val="none"/>
        </w:rPr>
      </w:pPr>
      <w:r>
        <w:rPr>
          <w:rFonts w:hint="eastAsia" w:ascii="宋体" w:hAnsi="宋体"/>
          <w:highlight w:val="none"/>
        </w:rPr>
        <w:t>承诺单位：</w:t>
      </w:r>
    </w:p>
    <w:p w14:paraId="7B6F3F38">
      <w:pPr>
        <w:wordWrap w:val="0"/>
        <w:spacing w:line="360" w:lineRule="exact"/>
        <w:jc w:val="right"/>
        <w:rPr>
          <w:rFonts w:ascii="宋体" w:hAnsi="宋体"/>
          <w:highlight w:val="none"/>
        </w:rPr>
      </w:pPr>
      <w:r>
        <w:rPr>
          <w:rFonts w:hint="eastAsia" w:ascii="宋体" w:hAnsi="宋体"/>
          <w:highlight w:val="none"/>
        </w:rPr>
        <w:t>日期：年月日</w:t>
      </w:r>
    </w:p>
    <w:p w14:paraId="7B512D8C">
      <w:pPr>
        <w:spacing w:line="360" w:lineRule="exact"/>
        <w:rPr>
          <w:rFonts w:ascii="宋体" w:hAnsi="宋体"/>
          <w:highlight w:val="none"/>
        </w:rPr>
      </w:pPr>
    </w:p>
    <w:p w14:paraId="043C7E14">
      <w:pPr>
        <w:rPr>
          <w:highlight w:val="none"/>
        </w:rPr>
      </w:pPr>
    </w:p>
    <w:p w14:paraId="51DB232B">
      <w:pPr>
        <w:rPr>
          <w:rFonts w:ascii="宋体" w:hAnsi="宋体"/>
          <w:highlight w:val="none"/>
        </w:rPr>
      </w:pPr>
      <w:r>
        <w:rPr>
          <w:rFonts w:hint="eastAsia" w:ascii="宋体" w:hAnsi="宋体"/>
          <w:highlight w:val="none"/>
        </w:rPr>
        <w:t>请明确是增值税一般纳税人还是小规模纳税人。证明材料包括但不限于相关税务机构开具的证明材料或以公司名义开具的增值税专用发票、合法代开的增值税票。</w:t>
      </w:r>
    </w:p>
    <w:p w14:paraId="239A8869">
      <w:pPr>
        <w:rPr>
          <w:rFonts w:hint="eastAsia" w:ascii="宋体" w:hAnsi="宋体" w:eastAsia="宋体" w:cs="Times New Roman"/>
          <w:sz w:val="24"/>
          <w:szCs w:val="24"/>
          <w:highlight w:val="none"/>
        </w:rPr>
      </w:pPr>
      <w:bookmarkStart w:id="1103" w:name="_Toc5774"/>
    </w:p>
    <w:p w14:paraId="4F206B8B">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lang w:val="en-US" w:eastAsia="zh-CN"/>
        </w:rPr>
      </w:pPr>
      <w:bookmarkStart w:id="1104" w:name="_Toc14100"/>
      <w:bookmarkStart w:id="1105" w:name="_Toc475472686"/>
      <w:bookmarkStart w:id="1106" w:name="_Toc38008094"/>
      <w:bookmarkStart w:id="1107" w:name="_Toc120692423"/>
      <w:r>
        <w:rPr>
          <w:rFonts w:hint="eastAsia" w:ascii="宋体" w:hAnsi="宋体" w:eastAsia="宋体" w:cs="Times New Roman"/>
          <w:sz w:val="24"/>
          <w:szCs w:val="24"/>
          <w:highlight w:val="none"/>
          <w:lang w:val="en-US" w:eastAsia="zh-CN"/>
        </w:rPr>
        <w:t>企业资质</w:t>
      </w:r>
      <w:bookmarkEnd w:id="1104"/>
    </w:p>
    <w:p w14:paraId="34C941AC">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lang w:val="en-US" w:eastAsia="zh-CN"/>
        </w:rPr>
      </w:pPr>
      <w:bookmarkStart w:id="1108" w:name="_Toc5819"/>
      <w:r>
        <w:rPr>
          <w:rFonts w:hint="eastAsia" w:ascii="宋体" w:hAnsi="宋体" w:eastAsia="宋体" w:cs="Times New Roman"/>
          <w:sz w:val="24"/>
          <w:szCs w:val="24"/>
          <w:highlight w:val="none"/>
          <w:lang w:val="en-US" w:eastAsia="zh-CN"/>
        </w:rPr>
        <w:t>CMMI认证</w:t>
      </w:r>
      <w:bookmarkEnd w:id="1108"/>
    </w:p>
    <w:p w14:paraId="07777880">
      <w:pPr>
        <w:rPr>
          <w:rFonts w:hint="eastAsia" w:ascii="宋体" w:hAnsi="宋体" w:eastAsia="宋体" w:cs="Times New Roman"/>
          <w:sz w:val="24"/>
          <w:szCs w:val="24"/>
          <w:highlight w:val="none"/>
          <w:lang w:val="en-US" w:eastAsia="zh-CN"/>
        </w:rPr>
      </w:pPr>
    </w:p>
    <w:p w14:paraId="5147C2A7">
      <w:pPr>
        <w:pStyle w:val="14"/>
        <w:rPr>
          <w:rFonts w:hint="eastAsia" w:ascii="宋体" w:hAnsi="宋体" w:eastAsia="宋体" w:cs="Times New Roman"/>
          <w:sz w:val="24"/>
          <w:szCs w:val="24"/>
          <w:highlight w:val="none"/>
          <w:lang w:val="en-US" w:eastAsia="zh-CN"/>
        </w:rPr>
      </w:pPr>
    </w:p>
    <w:p w14:paraId="75C353B5">
      <w:pPr>
        <w:rPr>
          <w:rFonts w:hint="eastAsia" w:ascii="宋体" w:hAnsi="宋体" w:eastAsia="宋体" w:cs="Times New Roman"/>
          <w:sz w:val="24"/>
          <w:szCs w:val="24"/>
          <w:highlight w:val="none"/>
          <w:lang w:val="en-US" w:eastAsia="zh-CN"/>
        </w:rPr>
      </w:pPr>
    </w:p>
    <w:p w14:paraId="22254189">
      <w:pPr>
        <w:pStyle w:val="14"/>
        <w:rPr>
          <w:rFonts w:hint="eastAsia" w:ascii="宋体" w:hAnsi="宋体" w:eastAsia="宋体" w:cs="Times New Roman"/>
          <w:sz w:val="24"/>
          <w:szCs w:val="24"/>
          <w:highlight w:val="none"/>
          <w:lang w:val="en-US" w:eastAsia="zh-CN"/>
        </w:rPr>
      </w:pPr>
    </w:p>
    <w:p w14:paraId="552944FF">
      <w:pPr>
        <w:rPr>
          <w:rFonts w:hint="eastAsia" w:ascii="宋体" w:hAnsi="宋体" w:eastAsia="宋体" w:cs="Times New Roman"/>
          <w:sz w:val="24"/>
          <w:szCs w:val="24"/>
          <w:highlight w:val="none"/>
          <w:lang w:val="en-US" w:eastAsia="zh-CN"/>
        </w:rPr>
      </w:pPr>
    </w:p>
    <w:p w14:paraId="7C61B067">
      <w:pPr>
        <w:pStyle w:val="14"/>
        <w:rPr>
          <w:rFonts w:hint="eastAsia"/>
          <w:highlight w:val="none"/>
          <w:lang w:val="en-US" w:eastAsia="zh-CN"/>
        </w:rPr>
      </w:pPr>
    </w:p>
    <w:bookmarkEnd w:id="1105"/>
    <w:bookmarkEnd w:id="1106"/>
    <w:bookmarkEnd w:id="1107"/>
    <w:p w14:paraId="5951FCA7">
      <w:pPr>
        <w:spacing w:line="400" w:lineRule="exact"/>
        <w:rPr>
          <w:rFonts w:ascii="宋体" w:hAnsi="宋体"/>
          <w:color w:val="000000"/>
          <w:highlight w:val="none"/>
        </w:rPr>
      </w:pPr>
    </w:p>
    <w:p w14:paraId="1EFE827A">
      <w:pPr>
        <w:rPr>
          <w:rFonts w:asciiTheme="minorEastAsia" w:hAnsiTheme="minorEastAsia" w:eastAsiaTheme="minorEastAsia"/>
          <w:highlight w:val="none"/>
        </w:rPr>
      </w:pPr>
    </w:p>
    <w:p w14:paraId="6A9927F2">
      <w:pPr>
        <w:rPr>
          <w:rFonts w:asciiTheme="minorEastAsia" w:hAnsiTheme="minorEastAsia" w:eastAsiaTheme="minorEastAsia"/>
          <w:highlight w:val="none"/>
        </w:rPr>
      </w:pPr>
    </w:p>
    <w:p w14:paraId="40B319C3">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lang w:val="en-US" w:eastAsia="zh-CN"/>
        </w:rPr>
        <w:sectPr>
          <w:pgSz w:w="11906" w:h="16838"/>
          <w:pgMar w:top="1440" w:right="1797" w:bottom="1440" w:left="1797" w:header="851" w:footer="992" w:gutter="0"/>
          <w:pgNumType w:fmt="decimal"/>
          <w:cols w:space="425" w:num="1"/>
          <w:docGrid w:type="lines" w:linePitch="312" w:charSpace="0"/>
        </w:sectPr>
      </w:pPr>
    </w:p>
    <w:p w14:paraId="014A723D">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lang w:val="en-US" w:eastAsia="zh-CN"/>
        </w:rPr>
      </w:pPr>
      <w:bookmarkStart w:id="1109" w:name="_Toc798"/>
      <w:r>
        <w:rPr>
          <w:rFonts w:hint="eastAsia" w:ascii="宋体" w:hAnsi="宋体" w:eastAsia="宋体" w:cs="Times New Roman"/>
          <w:sz w:val="24"/>
          <w:szCs w:val="24"/>
          <w:highlight w:val="none"/>
          <w:lang w:val="en-US" w:eastAsia="zh-CN"/>
        </w:rPr>
        <w:t>“投标人资格要求”承诺书</w:t>
      </w:r>
      <w:bookmarkEnd w:id="1103"/>
      <w:bookmarkEnd w:id="1109"/>
    </w:p>
    <w:p w14:paraId="74774A00">
      <w:pPr>
        <w:jc w:val="center"/>
        <w:rPr>
          <w:rFonts w:ascii="宋体" w:hAnsi="宋体"/>
          <w:b/>
          <w:bCs/>
          <w:sz w:val="24"/>
          <w:highlight w:val="none"/>
        </w:rPr>
      </w:pPr>
      <w:r>
        <w:rPr>
          <w:rFonts w:hint="eastAsia" w:ascii="宋体" w:hAnsi="宋体"/>
          <w:b/>
          <w:bCs/>
          <w:sz w:val="24"/>
          <w:highlight w:val="none"/>
        </w:rPr>
        <w:t>“投标人资格要求”承诺书</w:t>
      </w:r>
    </w:p>
    <w:p w14:paraId="5BB88930">
      <w:pPr>
        <w:keepNext w:val="0"/>
        <w:keepLines w:val="0"/>
        <w:pageBreakBefore w:val="0"/>
        <w:widowControl w:val="0"/>
        <w:kinsoku/>
        <w:overflowPunct/>
        <w:topLinePunct w:val="0"/>
        <w:autoSpaceDE/>
        <w:autoSpaceDN/>
        <w:bidi w:val="0"/>
        <w:spacing w:line="312" w:lineRule="auto"/>
        <w:ind w:left="0" w:leftChars="0"/>
        <w:rPr>
          <w:rFonts w:ascii="宋体" w:hAnsi="宋体"/>
          <w:color w:val="000000"/>
          <w:highlight w:val="none"/>
        </w:rPr>
      </w:pPr>
      <w:bookmarkStart w:id="1110" w:name="_Hlk505246980"/>
      <w:r>
        <w:rPr>
          <w:rFonts w:hint="eastAsia" w:ascii="宋体" w:hAnsi="宋体"/>
          <w:color w:val="000000"/>
          <w:highlight w:val="none"/>
          <w:u w:val="single"/>
        </w:rPr>
        <w:t>致：【XX公司[招标人名称]】</w:t>
      </w:r>
      <w:r>
        <w:rPr>
          <w:rFonts w:ascii="宋体" w:hAnsi="宋体"/>
          <w:color w:val="000000"/>
          <w:highlight w:val="none"/>
        </w:rPr>
        <w:t>：</w:t>
      </w:r>
    </w:p>
    <w:bookmarkEnd w:id="1110"/>
    <w:p w14:paraId="0B3A8667">
      <w:pPr>
        <w:keepNext w:val="0"/>
        <w:keepLines w:val="0"/>
        <w:pageBreakBefore w:val="0"/>
        <w:widowControl w:val="0"/>
        <w:kinsoku/>
        <w:wordWrap/>
        <w:overflowPunct/>
        <w:topLinePunct w:val="0"/>
        <w:autoSpaceDE/>
        <w:autoSpaceDN/>
        <w:bidi w:val="0"/>
        <w:spacing w:line="288" w:lineRule="auto"/>
        <w:ind w:left="0" w:leftChars="0" w:firstLine="420" w:firstLineChars="200"/>
        <w:rPr>
          <w:rFonts w:ascii="宋体" w:hAnsi="宋体"/>
          <w:b/>
          <w:color w:val="000000"/>
          <w:highlight w:val="none"/>
        </w:rPr>
      </w:pPr>
      <w:r>
        <w:rPr>
          <w:rFonts w:ascii="宋体" w:hAnsi="宋体"/>
          <w:color w:val="000000"/>
          <w:highlight w:val="none"/>
        </w:rPr>
        <w:t>我方递交的</w:t>
      </w:r>
      <w:r>
        <w:rPr>
          <w:rFonts w:hint="eastAsia" w:ascii="宋体" w:hAnsi="宋体"/>
          <w:color w:val="000000"/>
          <w:highlight w:val="none"/>
        </w:rPr>
        <w:t>投标</w:t>
      </w:r>
      <w:r>
        <w:rPr>
          <w:rFonts w:ascii="宋体" w:hAnsi="宋体"/>
          <w:color w:val="000000"/>
          <w:highlight w:val="none"/>
        </w:rPr>
        <w:t>文件及有关资料，用于你方（</w:t>
      </w:r>
      <w:r>
        <w:rPr>
          <w:rFonts w:hint="eastAsia" w:ascii="宋体" w:hAnsi="宋体"/>
          <w:color w:val="000000"/>
          <w:highlight w:val="none"/>
        </w:rPr>
        <w:t>招标</w:t>
      </w:r>
      <w:r>
        <w:rPr>
          <w:rFonts w:ascii="宋体" w:hAnsi="宋体"/>
          <w:color w:val="000000"/>
          <w:highlight w:val="none"/>
        </w:rPr>
        <w:t>人）审查我方参加</w:t>
      </w:r>
      <w:r>
        <w:rPr>
          <w:rFonts w:hint="eastAsia" w:ascii="宋体" w:hAnsi="宋体"/>
          <w:color w:val="000000"/>
          <w:highlight w:val="none"/>
          <w:u w:val="single"/>
        </w:rPr>
        <w:t>【</w:t>
      </w:r>
      <w:r>
        <w:rPr>
          <w:rFonts w:ascii="宋体" w:hAnsi="宋体"/>
          <w:color w:val="000000"/>
          <w:highlight w:val="none"/>
          <w:u w:val="single"/>
        </w:rPr>
        <w:t>项目名称</w:t>
      </w:r>
      <w:r>
        <w:rPr>
          <w:rFonts w:hint="eastAsia" w:ascii="宋体" w:hAnsi="宋体"/>
          <w:color w:val="000000"/>
          <w:highlight w:val="none"/>
          <w:u w:val="single"/>
        </w:rPr>
        <w:t>】</w:t>
      </w:r>
      <w:r>
        <w:rPr>
          <w:rFonts w:ascii="宋体" w:hAnsi="宋体"/>
          <w:color w:val="000000"/>
          <w:highlight w:val="none"/>
        </w:rPr>
        <w:t>的</w:t>
      </w:r>
      <w:r>
        <w:rPr>
          <w:rFonts w:hint="eastAsia" w:ascii="宋体" w:hAnsi="宋体"/>
          <w:color w:val="000000"/>
          <w:highlight w:val="none"/>
        </w:rPr>
        <w:t>投标</w:t>
      </w:r>
      <w:r>
        <w:rPr>
          <w:rFonts w:ascii="宋体" w:hAnsi="宋体"/>
          <w:color w:val="000000"/>
          <w:highlight w:val="none"/>
        </w:rPr>
        <w:t>资格，</w:t>
      </w:r>
      <w:r>
        <w:rPr>
          <w:rFonts w:ascii="宋体" w:hAnsi="宋体"/>
          <w:b/>
          <w:color w:val="000000"/>
          <w:highlight w:val="none"/>
        </w:rPr>
        <w:t>我方承诺</w:t>
      </w:r>
      <w:r>
        <w:rPr>
          <w:rFonts w:hint="eastAsia" w:ascii="宋体" w:hAnsi="宋体"/>
          <w:b/>
          <w:color w:val="000000"/>
          <w:highlight w:val="none"/>
        </w:rPr>
        <w:t>满足</w:t>
      </w:r>
      <w:r>
        <w:rPr>
          <w:rFonts w:ascii="宋体" w:hAnsi="宋体"/>
          <w:b/>
          <w:color w:val="000000"/>
          <w:highlight w:val="none"/>
        </w:rPr>
        <w:t>下列</w:t>
      </w:r>
      <w:r>
        <w:rPr>
          <w:rFonts w:hint="eastAsia" w:ascii="宋体" w:hAnsi="宋体"/>
          <w:b/>
          <w:color w:val="000000"/>
          <w:highlight w:val="none"/>
        </w:rPr>
        <w:t>事项</w:t>
      </w:r>
      <w:r>
        <w:rPr>
          <w:rFonts w:ascii="宋体" w:hAnsi="宋体"/>
          <w:b/>
          <w:color w:val="000000"/>
          <w:highlight w:val="none"/>
        </w:rPr>
        <w:t>：</w:t>
      </w:r>
    </w:p>
    <w:p w14:paraId="5A19AC2E">
      <w:pPr>
        <w:keepNext w:val="0"/>
        <w:keepLines w:val="0"/>
        <w:pageBreakBefore w:val="0"/>
        <w:widowControl w:val="0"/>
        <w:numPr>
          <w:ilvl w:val="0"/>
          <w:numId w:val="62"/>
        </w:numPr>
        <w:kinsoku/>
        <w:wordWrap/>
        <w:overflowPunct/>
        <w:topLinePunct w:val="0"/>
        <w:autoSpaceDE/>
        <w:autoSpaceDN/>
        <w:bidi w:val="0"/>
        <w:adjustRightInd w:val="0"/>
        <w:spacing w:line="288" w:lineRule="auto"/>
        <w:ind w:left="0" w:leftChars="0" w:firstLine="420" w:firstLineChars="200"/>
        <w:jc w:val="left"/>
        <w:textAlignment w:val="baseline"/>
        <w:rPr>
          <w:rFonts w:ascii="宋体" w:hAnsi="宋体"/>
          <w:color w:val="000000"/>
          <w:highlight w:val="none"/>
        </w:rPr>
      </w:pPr>
      <w:r>
        <w:rPr>
          <w:rFonts w:ascii="宋体" w:hAnsi="宋体"/>
          <w:color w:val="000000"/>
          <w:highlight w:val="none"/>
        </w:rPr>
        <w:t>我方</w:t>
      </w:r>
      <w:r>
        <w:rPr>
          <w:rFonts w:hint="eastAsia" w:ascii="宋体" w:hAnsi="宋体"/>
          <w:bCs/>
          <w:color w:val="000000"/>
          <w:highlight w:val="none"/>
        </w:rPr>
        <w:t>承诺在本项目中为非联合体应答单位</w:t>
      </w:r>
      <w:r>
        <w:rPr>
          <w:rFonts w:ascii="宋体" w:hAnsi="宋体"/>
          <w:bCs/>
          <w:highlight w:val="none"/>
        </w:rPr>
        <w:t>，不</w:t>
      </w:r>
      <w:r>
        <w:rPr>
          <w:rFonts w:hint="eastAsia" w:ascii="宋体" w:hAnsi="宋体"/>
          <w:bCs/>
          <w:highlight w:val="none"/>
        </w:rPr>
        <w:t>出现转包和违法分包</w:t>
      </w:r>
      <w:r>
        <w:rPr>
          <w:rFonts w:ascii="宋体" w:hAnsi="宋体"/>
          <w:color w:val="000000"/>
          <w:highlight w:val="none"/>
        </w:rPr>
        <w:t>。</w:t>
      </w:r>
    </w:p>
    <w:p w14:paraId="6D7B3E81">
      <w:pPr>
        <w:keepNext w:val="0"/>
        <w:keepLines w:val="0"/>
        <w:pageBreakBefore w:val="0"/>
        <w:widowControl w:val="0"/>
        <w:numPr>
          <w:ilvl w:val="0"/>
          <w:numId w:val="62"/>
        </w:numPr>
        <w:kinsoku/>
        <w:wordWrap/>
        <w:overflowPunct/>
        <w:topLinePunct w:val="0"/>
        <w:autoSpaceDE/>
        <w:autoSpaceDN/>
        <w:bidi w:val="0"/>
        <w:adjustRightInd w:val="0"/>
        <w:spacing w:line="288" w:lineRule="auto"/>
        <w:ind w:left="0" w:leftChars="0" w:firstLine="420" w:firstLineChars="200"/>
        <w:jc w:val="left"/>
        <w:textAlignment w:val="baseline"/>
        <w:rPr>
          <w:rFonts w:ascii="宋体" w:hAnsi="宋体"/>
          <w:color w:val="000000"/>
          <w:highlight w:val="none"/>
        </w:rPr>
      </w:pPr>
      <w:r>
        <w:rPr>
          <w:rFonts w:hint="eastAsia" w:ascii="宋体" w:hAnsi="宋体"/>
          <w:color w:val="000000"/>
          <w:highlight w:val="none"/>
        </w:rPr>
        <w:t>我方承诺不存在下列情形：</w:t>
      </w:r>
    </w:p>
    <w:p w14:paraId="4A2098EB">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1）</w:t>
      </w:r>
      <w:r>
        <w:rPr>
          <w:rFonts w:hint="eastAsia" w:asciiTheme="minorEastAsia" w:hAnsiTheme="minorEastAsia" w:eastAsiaTheme="minorEastAsia"/>
          <w:szCs w:val="21"/>
          <w:highlight w:val="none"/>
        </w:rPr>
        <w:t>为招标人不具有独立法人资格的附属机构（单位）；</w:t>
      </w:r>
    </w:p>
    <w:p w14:paraId="18858607">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（2）被依法暂停或取消投标资格的；</w:t>
      </w:r>
    </w:p>
    <w:p w14:paraId="1579B9E2">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（3）被责令停产停业、暂扣或者吊销许可证、暂扣或者吊销执照；</w:t>
      </w:r>
    </w:p>
    <w:p w14:paraId="3FE3A3B1">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（4）进入清算程序，或被宣告破产，或其他丧失履约能力的情形；</w:t>
      </w:r>
    </w:p>
    <w:p w14:paraId="7A54E3AB">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（5）在最近三年内[投标截止时间前36个月]被相关行业主管部门或司法机关认定有骗取中标、严重违约、重大工程质量或者安全问题的；</w:t>
      </w:r>
    </w:p>
    <w:p w14:paraId="43B3A080">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（6）在最近五年内</w:t>
      </w:r>
      <w:r>
        <w:rPr>
          <w:rFonts w:hint="eastAsia" w:asciiTheme="minorEastAsia" w:hAnsiTheme="minorEastAsia" w:eastAsiaTheme="minorEastAsia"/>
          <w:szCs w:val="21"/>
          <w:highlight w:val="none"/>
          <w:lang w:val="en-US" w:eastAsia="zh-CN"/>
        </w:rPr>
        <w:t>[</w:t>
      </w:r>
      <w:r>
        <w:rPr>
          <w:rFonts w:hint="eastAsia" w:asciiTheme="minorEastAsia" w:hAnsiTheme="minorEastAsia" w:eastAsiaTheme="minorEastAsia"/>
          <w:szCs w:val="21"/>
          <w:highlight w:val="none"/>
        </w:rPr>
        <w:t>[投标截止时间前60个月]被判处单位行贿罪，且行贿行为与采购活动相关的（以“中国裁判文书网”的生效判决为准）；</w:t>
      </w:r>
    </w:p>
    <w:p w14:paraId="56F20601">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（7）在最近五年内[投标截止时间前60个月]被判处合同诈骗罪的（以“中国裁判文书网”的生效判决为准）；</w:t>
      </w:r>
    </w:p>
    <w:p w14:paraId="22C0E0E6">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（8）被最高人民法院在“信用中国”网站（www.creditchina.gov.cn）或各级信用信息共享平台中列入失信被执行人名单，已执行完毕或不再执行的除外；</w:t>
      </w:r>
    </w:p>
    <w:p w14:paraId="34F2D375">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（9）为本招标项目提供过设计、编制技术规范和其他文件的咨询服务；</w:t>
      </w:r>
    </w:p>
    <w:p w14:paraId="2562BFD6">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（10）为本工程项目的相关监理人，或者与本工程项目的相关监理人存在隶属关系或者其他利害关系；</w:t>
      </w:r>
    </w:p>
    <w:p w14:paraId="34A983CF">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（11）为本招标项目的代建人；</w:t>
      </w:r>
    </w:p>
    <w:p w14:paraId="242B237A">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（12）为本招标项目的招标代理机构；</w:t>
      </w:r>
    </w:p>
    <w:p w14:paraId="41A65ECF">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（13）与本招标项目的监理人或代建人或招标代理机构同为一个法定代表人；</w:t>
      </w:r>
    </w:p>
    <w:p w14:paraId="314EDAE2">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（14）与本招标项目的监理人或代建人或招标代理机构存在控股或参股关系；</w:t>
      </w:r>
    </w:p>
    <w:p w14:paraId="014941C0">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（15）被工商行政管理机关在国家企业信用信息公示系统中列入严重违法失信企业名单的；</w:t>
      </w:r>
    </w:p>
    <w:p w14:paraId="0BCC7105">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16）其他按照《中国电信供应商不良行为管理规则》及处理结果，应对投标人及其投标产品品类在本项目中执行禁止采购处理措施的。同一标包或未划分标包的同一招标项目涉及多个产品的，投标人及其任一投标产品品类涉及相关禁止采购处理结果的，该标包或招标项目应适用相关的禁止采购处理措施；</w:t>
      </w:r>
    </w:p>
    <w:p w14:paraId="5D881E93">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eastAsia" w:asciiTheme="minorEastAsia" w:hAnsiTheme="minorEastAsia" w:eastAsiaTheme="minorEastAsia"/>
          <w:b/>
          <w:szCs w:val="21"/>
          <w:highlight w:val="none"/>
        </w:rPr>
      </w:pPr>
      <w:r>
        <w:rPr>
          <w:rFonts w:hint="eastAsia" w:asciiTheme="minorEastAsia" w:hAnsiTheme="minorEastAsia" w:eastAsiaTheme="minorEastAsia"/>
          <w:szCs w:val="21"/>
          <w:highlight w:val="none"/>
        </w:rPr>
        <w:t>（17）法律法规、招标文件限定的其他情形。</w:t>
      </w:r>
    </w:p>
    <w:p w14:paraId="687A1C16">
      <w:pPr>
        <w:keepNext w:val="0"/>
        <w:keepLines w:val="0"/>
        <w:pageBreakBefore w:val="0"/>
        <w:widowControl w:val="0"/>
        <w:numPr>
          <w:ilvl w:val="0"/>
          <w:numId w:val="62"/>
        </w:numPr>
        <w:kinsoku/>
        <w:wordWrap/>
        <w:overflowPunct/>
        <w:topLinePunct w:val="0"/>
        <w:autoSpaceDE/>
        <w:autoSpaceDN/>
        <w:bidi w:val="0"/>
        <w:adjustRightInd w:val="0"/>
        <w:snapToGrid/>
        <w:spacing w:line="288" w:lineRule="auto"/>
        <w:ind w:left="0" w:leftChars="0" w:firstLine="420" w:firstLineChars="200"/>
        <w:jc w:val="left"/>
        <w:textAlignment w:val="baseline"/>
        <w:rPr>
          <w:rFonts w:ascii="宋体" w:hAnsi="宋体"/>
          <w:color w:val="000000"/>
          <w:highlight w:val="none"/>
        </w:rPr>
      </w:pPr>
      <w:r>
        <w:rPr>
          <w:rFonts w:hint="eastAsia" w:ascii="宋体" w:hAnsi="宋体"/>
          <w:color w:val="000000"/>
          <w:highlight w:val="none"/>
        </w:rPr>
        <w:t>我方承诺符合“投标人的法定代表人或负责人为同一人或者存在控股、管理关系的不同投标人，不得参加同一标包投标或者未划分标包的同一招标项目投标。”的供应商资格条件。</w:t>
      </w:r>
    </w:p>
    <w:p w14:paraId="2AE85C62">
      <w:pPr>
        <w:keepNext w:val="0"/>
        <w:keepLines w:val="0"/>
        <w:pageBreakBefore w:val="0"/>
        <w:widowControl w:val="0"/>
        <w:numPr>
          <w:ilvl w:val="0"/>
          <w:numId w:val="62"/>
        </w:numPr>
        <w:kinsoku/>
        <w:wordWrap/>
        <w:overflowPunct/>
        <w:topLinePunct w:val="0"/>
        <w:autoSpaceDE/>
        <w:autoSpaceDN/>
        <w:bidi w:val="0"/>
        <w:adjustRightInd w:val="0"/>
        <w:spacing w:line="288" w:lineRule="auto"/>
        <w:ind w:left="0" w:leftChars="0" w:firstLine="420" w:firstLineChars="200"/>
        <w:jc w:val="left"/>
        <w:textAlignment w:val="baseline"/>
        <w:rPr>
          <w:rFonts w:ascii="宋体" w:hAnsi="宋体"/>
          <w:color w:val="000000"/>
          <w:highlight w:val="none"/>
        </w:rPr>
      </w:pPr>
      <w:r>
        <w:rPr>
          <w:rFonts w:ascii="宋体" w:hAnsi="宋体"/>
          <w:color w:val="000000"/>
          <w:highlight w:val="none"/>
        </w:rPr>
        <w:t>我方</w:t>
      </w:r>
      <w:r>
        <w:rPr>
          <w:rFonts w:hint="eastAsia" w:ascii="宋体" w:hAnsi="宋体"/>
          <w:color w:val="000000"/>
          <w:highlight w:val="none"/>
        </w:rPr>
        <w:t>承诺</w:t>
      </w:r>
      <w:r>
        <w:rPr>
          <w:rFonts w:ascii="宋体" w:hAnsi="宋体"/>
          <w:color w:val="000000"/>
          <w:highlight w:val="none"/>
        </w:rPr>
        <w:t>满足</w:t>
      </w:r>
      <w:r>
        <w:rPr>
          <w:rFonts w:ascii="宋体" w:hAnsi="宋体"/>
          <w:bCs/>
          <w:color w:val="000000"/>
          <w:highlight w:val="none"/>
        </w:rPr>
        <w:t>法律法规规定的其他必须符合的要求</w:t>
      </w:r>
      <w:r>
        <w:rPr>
          <w:rFonts w:ascii="宋体" w:hAnsi="宋体"/>
          <w:color w:val="000000"/>
          <w:highlight w:val="none"/>
        </w:rPr>
        <w:t>。</w:t>
      </w:r>
    </w:p>
    <w:p w14:paraId="1091BB67">
      <w:pPr>
        <w:keepNext w:val="0"/>
        <w:keepLines w:val="0"/>
        <w:pageBreakBefore w:val="0"/>
        <w:widowControl w:val="0"/>
        <w:kinsoku/>
        <w:wordWrap/>
        <w:overflowPunct/>
        <w:topLinePunct w:val="0"/>
        <w:autoSpaceDE/>
        <w:autoSpaceDN/>
        <w:bidi w:val="0"/>
        <w:spacing w:line="288" w:lineRule="auto"/>
        <w:ind w:left="0" w:leftChars="0" w:firstLine="420" w:firstLineChars="200"/>
        <w:jc w:val="left"/>
        <w:rPr>
          <w:rFonts w:ascii="宋体" w:hAnsi="宋体"/>
          <w:color w:val="000000"/>
          <w:highlight w:val="none"/>
        </w:rPr>
      </w:pPr>
      <w:r>
        <w:rPr>
          <w:rFonts w:ascii="宋体" w:hAnsi="宋体"/>
          <w:color w:val="000000"/>
          <w:highlight w:val="none"/>
        </w:rPr>
        <w:t>若我方存在</w:t>
      </w:r>
      <w:r>
        <w:rPr>
          <w:rFonts w:hint="eastAsia" w:ascii="宋体" w:hAnsi="宋体"/>
          <w:color w:val="000000"/>
          <w:highlight w:val="none"/>
        </w:rPr>
        <w:t>不满足</w:t>
      </w:r>
      <w:r>
        <w:rPr>
          <w:rFonts w:ascii="宋体" w:hAnsi="宋体"/>
          <w:color w:val="000000"/>
          <w:highlight w:val="none"/>
        </w:rPr>
        <w:t>上述情形之一，</w:t>
      </w:r>
      <w:r>
        <w:rPr>
          <w:rFonts w:hint="eastAsia" w:ascii="宋体" w:hAnsi="宋体"/>
          <w:color w:val="000000"/>
          <w:highlight w:val="none"/>
        </w:rPr>
        <w:t>招标</w:t>
      </w:r>
      <w:r>
        <w:rPr>
          <w:rFonts w:ascii="宋体" w:hAnsi="宋体"/>
          <w:color w:val="000000"/>
          <w:highlight w:val="none"/>
        </w:rPr>
        <w:t>人有权取消我方</w:t>
      </w:r>
      <w:r>
        <w:rPr>
          <w:rFonts w:hint="eastAsia" w:ascii="宋体" w:hAnsi="宋体"/>
          <w:color w:val="000000"/>
          <w:highlight w:val="none"/>
        </w:rPr>
        <w:t>中标资格</w:t>
      </w:r>
      <w:r>
        <w:rPr>
          <w:rFonts w:ascii="宋体" w:hAnsi="宋体"/>
          <w:color w:val="000000"/>
          <w:highlight w:val="none"/>
        </w:rPr>
        <w:t>，由此造成的损失由我方自行承担！</w:t>
      </w:r>
    </w:p>
    <w:p w14:paraId="5BF3854A">
      <w:pPr>
        <w:keepNext w:val="0"/>
        <w:keepLines w:val="0"/>
        <w:pageBreakBefore w:val="0"/>
        <w:widowControl w:val="0"/>
        <w:tabs>
          <w:tab w:val="left" w:pos="4320"/>
        </w:tabs>
        <w:kinsoku/>
        <w:wordWrap/>
        <w:overflowPunct/>
        <w:topLinePunct w:val="0"/>
        <w:autoSpaceDE/>
        <w:autoSpaceDN/>
        <w:bidi w:val="0"/>
        <w:adjustRightInd w:val="0"/>
        <w:snapToGrid w:val="0"/>
        <w:spacing w:line="288" w:lineRule="auto"/>
        <w:ind w:left="0" w:leftChars="0" w:firstLine="420" w:firstLineChars="200"/>
        <w:rPr>
          <w:rFonts w:ascii="宋体" w:hAnsi="宋体"/>
          <w:color w:val="000000"/>
          <w:highlight w:val="none"/>
        </w:rPr>
      </w:pPr>
      <w:r>
        <w:rPr>
          <w:rFonts w:ascii="宋体" w:hAnsi="宋体"/>
          <w:color w:val="000000"/>
          <w:highlight w:val="none"/>
        </w:rPr>
        <w:t>特此承诺！</w:t>
      </w:r>
    </w:p>
    <w:p w14:paraId="31FF3DEA">
      <w:pPr>
        <w:pStyle w:val="14"/>
        <w:keepNext w:val="0"/>
        <w:keepLines w:val="0"/>
        <w:pageBreakBefore w:val="0"/>
        <w:widowControl w:val="0"/>
        <w:kinsoku/>
        <w:overflowPunct/>
        <w:topLinePunct w:val="0"/>
        <w:autoSpaceDE/>
        <w:autoSpaceDN/>
        <w:bidi w:val="0"/>
        <w:spacing w:line="312" w:lineRule="auto"/>
        <w:ind w:left="0" w:leftChars="0"/>
        <w:rPr>
          <w:highlight w:val="none"/>
        </w:rPr>
      </w:pPr>
    </w:p>
    <w:p w14:paraId="0A062AA4">
      <w:pPr>
        <w:pStyle w:val="14"/>
        <w:keepNext w:val="0"/>
        <w:keepLines w:val="0"/>
        <w:pageBreakBefore w:val="0"/>
        <w:widowControl w:val="0"/>
        <w:kinsoku/>
        <w:overflowPunct/>
        <w:topLinePunct w:val="0"/>
        <w:autoSpaceDE/>
        <w:autoSpaceDN/>
        <w:bidi w:val="0"/>
        <w:spacing w:line="312" w:lineRule="auto"/>
        <w:ind w:left="0" w:leftChars="0"/>
        <w:rPr>
          <w:highlight w:val="none"/>
        </w:rPr>
      </w:pPr>
    </w:p>
    <w:p w14:paraId="7A603EF6">
      <w:pPr>
        <w:keepNext w:val="0"/>
        <w:keepLines w:val="0"/>
        <w:pageBreakBefore w:val="0"/>
        <w:widowControl w:val="0"/>
        <w:kinsoku/>
        <w:wordWrap w:val="0"/>
        <w:overflowPunct/>
        <w:topLinePunct w:val="0"/>
        <w:autoSpaceDE/>
        <w:autoSpaceDN/>
        <w:bidi w:val="0"/>
        <w:spacing w:line="312" w:lineRule="auto"/>
        <w:ind w:left="0" w:leftChars="0"/>
        <w:jc w:val="center"/>
        <w:rPr>
          <w:rFonts w:hint="eastAsia" w:ascii="宋体" w:hAnsi="宋体"/>
          <w:highlight w:val="none"/>
          <w:u w:val="single"/>
          <w:lang w:val="en-US" w:eastAsia="zh-CN"/>
        </w:rPr>
      </w:pPr>
      <w:r>
        <w:rPr>
          <w:rFonts w:hint="eastAsia" w:ascii="宋体" w:hAnsi="宋体"/>
          <w:highlight w:val="none"/>
        </w:rPr>
        <w:t>承诺单位：</w:t>
      </w:r>
      <w:r>
        <w:rPr>
          <w:rFonts w:hint="eastAsia" w:ascii="宋体" w:hAnsi="宋体"/>
          <w:highlight w:val="none"/>
          <w:u w:val="single"/>
          <w:lang w:val="en-US" w:eastAsia="zh-CN"/>
        </w:rPr>
        <w:t xml:space="preserve">               </w:t>
      </w:r>
    </w:p>
    <w:p w14:paraId="2C8171D4">
      <w:pPr>
        <w:keepNext w:val="0"/>
        <w:keepLines w:val="0"/>
        <w:pageBreakBefore w:val="0"/>
        <w:widowControl w:val="0"/>
        <w:kinsoku/>
        <w:wordWrap w:val="0"/>
        <w:overflowPunct/>
        <w:topLinePunct w:val="0"/>
        <w:autoSpaceDE/>
        <w:autoSpaceDN/>
        <w:bidi w:val="0"/>
        <w:spacing w:line="312" w:lineRule="auto"/>
        <w:ind w:left="0" w:leftChars="0"/>
        <w:jc w:val="center"/>
        <w:rPr>
          <w:rFonts w:hint="eastAsia" w:ascii="宋体" w:hAnsi="宋体"/>
          <w:highlight w:val="none"/>
        </w:rPr>
        <w:sectPr>
          <w:pgSz w:w="11906" w:h="16838"/>
          <w:pgMar w:top="1440" w:right="1797" w:bottom="1440" w:left="1797" w:header="851" w:footer="992" w:gutter="0"/>
          <w:pgNumType w:fmt="decimal"/>
          <w:cols w:space="425" w:num="1"/>
          <w:docGrid w:type="lines" w:linePitch="312" w:charSpace="0"/>
        </w:sectPr>
      </w:pPr>
      <w:r>
        <w:rPr>
          <w:rFonts w:hint="eastAsia" w:ascii="宋体" w:hAnsi="宋体"/>
          <w:highlight w:val="none"/>
        </w:rPr>
        <w:t>日期：年月日</w:t>
      </w:r>
    </w:p>
    <w:p w14:paraId="7135ED64">
      <w:pPr>
        <w:pStyle w:val="40"/>
        <w:numPr>
          <w:ilvl w:val="0"/>
          <w:numId w:val="57"/>
        </w:numPr>
        <w:tabs>
          <w:tab w:val="left" w:pos="588"/>
        </w:tabs>
        <w:snapToGrid w:val="0"/>
        <w:spacing w:before="120" w:after="120" w:line="440" w:lineRule="exact"/>
        <w:jc w:val="left"/>
        <w:rPr>
          <w:rFonts w:hint="eastAsia" w:ascii="宋体" w:hAnsi="宋体" w:eastAsia="宋体" w:cs="Times New Roman"/>
          <w:sz w:val="24"/>
          <w:szCs w:val="24"/>
          <w:highlight w:val="none"/>
        </w:rPr>
      </w:pPr>
      <w:bookmarkStart w:id="1111" w:name="_Toc1880"/>
      <w:bookmarkStart w:id="1112" w:name="_Toc6661"/>
      <w:bookmarkStart w:id="1113" w:name="_Toc25782"/>
      <w:bookmarkStart w:id="1114" w:name="_Toc6577"/>
      <w:bookmarkStart w:id="1115" w:name="_Toc32454"/>
      <w:bookmarkStart w:id="1116" w:name="_Toc28503"/>
      <w:bookmarkStart w:id="1117" w:name="_Toc6673"/>
      <w:r>
        <w:rPr>
          <w:rFonts w:hint="eastAsia" w:ascii="宋体" w:hAnsi="宋体" w:eastAsia="宋体" w:cs="Times New Roman"/>
          <w:sz w:val="24"/>
          <w:szCs w:val="24"/>
          <w:highlight w:val="none"/>
        </w:rPr>
        <w:t>失信被执行人查询截图</w:t>
      </w:r>
      <w:bookmarkEnd w:id="1111"/>
      <w:bookmarkEnd w:id="1112"/>
      <w:bookmarkEnd w:id="1113"/>
      <w:bookmarkEnd w:id="1114"/>
      <w:bookmarkEnd w:id="1115"/>
    </w:p>
    <w:p w14:paraId="62698B59">
      <w:pPr>
        <w:pStyle w:val="40"/>
        <w:tabs>
          <w:tab w:val="left" w:pos="588"/>
        </w:tabs>
        <w:snapToGrid w:val="0"/>
        <w:spacing w:before="120" w:after="120" w:line="440" w:lineRule="exact"/>
        <w:jc w:val="left"/>
        <w:outlineLvl w:val="9"/>
        <w:rPr>
          <w:rFonts w:ascii="Times New Roman" w:hAnsi="Times New Roman"/>
          <w:b w:val="0"/>
          <w:bCs w:val="0"/>
          <w:sz w:val="21"/>
          <w:szCs w:val="24"/>
          <w:highlight w:val="none"/>
        </w:rPr>
      </w:pPr>
      <w:bookmarkStart w:id="1118" w:name="_Toc20691"/>
      <w:bookmarkStart w:id="1119" w:name="_Toc28491"/>
      <w:bookmarkStart w:id="1120" w:name="_Toc25794"/>
      <w:bookmarkStart w:id="1121" w:name="_Toc15168"/>
      <w:bookmarkStart w:id="1122" w:name="_Toc21666"/>
      <w:bookmarkStart w:id="1123" w:name="_Toc11948"/>
      <w:bookmarkStart w:id="1124" w:name="_Toc31763"/>
      <w:bookmarkStart w:id="1125" w:name="_Toc31083"/>
      <w:bookmarkStart w:id="1126" w:name="_Toc14081"/>
      <w:r>
        <w:rPr>
          <w:rFonts w:hint="eastAsia" w:ascii="Times New Roman" w:hAnsi="Times New Roman"/>
          <w:b w:val="0"/>
          <w:bCs w:val="0"/>
          <w:sz w:val="21"/>
          <w:szCs w:val="24"/>
          <w:highlight w:val="none"/>
          <w:lang w:val="en-US" w:eastAsia="zh-CN"/>
        </w:rPr>
        <w:t>(1)</w:t>
      </w:r>
      <w:r>
        <w:rPr>
          <w:rFonts w:hint="eastAsia" w:ascii="Times New Roman" w:hAnsi="Times New Roman"/>
          <w:b w:val="0"/>
          <w:bCs w:val="0"/>
          <w:sz w:val="21"/>
          <w:szCs w:val="24"/>
          <w:highlight w:val="none"/>
        </w:rPr>
        <w:t>“信用中国”网站（www.creditchina.gov.cn）或各级信用信息共享平台公布的失信被执行人查询截图：</w:t>
      </w:r>
      <w:bookmarkEnd w:id="1118"/>
      <w:bookmarkEnd w:id="1119"/>
      <w:bookmarkEnd w:id="1120"/>
      <w:bookmarkEnd w:id="1121"/>
      <w:bookmarkEnd w:id="1122"/>
      <w:bookmarkEnd w:id="1123"/>
      <w:bookmarkEnd w:id="1124"/>
      <w:bookmarkEnd w:id="1125"/>
      <w:bookmarkEnd w:id="1126"/>
    </w:p>
    <w:p w14:paraId="1CB674F6">
      <w:pPr>
        <w:rPr>
          <w:highlight w:val="none"/>
        </w:rPr>
      </w:pPr>
    </w:p>
    <w:p w14:paraId="76EB563F">
      <w:pPr>
        <w:pStyle w:val="40"/>
        <w:tabs>
          <w:tab w:val="left" w:pos="588"/>
        </w:tabs>
        <w:snapToGrid w:val="0"/>
        <w:spacing w:before="120" w:after="120" w:line="440" w:lineRule="exact"/>
        <w:jc w:val="left"/>
        <w:outlineLvl w:val="9"/>
        <w:rPr>
          <w:rFonts w:ascii="Times New Roman" w:hAnsi="Times New Roman"/>
          <w:b w:val="0"/>
          <w:bCs w:val="0"/>
          <w:sz w:val="21"/>
          <w:szCs w:val="24"/>
          <w:highlight w:val="none"/>
        </w:rPr>
      </w:pPr>
      <w:bookmarkStart w:id="1127" w:name="_Toc15328"/>
      <w:bookmarkStart w:id="1128" w:name="_Toc23196"/>
      <w:bookmarkStart w:id="1129" w:name="_Toc3075"/>
      <w:bookmarkStart w:id="1130" w:name="_Toc22593"/>
      <w:bookmarkStart w:id="1131" w:name="_Toc31831"/>
      <w:bookmarkStart w:id="1132" w:name="_Toc19813"/>
      <w:bookmarkStart w:id="1133" w:name="_Toc30594"/>
      <w:bookmarkStart w:id="1134" w:name="_Toc22166"/>
      <w:bookmarkStart w:id="1135" w:name="_Toc29491"/>
      <w:r>
        <w:rPr>
          <w:rFonts w:hint="eastAsia" w:ascii="Times New Roman" w:hAnsi="Times New Roman"/>
          <w:b w:val="0"/>
          <w:bCs w:val="0"/>
          <w:sz w:val="21"/>
          <w:szCs w:val="24"/>
          <w:highlight w:val="none"/>
          <w:lang w:val="en-US" w:eastAsia="zh-CN"/>
        </w:rPr>
        <w:t>(2)</w:t>
      </w:r>
      <w:r>
        <w:rPr>
          <w:rFonts w:hint="eastAsia" w:ascii="Times New Roman" w:hAnsi="Times New Roman"/>
          <w:b w:val="0"/>
          <w:bCs w:val="0"/>
          <w:sz w:val="21"/>
          <w:szCs w:val="24"/>
          <w:highlight w:val="none"/>
        </w:rPr>
        <w:t>“单位行贿罪”查询记录和“合同诈骗罪”查询记录截图</w:t>
      </w:r>
      <w:bookmarkEnd w:id="1127"/>
      <w:bookmarkEnd w:id="1128"/>
      <w:bookmarkEnd w:id="1129"/>
      <w:bookmarkEnd w:id="1130"/>
      <w:bookmarkEnd w:id="1131"/>
      <w:bookmarkEnd w:id="1132"/>
      <w:bookmarkEnd w:id="1133"/>
      <w:bookmarkEnd w:id="1134"/>
    </w:p>
    <w:p w14:paraId="75B6134C">
      <w:pPr>
        <w:spacing w:line="360" w:lineRule="auto"/>
        <w:rPr>
          <w:highlight w:val="none"/>
        </w:rPr>
      </w:pPr>
      <w:r>
        <w:rPr>
          <w:rFonts w:hint="eastAsia"/>
          <w:highlight w:val="none"/>
        </w:rPr>
        <w:t>备注：投标人自行到中国裁判文书网（http://wenshu.court.gov.cn/）查询本单位最近五年内[投标截止时间前60个月]有无行贿犯罪记录和合同诈骗情况，并将查询记录截图复印件附在上表中。每个投标人应附2张查询记录，分别为“单位行贿罪”查询记录和“合同诈骗罪”查询记录。</w:t>
      </w:r>
    </w:p>
    <w:p w14:paraId="26EDA4E7">
      <w:pPr>
        <w:spacing w:line="360" w:lineRule="auto"/>
        <w:rPr>
          <w:highlight w:val="none"/>
        </w:rPr>
      </w:pPr>
    </w:p>
    <w:p w14:paraId="7EEB0935">
      <w:pPr>
        <w:rPr>
          <w:rFonts w:ascii="宋体" w:hAnsi="宋体"/>
          <w:sz w:val="24"/>
          <w:highlight w:val="none"/>
        </w:rPr>
      </w:pPr>
    </w:p>
    <w:p w14:paraId="2CE727B4">
      <w:pPr>
        <w:pStyle w:val="40"/>
        <w:tabs>
          <w:tab w:val="left" w:pos="588"/>
        </w:tabs>
        <w:snapToGrid w:val="0"/>
        <w:spacing w:before="120" w:after="120" w:line="440" w:lineRule="exact"/>
        <w:jc w:val="left"/>
        <w:outlineLvl w:val="9"/>
        <w:rPr>
          <w:rFonts w:ascii="Times New Roman" w:hAnsi="Times New Roman"/>
          <w:b w:val="0"/>
          <w:bCs w:val="0"/>
          <w:sz w:val="21"/>
          <w:szCs w:val="24"/>
          <w:highlight w:val="none"/>
        </w:rPr>
      </w:pPr>
    </w:p>
    <w:bookmarkEnd w:id="1116"/>
    <w:bookmarkEnd w:id="1117"/>
    <w:bookmarkEnd w:id="1135"/>
    <w:p w14:paraId="3788EF2E">
      <w:pPr>
        <w:rPr>
          <w:rFonts w:ascii="宋体" w:hAnsi="宋体"/>
          <w:sz w:val="24"/>
          <w:highlight w:val="none"/>
        </w:rPr>
      </w:pPr>
    </w:p>
    <w:p w14:paraId="78D5BFDE">
      <w:pPr>
        <w:rPr>
          <w:rFonts w:ascii="宋体" w:hAnsi="宋体"/>
          <w:sz w:val="24"/>
          <w:highlight w:val="none"/>
        </w:rPr>
      </w:pPr>
      <w:r>
        <w:rPr>
          <w:rFonts w:hint="eastAsia" w:ascii="宋体" w:hAnsi="宋体"/>
          <w:sz w:val="24"/>
          <w:highlight w:val="none"/>
        </w:rPr>
        <w:br w:type="page"/>
      </w:r>
    </w:p>
    <w:p w14:paraId="6D807FD5">
      <w:pPr>
        <w:pStyle w:val="40"/>
        <w:numPr>
          <w:ilvl w:val="0"/>
          <w:numId w:val="63"/>
        </w:numPr>
        <w:tabs>
          <w:tab w:val="left" w:pos="588"/>
        </w:tabs>
        <w:snapToGrid w:val="0"/>
        <w:spacing w:before="120" w:after="120" w:line="440" w:lineRule="exact"/>
        <w:jc w:val="left"/>
        <w:rPr>
          <w:rFonts w:ascii="宋体" w:hAnsi="宋体"/>
          <w:sz w:val="24"/>
          <w:szCs w:val="24"/>
          <w:highlight w:val="none"/>
        </w:rPr>
        <w:sectPr>
          <w:pgSz w:w="11906" w:h="16838"/>
          <w:pgMar w:top="1440" w:right="1797" w:bottom="1440" w:left="1797" w:header="851" w:footer="992" w:gutter="0"/>
          <w:pgNumType w:fmt="decimal"/>
          <w:cols w:space="425" w:num="1"/>
          <w:docGrid w:type="lines" w:linePitch="312" w:charSpace="0"/>
        </w:sectPr>
      </w:pPr>
    </w:p>
    <w:p w14:paraId="60D32A44">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36" w:name="_Toc31533"/>
      <w:r>
        <w:rPr>
          <w:rFonts w:hint="eastAsia" w:ascii="宋体" w:hAnsi="宋体"/>
          <w:sz w:val="24"/>
          <w:szCs w:val="24"/>
          <w:highlight w:val="none"/>
          <w:lang w:val="en-US" w:eastAsia="zh-CN"/>
        </w:rPr>
        <w:t>类似项目业绩</w:t>
      </w:r>
      <w:bookmarkEnd w:id="1136"/>
    </w:p>
    <w:p w14:paraId="401DF95F">
      <w:pPr>
        <w:spacing w:line="360" w:lineRule="auto"/>
        <w:jc w:val="center"/>
        <w:rPr>
          <w:b/>
          <w:highlight w:val="none"/>
        </w:rPr>
      </w:pPr>
      <w:r>
        <w:rPr>
          <w:rFonts w:hint="eastAsia"/>
          <w:b/>
          <w:highlight w:val="none"/>
        </w:rPr>
        <w:t>近年（20</w:t>
      </w:r>
      <w:r>
        <w:rPr>
          <w:rFonts w:hint="eastAsia"/>
          <w:b/>
          <w:highlight w:val="none"/>
          <w:lang w:val="en-US" w:eastAsia="zh-CN"/>
        </w:rPr>
        <w:t>21</w:t>
      </w:r>
      <w:r>
        <w:rPr>
          <w:rFonts w:hint="eastAsia"/>
          <w:b/>
          <w:highlight w:val="none"/>
        </w:rPr>
        <w:t>年1月1日至投标截止日）类似项目的业绩情况</w:t>
      </w:r>
      <w:r>
        <w:rPr>
          <w:b/>
          <w:highlight w:val="none"/>
        </w:rPr>
        <w:t>表</w:t>
      </w:r>
    </w:p>
    <w:tbl>
      <w:tblPr>
        <w:tblStyle w:val="42"/>
        <w:tblW w:w="10359" w:type="dxa"/>
        <w:jc w:val="center"/>
        <w:tblLayout w:type="fixed"/>
        <w:tblCellMar>
          <w:top w:w="0" w:type="dxa"/>
          <w:left w:w="108" w:type="dxa"/>
          <w:bottom w:w="0" w:type="dxa"/>
          <w:right w:w="108" w:type="dxa"/>
        </w:tblCellMar>
      </w:tblPr>
      <w:tblGrid>
        <w:gridCol w:w="656"/>
        <w:gridCol w:w="1062"/>
        <w:gridCol w:w="1258"/>
        <w:gridCol w:w="870"/>
        <w:gridCol w:w="1546"/>
        <w:gridCol w:w="1536"/>
        <w:gridCol w:w="1868"/>
        <w:gridCol w:w="1563"/>
      </w:tblGrid>
      <w:tr w14:paraId="28A5BE5C">
        <w:tblPrEx>
          <w:tblCellMar>
            <w:top w:w="0" w:type="dxa"/>
            <w:left w:w="108" w:type="dxa"/>
            <w:bottom w:w="0" w:type="dxa"/>
            <w:right w:w="108" w:type="dxa"/>
          </w:tblCellMar>
        </w:tblPrEx>
        <w:trPr>
          <w:cantSplit/>
          <w:trHeight w:val="927" w:hRule="atLeast"/>
          <w:jc w:val="center"/>
        </w:trPr>
        <w:tc>
          <w:tcPr>
            <w:tcW w:w="656" w:type="dxa"/>
            <w:tcBorders>
              <w:top w:val="single" w:color="auto" w:sz="6" w:space="0"/>
              <w:left w:val="single" w:color="auto" w:sz="6" w:space="0"/>
              <w:bottom w:val="single" w:color="auto" w:sz="6" w:space="0"/>
              <w:right w:val="single" w:color="auto" w:sz="6" w:space="0"/>
            </w:tcBorders>
            <w:vAlign w:val="center"/>
          </w:tcPr>
          <w:p w14:paraId="2E78668C">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序号</w:t>
            </w:r>
          </w:p>
        </w:tc>
        <w:tc>
          <w:tcPr>
            <w:tcW w:w="1062" w:type="dxa"/>
            <w:tcBorders>
              <w:top w:val="single" w:color="auto" w:sz="6" w:space="0"/>
              <w:left w:val="single" w:color="auto" w:sz="6" w:space="0"/>
              <w:bottom w:val="single" w:color="auto" w:sz="6" w:space="0"/>
              <w:right w:val="single" w:color="auto" w:sz="6" w:space="0"/>
            </w:tcBorders>
            <w:vAlign w:val="center"/>
          </w:tcPr>
          <w:p w14:paraId="396A3146">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甲方名称</w:t>
            </w:r>
          </w:p>
        </w:tc>
        <w:tc>
          <w:tcPr>
            <w:tcW w:w="1258" w:type="dxa"/>
            <w:tcBorders>
              <w:top w:val="single" w:color="auto" w:sz="6" w:space="0"/>
              <w:left w:val="single" w:color="auto" w:sz="6" w:space="0"/>
              <w:bottom w:val="single" w:color="auto" w:sz="6" w:space="0"/>
              <w:right w:val="single" w:color="auto" w:sz="6" w:space="0"/>
            </w:tcBorders>
            <w:vAlign w:val="center"/>
          </w:tcPr>
          <w:p w14:paraId="55B0DA36">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项目名称</w:t>
            </w:r>
          </w:p>
        </w:tc>
        <w:tc>
          <w:tcPr>
            <w:tcW w:w="870" w:type="dxa"/>
            <w:tcBorders>
              <w:top w:val="single" w:color="auto" w:sz="6" w:space="0"/>
              <w:left w:val="single" w:color="auto" w:sz="6" w:space="0"/>
              <w:bottom w:val="single" w:color="auto" w:sz="6" w:space="0"/>
              <w:right w:val="single" w:color="auto" w:sz="6" w:space="0"/>
            </w:tcBorders>
            <w:vAlign w:val="center"/>
          </w:tcPr>
          <w:p w14:paraId="062F051B">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类别</w:t>
            </w:r>
          </w:p>
        </w:tc>
        <w:tc>
          <w:tcPr>
            <w:tcW w:w="1546" w:type="dxa"/>
            <w:tcBorders>
              <w:top w:val="single" w:color="auto" w:sz="6" w:space="0"/>
              <w:left w:val="single" w:color="auto" w:sz="6" w:space="0"/>
              <w:bottom w:val="single" w:color="auto" w:sz="6" w:space="0"/>
              <w:right w:val="single" w:color="auto" w:sz="6" w:space="0"/>
            </w:tcBorders>
            <w:vAlign w:val="center"/>
          </w:tcPr>
          <w:p w14:paraId="27737319">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合同总额</w:t>
            </w:r>
          </w:p>
          <w:p w14:paraId="21B1976E">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（万元）</w:t>
            </w:r>
          </w:p>
        </w:tc>
        <w:tc>
          <w:tcPr>
            <w:tcW w:w="1536" w:type="dxa"/>
            <w:tcBorders>
              <w:top w:val="single" w:color="auto" w:sz="6" w:space="0"/>
              <w:left w:val="single" w:color="auto" w:sz="6" w:space="0"/>
              <w:bottom w:val="single" w:color="auto" w:sz="6" w:space="0"/>
              <w:right w:val="single" w:color="auto" w:sz="6" w:space="0"/>
            </w:tcBorders>
            <w:vAlign w:val="center"/>
          </w:tcPr>
          <w:p w14:paraId="36FF5661">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甲方联系人</w:t>
            </w:r>
          </w:p>
        </w:tc>
        <w:tc>
          <w:tcPr>
            <w:tcW w:w="1868" w:type="dxa"/>
            <w:tcBorders>
              <w:top w:val="single" w:color="auto" w:sz="6" w:space="0"/>
              <w:left w:val="single" w:color="auto" w:sz="6" w:space="0"/>
              <w:bottom w:val="single" w:color="auto" w:sz="6" w:space="0"/>
              <w:right w:val="single" w:color="auto" w:sz="6" w:space="0"/>
            </w:tcBorders>
            <w:vAlign w:val="center"/>
          </w:tcPr>
          <w:p w14:paraId="0415E3F1">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联系电话</w:t>
            </w:r>
          </w:p>
        </w:tc>
        <w:tc>
          <w:tcPr>
            <w:tcW w:w="1563" w:type="dxa"/>
            <w:tcBorders>
              <w:top w:val="single" w:color="auto" w:sz="6" w:space="0"/>
              <w:left w:val="single" w:color="auto" w:sz="6" w:space="0"/>
              <w:right w:val="single" w:color="auto" w:sz="6" w:space="0"/>
            </w:tcBorders>
            <w:vAlign w:val="center"/>
          </w:tcPr>
          <w:p w14:paraId="058B020B">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证明材料对应页码</w:t>
            </w:r>
          </w:p>
        </w:tc>
      </w:tr>
      <w:tr w14:paraId="13F8D9A1">
        <w:tblPrEx>
          <w:tblCellMar>
            <w:top w:w="0" w:type="dxa"/>
            <w:left w:w="108" w:type="dxa"/>
            <w:bottom w:w="0" w:type="dxa"/>
            <w:right w:w="108" w:type="dxa"/>
          </w:tblCellMar>
        </w:tblPrEx>
        <w:trPr>
          <w:trHeight w:val="444" w:hRule="atLeast"/>
          <w:jc w:val="center"/>
        </w:trPr>
        <w:tc>
          <w:tcPr>
            <w:tcW w:w="656" w:type="dxa"/>
            <w:tcBorders>
              <w:top w:val="single" w:color="auto" w:sz="6" w:space="0"/>
              <w:left w:val="single" w:color="auto" w:sz="6" w:space="0"/>
              <w:bottom w:val="single" w:color="auto" w:sz="6" w:space="0"/>
              <w:right w:val="single" w:color="auto" w:sz="6" w:space="0"/>
            </w:tcBorders>
            <w:vAlign w:val="center"/>
          </w:tcPr>
          <w:p w14:paraId="53803518">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062" w:type="dxa"/>
            <w:tcBorders>
              <w:top w:val="single" w:color="auto" w:sz="6" w:space="0"/>
              <w:left w:val="single" w:color="auto" w:sz="6" w:space="0"/>
              <w:bottom w:val="single" w:color="auto" w:sz="6" w:space="0"/>
              <w:right w:val="single" w:color="auto" w:sz="6" w:space="0"/>
            </w:tcBorders>
            <w:vAlign w:val="center"/>
          </w:tcPr>
          <w:p w14:paraId="2C937EF8">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258" w:type="dxa"/>
            <w:tcBorders>
              <w:top w:val="single" w:color="auto" w:sz="6" w:space="0"/>
              <w:left w:val="single" w:color="auto" w:sz="6" w:space="0"/>
              <w:bottom w:val="single" w:color="auto" w:sz="6" w:space="0"/>
              <w:right w:val="single" w:color="auto" w:sz="6" w:space="0"/>
            </w:tcBorders>
            <w:vAlign w:val="center"/>
          </w:tcPr>
          <w:p w14:paraId="60A54727">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870" w:type="dxa"/>
            <w:tcBorders>
              <w:top w:val="single" w:color="auto" w:sz="6" w:space="0"/>
              <w:left w:val="single" w:color="auto" w:sz="6" w:space="0"/>
              <w:bottom w:val="single" w:color="auto" w:sz="6" w:space="0"/>
              <w:right w:val="single" w:color="auto" w:sz="6" w:space="0"/>
            </w:tcBorders>
            <w:vAlign w:val="center"/>
          </w:tcPr>
          <w:p w14:paraId="28E5D57D">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46" w:type="dxa"/>
            <w:tcBorders>
              <w:top w:val="single" w:color="auto" w:sz="6" w:space="0"/>
              <w:left w:val="single" w:color="auto" w:sz="6" w:space="0"/>
              <w:bottom w:val="single" w:color="auto" w:sz="6" w:space="0"/>
              <w:right w:val="single" w:color="auto" w:sz="6" w:space="0"/>
            </w:tcBorders>
            <w:vAlign w:val="center"/>
          </w:tcPr>
          <w:p w14:paraId="3CBC7F2D">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36" w:type="dxa"/>
            <w:tcBorders>
              <w:top w:val="single" w:color="auto" w:sz="6" w:space="0"/>
              <w:left w:val="single" w:color="auto" w:sz="6" w:space="0"/>
              <w:bottom w:val="single" w:color="auto" w:sz="6" w:space="0"/>
              <w:right w:val="single" w:color="auto" w:sz="6" w:space="0"/>
            </w:tcBorders>
            <w:vAlign w:val="center"/>
          </w:tcPr>
          <w:p w14:paraId="5A41DC17">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868" w:type="dxa"/>
            <w:tcBorders>
              <w:top w:val="single" w:color="auto" w:sz="6" w:space="0"/>
              <w:left w:val="single" w:color="auto" w:sz="6" w:space="0"/>
              <w:bottom w:val="single" w:color="auto" w:sz="6" w:space="0"/>
              <w:right w:val="single" w:color="auto" w:sz="6" w:space="0"/>
            </w:tcBorders>
            <w:vAlign w:val="center"/>
          </w:tcPr>
          <w:p w14:paraId="504DF719">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63" w:type="dxa"/>
            <w:tcBorders>
              <w:top w:val="single" w:color="auto" w:sz="6" w:space="0"/>
              <w:left w:val="single" w:color="auto" w:sz="6" w:space="0"/>
              <w:bottom w:val="single" w:color="auto" w:sz="6" w:space="0"/>
              <w:right w:val="single" w:color="auto" w:sz="6" w:space="0"/>
            </w:tcBorders>
          </w:tcPr>
          <w:p w14:paraId="2FAE41E5">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r>
      <w:tr w14:paraId="74D3D3B0">
        <w:tblPrEx>
          <w:tblCellMar>
            <w:top w:w="0" w:type="dxa"/>
            <w:left w:w="108" w:type="dxa"/>
            <w:bottom w:w="0" w:type="dxa"/>
            <w:right w:w="108" w:type="dxa"/>
          </w:tblCellMar>
        </w:tblPrEx>
        <w:trPr>
          <w:trHeight w:val="444" w:hRule="atLeast"/>
          <w:jc w:val="center"/>
        </w:trPr>
        <w:tc>
          <w:tcPr>
            <w:tcW w:w="656" w:type="dxa"/>
            <w:tcBorders>
              <w:top w:val="single" w:color="auto" w:sz="6" w:space="0"/>
              <w:left w:val="single" w:color="auto" w:sz="6" w:space="0"/>
              <w:bottom w:val="single" w:color="auto" w:sz="6" w:space="0"/>
              <w:right w:val="single" w:color="auto" w:sz="6" w:space="0"/>
            </w:tcBorders>
            <w:vAlign w:val="center"/>
          </w:tcPr>
          <w:p w14:paraId="606DE0CA">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062" w:type="dxa"/>
            <w:tcBorders>
              <w:top w:val="single" w:color="auto" w:sz="6" w:space="0"/>
              <w:left w:val="single" w:color="auto" w:sz="6" w:space="0"/>
              <w:bottom w:val="single" w:color="auto" w:sz="6" w:space="0"/>
              <w:right w:val="single" w:color="auto" w:sz="6" w:space="0"/>
            </w:tcBorders>
            <w:vAlign w:val="center"/>
          </w:tcPr>
          <w:p w14:paraId="7A67C083">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258" w:type="dxa"/>
            <w:tcBorders>
              <w:top w:val="single" w:color="auto" w:sz="6" w:space="0"/>
              <w:left w:val="single" w:color="auto" w:sz="6" w:space="0"/>
              <w:bottom w:val="single" w:color="auto" w:sz="6" w:space="0"/>
              <w:right w:val="single" w:color="auto" w:sz="6" w:space="0"/>
            </w:tcBorders>
            <w:vAlign w:val="center"/>
          </w:tcPr>
          <w:p w14:paraId="68227221">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870" w:type="dxa"/>
            <w:tcBorders>
              <w:top w:val="single" w:color="auto" w:sz="6" w:space="0"/>
              <w:left w:val="single" w:color="auto" w:sz="6" w:space="0"/>
              <w:bottom w:val="single" w:color="auto" w:sz="6" w:space="0"/>
              <w:right w:val="single" w:color="auto" w:sz="6" w:space="0"/>
            </w:tcBorders>
            <w:vAlign w:val="center"/>
          </w:tcPr>
          <w:p w14:paraId="26B6A96F">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46" w:type="dxa"/>
            <w:tcBorders>
              <w:top w:val="single" w:color="auto" w:sz="6" w:space="0"/>
              <w:left w:val="single" w:color="auto" w:sz="6" w:space="0"/>
              <w:bottom w:val="single" w:color="auto" w:sz="6" w:space="0"/>
              <w:right w:val="single" w:color="auto" w:sz="6" w:space="0"/>
            </w:tcBorders>
            <w:vAlign w:val="center"/>
          </w:tcPr>
          <w:p w14:paraId="7B084CE4">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36" w:type="dxa"/>
            <w:tcBorders>
              <w:top w:val="single" w:color="auto" w:sz="6" w:space="0"/>
              <w:left w:val="single" w:color="auto" w:sz="6" w:space="0"/>
              <w:bottom w:val="single" w:color="auto" w:sz="6" w:space="0"/>
              <w:right w:val="single" w:color="auto" w:sz="6" w:space="0"/>
            </w:tcBorders>
            <w:vAlign w:val="center"/>
          </w:tcPr>
          <w:p w14:paraId="52890D45">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868" w:type="dxa"/>
            <w:tcBorders>
              <w:top w:val="single" w:color="auto" w:sz="6" w:space="0"/>
              <w:left w:val="single" w:color="auto" w:sz="6" w:space="0"/>
              <w:bottom w:val="single" w:color="auto" w:sz="6" w:space="0"/>
              <w:right w:val="single" w:color="auto" w:sz="6" w:space="0"/>
            </w:tcBorders>
            <w:vAlign w:val="center"/>
          </w:tcPr>
          <w:p w14:paraId="0C909233">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63" w:type="dxa"/>
            <w:tcBorders>
              <w:top w:val="single" w:color="auto" w:sz="6" w:space="0"/>
              <w:left w:val="single" w:color="auto" w:sz="6" w:space="0"/>
              <w:bottom w:val="single" w:color="auto" w:sz="6" w:space="0"/>
              <w:right w:val="single" w:color="auto" w:sz="6" w:space="0"/>
            </w:tcBorders>
          </w:tcPr>
          <w:p w14:paraId="200DC4F6">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r>
      <w:tr w14:paraId="47BFEC0B">
        <w:tblPrEx>
          <w:tblCellMar>
            <w:top w:w="0" w:type="dxa"/>
            <w:left w:w="108" w:type="dxa"/>
            <w:bottom w:w="0" w:type="dxa"/>
            <w:right w:w="108" w:type="dxa"/>
          </w:tblCellMar>
        </w:tblPrEx>
        <w:trPr>
          <w:trHeight w:val="444" w:hRule="atLeast"/>
          <w:jc w:val="center"/>
        </w:trPr>
        <w:tc>
          <w:tcPr>
            <w:tcW w:w="656" w:type="dxa"/>
            <w:tcBorders>
              <w:top w:val="single" w:color="auto" w:sz="6" w:space="0"/>
              <w:left w:val="single" w:color="auto" w:sz="6" w:space="0"/>
              <w:bottom w:val="single" w:color="auto" w:sz="6" w:space="0"/>
              <w:right w:val="single" w:color="auto" w:sz="6" w:space="0"/>
            </w:tcBorders>
            <w:vAlign w:val="center"/>
          </w:tcPr>
          <w:p w14:paraId="531B34D4">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062" w:type="dxa"/>
            <w:tcBorders>
              <w:top w:val="single" w:color="auto" w:sz="6" w:space="0"/>
              <w:left w:val="single" w:color="auto" w:sz="6" w:space="0"/>
              <w:bottom w:val="single" w:color="auto" w:sz="6" w:space="0"/>
              <w:right w:val="single" w:color="auto" w:sz="6" w:space="0"/>
            </w:tcBorders>
            <w:vAlign w:val="center"/>
          </w:tcPr>
          <w:p w14:paraId="4C069B3B">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258" w:type="dxa"/>
            <w:tcBorders>
              <w:top w:val="single" w:color="auto" w:sz="6" w:space="0"/>
              <w:left w:val="single" w:color="auto" w:sz="6" w:space="0"/>
              <w:bottom w:val="single" w:color="auto" w:sz="6" w:space="0"/>
              <w:right w:val="single" w:color="auto" w:sz="6" w:space="0"/>
            </w:tcBorders>
            <w:vAlign w:val="center"/>
          </w:tcPr>
          <w:p w14:paraId="2E70625F">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870" w:type="dxa"/>
            <w:tcBorders>
              <w:top w:val="single" w:color="auto" w:sz="6" w:space="0"/>
              <w:left w:val="single" w:color="auto" w:sz="6" w:space="0"/>
              <w:bottom w:val="single" w:color="auto" w:sz="6" w:space="0"/>
              <w:right w:val="single" w:color="auto" w:sz="6" w:space="0"/>
            </w:tcBorders>
            <w:vAlign w:val="center"/>
          </w:tcPr>
          <w:p w14:paraId="78DDA6BF">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46" w:type="dxa"/>
            <w:tcBorders>
              <w:top w:val="single" w:color="auto" w:sz="6" w:space="0"/>
              <w:left w:val="single" w:color="auto" w:sz="6" w:space="0"/>
              <w:bottom w:val="single" w:color="auto" w:sz="6" w:space="0"/>
              <w:right w:val="single" w:color="auto" w:sz="6" w:space="0"/>
            </w:tcBorders>
            <w:vAlign w:val="center"/>
          </w:tcPr>
          <w:p w14:paraId="4C704CE6">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36" w:type="dxa"/>
            <w:tcBorders>
              <w:top w:val="single" w:color="auto" w:sz="6" w:space="0"/>
              <w:left w:val="single" w:color="auto" w:sz="6" w:space="0"/>
              <w:bottom w:val="single" w:color="auto" w:sz="6" w:space="0"/>
              <w:right w:val="single" w:color="auto" w:sz="6" w:space="0"/>
            </w:tcBorders>
            <w:vAlign w:val="center"/>
          </w:tcPr>
          <w:p w14:paraId="63FD4684">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868" w:type="dxa"/>
            <w:tcBorders>
              <w:top w:val="single" w:color="auto" w:sz="6" w:space="0"/>
              <w:left w:val="single" w:color="auto" w:sz="6" w:space="0"/>
              <w:bottom w:val="single" w:color="auto" w:sz="6" w:space="0"/>
              <w:right w:val="single" w:color="auto" w:sz="6" w:space="0"/>
            </w:tcBorders>
            <w:vAlign w:val="center"/>
          </w:tcPr>
          <w:p w14:paraId="28C6D2DA">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63" w:type="dxa"/>
            <w:tcBorders>
              <w:top w:val="single" w:color="auto" w:sz="6" w:space="0"/>
              <w:left w:val="single" w:color="auto" w:sz="6" w:space="0"/>
              <w:bottom w:val="single" w:color="auto" w:sz="6" w:space="0"/>
              <w:right w:val="single" w:color="auto" w:sz="6" w:space="0"/>
            </w:tcBorders>
          </w:tcPr>
          <w:p w14:paraId="5DB4D8DD">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r>
      <w:tr w14:paraId="5C69FBD4">
        <w:tblPrEx>
          <w:tblCellMar>
            <w:top w:w="0" w:type="dxa"/>
            <w:left w:w="108" w:type="dxa"/>
            <w:bottom w:w="0" w:type="dxa"/>
            <w:right w:w="108" w:type="dxa"/>
          </w:tblCellMar>
        </w:tblPrEx>
        <w:trPr>
          <w:trHeight w:val="444" w:hRule="atLeast"/>
          <w:jc w:val="center"/>
        </w:trPr>
        <w:tc>
          <w:tcPr>
            <w:tcW w:w="656" w:type="dxa"/>
            <w:tcBorders>
              <w:top w:val="single" w:color="auto" w:sz="6" w:space="0"/>
              <w:left w:val="single" w:color="auto" w:sz="6" w:space="0"/>
              <w:bottom w:val="single" w:color="auto" w:sz="6" w:space="0"/>
              <w:right w:val="single" w:color="auto" w:sz="6" w:space="0"/>
            </w:tcBorders>
            <w:vAlign w:val="center"/>
          </w:tcPr>
          <w:p w14:paraId="10003C63">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062" w:type="dxa"/>
            <w:tcBorders>
              <w:top w:val="single" w:color="auto" w:sz="6" w:space="0"/>
              <w:left w:val="single" w:color="auto" w:sz="6" w:space="0"/>
              <w:bottom w:val="single" w:color="auto" w:sz="6" w:space="0"/>
              <w:right w:val="single" w:color="auto" w:sz="6" w:space="0"/>
            </w:tcBorders>
            <w:vAlign w:val="center"/>
          </w:tcPr>
          <w:p w14:paraId="59AE7FB6">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合计</w:t>
            </w:r>
          </w:p>
        </w:tc>
        <w:tc>
          <w:tcPr>
            <w:tcW w:w="1258" w:type="dxa"/>
            <w:tcBorders>
              <w:top w:val="single" w:color="auto" w:sz="6" w:space="0"/>
              <w:left w:val="single" w:color="auto" w:sz="6" w:space="0"/>
              <w:bottom w:val="single" w:color="auto" w:sz="6" w:space="0"/>
              <w:right w:val="single" w:color="auto" w:sz="6" w:space="0"/>
            </w:tcBorders>
            <w:vAlign w:val="center"/>
          </w:tcPr>
          <w:p w14:paraId="4F1CF011">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870" w:type="dxa"/>
            <w:tcBorders>
              <w:top w:val="single" w:color="auto" w:sz="6" w:space="0"/>
              <w:left w:val="single" w:color="auto" w:sz="6" w:space="0"/>
              <w:bottom w:val="single" w:color="auto" w:sz="6" w:space="0"/>
              <w:right w:val="single" w:color="auto" w:sz="6" w:space="0"/>
            </w:tcBorders>
            <w:vAlign w:val="center"/>
          </w:tcPr>
          <w:p w14:paraId="3FBE74E9">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46" w:type="dxa"/>
            <w:tcBorders>
              <w:top w:val="single" w:color="auto" w:sz="6" w:space="0"/>
              <w:left w:val="single" w:color="auto" w:sz="6" w:space="0"/>
              <w:bottom w:val="single" w:color="auto" w:sz="6" w:space="0"/>
              <w:right w:val="single" w:color="auto" w:sz="6" w:space="0"/>
            </w:tcBorders>
            <w:vAlign w:val="center"/>
          </w:tcPr>
          <w:p w14:paraId="50DE6E89">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36" w:type="dxa"/>
            <w:tcBorders>
              <w:top w:val="single" w:color="auto" w:sz="6" w:space="0"/>
              <w:left w:val="single" w:color="auto" w:sz="6" w:space="0"/>
              <w:bottom w:val="single" w:color="auto" w:sz="6" w:space="0"/>
              <w:right w:val="single" w:color="auto" w:sz="6" w:space="0"/>
            </w:tcBorders>
            <w:vAlign w:val="center"/>
          </w:tcPr>
          <w:p w14:paraId="0D510674">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868" w:type="dxa"/>
            <w:tcBorders>
              <w:top w:val="single" w:color="auto" w:sz="6" w:space="0"/>
              <w:left w:val="single" w:color="auto" w:sz="6" w:space="0"/>
              <w:bottom w:val="single" w:color="auto" w:sz="6" w:space="0"/>
              <w:right w:val="single" w:color="auto" w:sz="6" w:space="0"/>
            </w:tcBorders>
            <w:vAlign w:val="center"/>
          </w:tcPr>
          <w:p w14:paraId="24C6E010">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c>
          <w:tcPr>
            <w:tcW w:w="1563" w:type="dxa"/>
            <w:tcBorders>
              <w:top w:val="single" w:color="auto" w:sz="6" w:space="0"/>
              <w:left w:val="single" w:color="auto" w:sz="6" w:space="0"/>
              <w:bottom w:val="single" w:color="auto" w:sz="6" w:space="0"/>
              <w:right w:val="single" w:color="auto" w:sz="6" w:space="0"/>
            </w:tcBorders>
          </w:tcPr>
          <w:p w14:paraId="4E4BA4C1">
            <w:pPr>
              <w:tabs>
                <w:tab w:val="left" w:pos="0"/>
                <w:tab w:val="left" w:pos="9682"/>
              </w:tabs>
              <w:autoSpaceDE w:val="0"/>
              <w:autoSpaceDN w:val="0"/>
              <w:adjustRightInd w:val="0"/>
              <w:spacing w:before="100" w:after="100"/>
              <w:ind w:right="-42"/>
              <w:jc w:val="center"/>
              <w:rPr>
                <w:rFonts w:asciiTheme="minorEastAsia" w:hAnsiTheme="minorEastAsia" w:eastAsiaTheme="minorEastAsia" w:cstheme="minorEastAsia"/>
                <w:szCs w:val="21"/>
                <w:highlight w:val="none"/>
              </w:rPr>
            </w:pPr>
          </w:p>
        </w:tc>
      </w:tr>
    </w:tbl>
    <w:p w14:paraId="6BFA5E80">
      <w:pPr>
        <w:spacing w:line="440" w:lineRule="exact"/>
        <w:rPr>
          <w:rFonts w:ascii="宋体" w:hAnsi="宋体"/>
          <w:szCs w:val="21"/>
          <w:highlight w:val="none"/>
        </w:rPr>
      </w:pPr>
    </w:p>
    <w:p w14:paraId="489BF5E4">
      <w:pPr>
        <w:spacing w:line="440" w:lineRule="exact"/>
        <w:ind w:firstLine="1134" w:firstLineChars="540"/>
        <w:rPr>
          <w:rFonts w:hint="eastAsia" w:ascii="宋体" w:hAnsi="宋体"/>
          <w:szCs w:val="21"/>
          <w:highlight w:val="none"/>
          <w:u w:val="single"/>
        </w:rPr>
      </w:pPr>
      <w:r>
        <w:rPr>
          <w:rFonts w:hint="eastAsia" w:ascii="宋体" w:hAnsi="宋体"/>
          <w:szCs w:val="21"/>
          <w:highlight w:val="none"/>
        </w:rPr>
        <w:t>投标人名称：</w:t>
      </w:r>
      <w:r>
        <w:rPr>
          <w:rFonts w:hint="eastAsia" w:ascii="宋体" w:hAnsi="宋体"/>
          <w:szCs w:val="21"/>
          <w:highlight w:val="none"/>
          <w:u w:val="single"/>
        </w:rPr>
        <w:t>　　　　　　　　</w:t>
      </w:r>
    </w:p>
    <w:p w14:paraId="34D771A7">
      <w:pPr>
        <w:spacing w:line="440" w:lineRule="exact"/>
        <w:ind w:firstLine="1134" w:firstLineChars="540"/>
        <w:rPr>
          <w:rFonts w:ascii="宋体" w:hAnsi="宋体"/>
          <w:szCs w:val="21"/>
          <w:highlight w:val="none"/>
        </w:rPr>
      </w:pPr>
      <w:r>
        <w:rPr>
          <w:rFonts w:hint="eastAsia" w:ascii="宋体" w:hAnsi="宋体"/>
          <w:szCs w:val="21"/>
          <w:highlight w:val="none"/>
        </w:rPr>
        <w:t>日期：XX年 XX月XX日</w:t>
      </w:r>
    </w:p>
    <w:p w14:paraId="4F74BDA5">
      <w:pPr>
        <w:adjustRightInd w:val="0"/>
        <w:snapToGrid w:val="0"/>
        <w:spacing w:line="440" w:lineRule="exact"/>
        <w:ind w:right="210"/>
        <w:jc w:val="right"/>
        <w:rPr>
          <w:rFonts w:ascii="宋体" w:hAnsi="宋体"/>
          <w:szCs w:val="21"/>
          <w:highlight w:val="none"/>
        </w:rPr>
      </w:pPr>
    </w:p>
    <w:p w14:paraId="5B591F0E">
      <w:pPr>
        <w:numPr>
          <w:ilvl w:val="0"/>
          <w:numId w:val="0"/>
        </w:numPr>
        <w:topLinePunct/>
        <w:spacing w:line="440" w:lineRule="exact"/>
        <w:ind w:leftChars="0"/>
        <w:jc w:val="left"/>
        <w:rPr>
          <w:rFonts w:asciiTheme="minorEastAsia" w:hAnsiTheme="minorEastAsia" w:eastAsiaTheme="minorEastAsia"/>
          <w:highlight w:val="none"/>
        </w:rPr>
      </w:pPr>
      <w:r>
        <w:rPr>
          <w:rFonts w:hint="eastAsia" w:ascii="宋体" w:hAnsi="宋体"/>
          <w:b/>
          <w:highlight w:val="none"/>
        </w:rPr>
        <w:t>编制要求：</w:t>
      </w:r>
      <w:r>
        <w:rPr>
          <w:rFonts w:hint="eastAsia" w:asciiTheme="minorEastAsia" w:hAnsiTheme="minorEastAsia" w:eastAsiaTheme="minorEastAsia"/>
          <w:highlight w:val="none"/>
        </w:rPr>
        <w:t>按照投标人资格要求和评分表的业绩要求提供。</w:t>
      </w:r>
    </w:p>
    <w:p w14:paraId="12296D27">
      <w:pPr>
        <w:topLinePunct/>
        <w:spacing w:line="440" w:lineRule="exact"/>
        <w:ind w:left="424" w:hanging="424" w:hangingChars="201"/>
        <w:jc w:val="left"/>
        <w:rPr>
          <w:rFonts w:ascii="宋体" w:hAnsi="宋体"/>
          <w:b/>
          <w:highlight w:val="none"/>
        </w:rPr>
      </w:pPr>
    </w:p>
    <w:p w14:paraId="7B2263E0">
      <w:pPr>
        <w:pStyle w:val="40"/>
        <w:numPr>
          <w:ilvl w:val="0"/>
          <w:numId w:val="57"/>
        </w:numPr>
        <w:tabs>
          <w:tab w:val="left" w:pos="588"/>
        </w:tabs>
        <w:snapToGrid w:val="0"/>
        <w:spacing w:before="120" w:after="120" w:line="440" w:lineRule="exact"/>
        <w:jc w:val="left"/>
        <w:rPr>
          <w:rFonts w:ascii="宋体" w:hAnsi="宋体"/>
          <w:sz w:val="24"/>
          <w:szCs w:val="24"/>
          <w:highlight w:val="none"/>
        </w:rPr>
        <w:sectPr>
          <w:pgSz w:w="11906" w:h="16838"/>
          <w:pgMar w:top="1440" w:right="1800" w:bottom="1440" w:left="1800" w:header="851" w:footer="992" w:gutter="0"/>
          <w:cols w:space="425" w:num="1"/>
          <w:docGrid w:type="lines" w:linePitch="312" w:charSpace="0"/>
        </w:sectPr>
      </w:pPr>
    </w:p>
    <w:p w14:paraId="40B5F11C">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37" w:name="_Toc3006"/>
      <w:r>
        <w:rPr>
          <w:rFonts w:hint="eastAsia" w:ascii="宋体" w:hAnsi="宋体"/>
          <w:sz w:val="24"/>
          <w:szCs w:val="24"/>
          <w:highlight w:val="none"/>
        </w:rPr>
        <w:t>投标人控股及管理关系情况申报表</w:t>
      </w:r>
      <w:bookmarkEnd w:id="1099"/>
      <w:bookmarkEnd w:id="1100"/>
      <w:bookmarkEnd w:id="1101"/>
      <w:bookmarkEnd w:id="1137"/>
    </w:p>
    <w:p w14:paraId="0F9737F0">
      <w:pPr>
        <w:pStyle w:val="56"/>
        <w:ind w:firstLine="0" w:firstLineChars="0"/>
        <w:jc w:val="center"/>
        <w:rPr>
          <w:rFonts w:cs="宋体" w:asciiTheme="minorEastAsia" w:hAnsiTheme="minorEastAsia" w:eastAsiaTheme="minorEastAsia"/>
          <w:b/>
          <w:sz w:val="24"/>
          <w:highlight w:val="none"/>
        </w:rPr>
      </w:pPr>
      <w:r>
        <w:rPr>
          <w:rFonts w:hint="eastAsia" w:asciiTheme="minorEastAsia" w:hAnsiTheme="minorEastAsia" w:eastAsiaTheme="minorEastAsia"/>
          <w:b/>
          <w:sz w:val="24"/>
          <w:highlight w:val="none"/>
        </w:rPr>
        <w:t>投标人控股及管理关系情况申报表</w:t>
      </w:r>
    </w:p>
    <w:p w14:paraId="249A6CB3">
      <w:pPr>
        <w:adjustRightInd w:val="0"/>
        <w:snapToGrid w:val="0"/>
        <w:spacing w:line="440" w:lineRule="exact"/>
        <w:rPr>
          <w:rFonts w:asciiTheme="minorEastAsia" w:hAnsiTheme="minorEastAsia" w:eastAsiaTheme="minorEastAsia"/>
          <w:highlight w:val="none"/>
        </w:rPr>
      </w:pPr>
    </w:p>
    <w:p w14:paraId="04BAA750">
      <w:pPr>
        <w:adjustRightInd w:val="0"/>
        <w:snapToGrid w:val="0"/>
        <w:spacing w:line="440" w:lineRule="exact"/>
        <w:ind w:firstLine="420" w:firstLineChars="200"/>
        <w:rPr>
          <w:rFonts w:asciiTheme="minorEastAsia" w:hAnsiTheme="minorEastAsia" w:eastAsiaTheme="minorEastAsia"/>
          <w:highlight w:val="none"/>
        </w:rPr>
      </w:pPr>
      <w:r>
        <w:rPr>
          <w:rFonts w:hint="eastAsia" w:asciiTheme="minorEastAsia" w:hAnsiTheme="minorEastAsia" w:eastAsiaTheme="minorEastAsia"/>
          <w:highlight w:val="none"/>
        </w:rPr>
        <w:t>我方参加</w:t>
      </w: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项目[</w:t>
      </w:r>
      <w:r>
        <w:rPr>
          <w:rFonts w:asciiTheme="minorEastAsia" w:hAnsiTheme="minorEastAsia" w:eastAsiaTheme="minorEastAsia"/>
          <w:bCs/>
          <w:szCs w:val="21"/>
          <w:highlight w:val="none"/>
          <w:u w:val="single"/>
        </w:rPr>
        <w:t>招标项目名称</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】【XX</w:t>
      </w:r>
      <w:r>
        <w:rPr>
          <w:rFonts w:asciiTheme="minorEastAsia" w:hAnsiTheme="minorEastAsia" w:eastAsiaTheme="minorEastAsia"/>
          <w:szCs w:val="21"/>
          <w:highlight w:val="none"/>
          <w:u w:val="single"/>
        </w:rPr>
        <w:t>标包</w:t>
      </w:r>
      <w:r>
        <w:rPr>
          <w:rFonts w:hint="eastAsia" w:asciiTheme="minorEastAsia" w:hAnsiTheme="minorEastAsia" w:eastAsiaTheme="minorEastAsia"/>
          <w:szCs w:val="21"/>
          <w:highlight w:val="none"/>
          <w:u w:val="single"/>
        </w:rPr>
        <w:t>[标包名称]</w:t>
      </w:r>
      <w:r>
        <w:rPr>
          <w:rFonts w:hint="eastAsia" w:asciiTheme="minorEastAsia" w:hAnsiTheme="minorEastAsia" w:eastAsiaTheme="minorEastAsia"/>
          <w:highlight w:val="none"/>
          <w:u w:val="single"/>
        </w:rPr>
        <w:t>】</w:t>
      </w:r>
      <w:r>
        <w:rPr>
          <w:rFonts w:hint="eastAsia" w:asciiTheme="minorEastAsia" w:hAnsiTheme="minorEastAsia" w:eastAsiaTheme="minorEastAsia"/>
          <w:highlight w:val="none"/>
        </w:rPr>
        <w:t>的投标，根据法律法规维护投标公正性的相关规定，特就本单位控股及管理关系情况申报如下，并承担申报不实的责任。</w:t>
      </w:r>
    </w:p>
    <w:tbl>
      <w:tblPr>
        <w:tblStyle w:val="42"/>
        <w:tblW w:w="49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266"/>
        <w:gridCol w:w="4646"/>
      </w:tblGrid>
      <w:tr w14:paraId="4C2C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vAlign w:val="center"/>
          </w:tcPr>
          <w:p w14:paraId="1C43CB12">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申报人名称</w:t>
            </w:r>
          </w:p>
        </w:tc>
        <w:tc>
          <w:tcPr>
            <w:tcW w:w="3536" w:type="pct"/>
            <w:gridSpan w:val="2"/>
            <w:vAlign w:val="center"/>
          </w:tcPr>
          <w:p w14:paraId="3015DC93">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bCs/>
                <w:szCs w:val="21"/>
                <w:highlight w:val="none"/>
                <w:u w:val="single"/>
              </w:rPr>
              <w:t>【XX公司[投标人名称]】</w:t>
            </w:r>
          </w:p>
        </w:tc>
      </w:tr>
      <w:tr w14:paraId="3D76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1464" w:type="pct"/>
            <w:vMerge w:val="restart"/>
            <w:vAlign w:val="center"/>
          </w:tcPr>
          <w:p w14:paraId="6765B130">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法定代表人</w:t>
            </w:r>
            <w:r>
              <w:rPr>
                <w:rFonts w:cs="宋体" w:asciiTheme="minorEastAsia" w:hAnsiTheme="minorEastAsia" w:eastAsiaTheme="minorEastAsia"/>
                <w:highlight w:val="none"/>
              </w:rPr>
              <w:t>/负责人</w:t>
            </w:r>
          </w:p>
        </w:tc>
        <w:tc>
          <w:tcPr>
            <w:tcW w:w="757" w:type="pct"/>
            <w:vAlign w:val="center"/>
          </w:tcPr>
          <w:p w14:paraId="60FDCF80">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姓    名</w:t>
            </w:r>
          </w:p>
        </w:tc>
        <w:tc>
          <w:tcPr>
            <w:tcW w:w="2779" w:type="pct"/>
            <w:vAlign w:val="center"/>
          </w:tcPr>
          <w:p w14:paraId="550F0AE5">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 xml:space="preserve"> [投标人法定代表人/负责人</w:t>
            </w:r>
            <w:r>
              <w:rPr>
                <w:rFonts w:asciiTheme="minorEastAsia" w:hAnsiTheme="minorEastAsia" w:eastAsiaTheme="minorEastAsia"/>
                <w:szCs w:val="21"/>
                <w:highlight w:val="none"/>
                <w:u w:val="single"/>
              </w:rPr>
              <w:t>姓名</w:t>
            </w:r>
            <w:r>
              <w:rPr>
                <w:rFonts w:hint="eastAsia" w:asciiTheme="minorEastAsia" w:hAnsiTheme="minorEastAsia" w:eastAsiaTheme="minorEastAsia"/>
                <w:szCs w:val="21"/>
                <w:highlight w:val="none"/>
                <w:u w:val="single"/>
              </w:rPr>
              <w:t>]</w:t>
            </w:r>
            <w:r>
              <w:rPr>
                <w:rFonts w:hint="eastAsia" w:asciiTheme="minorEastAsia" w:hAnsiTheme="minorEastAsia" w:eastAsiaTheme="minorEastAsia"/>
                <w:highlight w:val="none"/>
                <w:u w:val="single"/>
              </w:rPr>
              <w:t>】</w:t>
            </w:r>
          </w:p>
        </w:tc>
      </w:tr>
      <w:tr w14:paraId="1024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64" w:type="pct"/>
            <w:vMerge w:val="continue"/>
            <w:vAlign w:val="center"/>
          </w:tcPr>
          <w:p w14:paraId="714BDADC">
            <w:pPr>
              <w:adjustRightInd w:val="0"/>
              <w:snapToGrid w:val="0"/>
              <w:spacing w:line="440" w:lineRule="exact"/>
              <w:rPr>
                <w:rFonts w:cs="宋体" w:asciiTheme="minorEastAsia" w:hAnsiTheme="minorEastAsia" w:eastAsiaTheme="minorEastAsia"/>
                <w:highlight w:val="none"/>
              </w:rPr>
            </w:pPr>
          </w:p>
        </w:tc>
        <w:tc>
          <w:tcPr>
            <w:tcW w:w="757" w:type="pct"/>
            <w:vAlign w:val="center"/>
          </w:tcPr>
          <w:p w14:paraId="0EF19F01">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身份证号</w:t>
            </w:r>
          </w:p>
        </w:tc>
        <w:tc>
          <w:tcPr>
            <w:tcW w:w="2779" w:type="pct"/>
            <w:vAlign w:val="center"/>
          </w:tcPr>
          <w:p w14:paraId="59B8CD48">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highlight w:val="none"/>
                <w:u w:val="single"/>
              </w:rPr>
              <w:t>【XX</w:t>
            </w:r>
            <w:r>
              <w:rPr>
                <w:rFonts w:hint="eastAsia" w:asciiTheme="minorEastAsia" w:hAnsiTheme="minorEastAsia" w:eastAsiaTheme="minorEastAsia"/>
                <w:szCs w:val="21"/>
                <w:highlight w:val="none"/>
                <w:u w:val="single"/>
              </w:rPr>
              <w:t xml:space="preserve"> [投标人法定代表人/负责人身份证号]</w:t>
            </w:r>
            <w:r>
              <w:rPr>
                <w:rFonts w:hint="eastAsia" w:asciiTheme="minorEastAsia" w:hAnsiTheme="minorEastAsia" w:eastAsiaTheme="minorEastAsia"/>
                <w:highlight w:val="none"/>
                <w:u w:val="single"/>
              </w:rPr>
              <w:t>】</w:t>
            </w:r>
          </w:p>
        </w:tc>
      </w:tr>
      <w:tr w14:paraId="332C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1464" w:type="pct"/>
            <w:vAlign w:val="center"/>
          </w:tcPr>
          <w:p w14:paraId="358CDCAE">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控股股东/投资人名称</w:t>
            </w:r>
          </w:p>
          <w:p w14:paraId="489D4044">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及出资比例</w:t>
            </w:r>
          </w:p>
        </w:tc>
        <w:tc>
          <w:tcPr>
            <w:tcW w:w="3536" w:type="pct"/>
            <w:gridSpan w:val="2"/>
            <w:vAlign w:val="center"/>
          </w:tcPr>
          <w:p w14:paraId="114740ED">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bCs/>
                <w:szCs w:val="21"/>
                <w:highlight w:val="none"/>
                <w:u w:val="single"/>
              </w:rPr>
              <w:t>【XX公司/XX[自然人]，出资比例XX%，[投标人控股股东/投资人名称及出资比例]】</w:t>
            </w:r>
          </w:p>
        </w:tc>
      </w:tr>
      <w:tr w14:paraId="71DF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1464" w:type="pct"/>
            <w:vAlign w:val="center"/>
          </w:tcPr>
          <w:p w14:paraId="68F4E95F">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非控股股东/投资人名称</w:t>
            </w:r>
          </w:p>
          <w:p w14:paraId="2A0F9C99">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及出资比例</w:t>
            </w:r>
          </w:p>
        </w:tc>
        <w:tc>
          <w:tcPr>
            <w:tcW w:w="3536" w:type="pct"/>
            <w:gridSpan w:val="2"/>
            <w:vAlign w:val="center"/>
          </w:tcPr>
          <w:p w14:paraId="6C1057FA">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bCs/>
                <w:szCs w:val="21"/>
                <w:highlight w:val="none"/>
                <w:u w:val="single"/>
              </w:rPr>
              <w:t>【XX公司/XX[自然人]，出资比例XX%，[投标人非控股股东/投资人名称及出资比例，应从出资比例由高到低进行填写]】</w:t>
            </w:r>
          </w:p>
        </w:tc>
      </w:tr>
      <w:tr w14:paraId="4318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464" w:type="pct"/>
            <w:vMerge w:val="restart"/>
            <w:vAlign w:val="center"/>
          </w:tcPr>
          <w:p w14:paraId="3FDE8B0E">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管理关系单位名称</w:t>
            </w:r>
          </w:p>
        </w:tc>
        <w:tc>
          <w:tcPr>
            <w:tcW w:w="757" w:type="pct"/>
            <w:vAlign w:val="center"/>
          </w:tcPr>
          <w:p w14:paraId="7CC05B82">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管理关系单位名称</w:t>
            </w:r>
          </w:p>
        </w:tc>
        <w:tc>
          <w:tcPr>
            <w:tcW w:w="2779" w:type="pct"/>
            <w:vAlign w:val="center"/>
          </w:tcPr>
          <w:p w14:paraId="60116ACA">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bCs/>
                <w:szCs w:val="21"/>
                <w:highlight w:val="none"/>
                <w:u w:val="single"/>
              </w:rPr>
              <w:t>【XX公司[管理单位全称]】</w:t>
            </w:r>
          </w:p>
        </w:tc>
      </w:tr>
      <w:tr w14:paraId="7282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vMerge w:val="continue"/>
            <w:vAlign w:val="center"/>
          </w:tcPr>
          <w:p w14:paraId="2784BAC5">
            <w:pPr>
              <w:adjustRightInd w:val="0"/>
              <w:snapToGrid w:val="0"/>
              <w:spacing w:line="440" w:lineRule="exact"/>
              <w:rPr>
                <w:rFonts w:cs="宋体" w:asciiTheme="minorEastAsia" w:hAnsiTheme="minorEastAsia" w:eastAsiaTheme="minorEastAsia"/>
                <w:highlight w:val="none"/>
              </w:rPr>
            </w:pPr>
          </w:p>
        </w:tc>
        <w:tc>
          <w:tcPr>
            <w:tcW w:w="757" w:type="pct"/>
            <w:vAlign w:val="center"/>
          </w:tcPr>
          <w:p w14:paraId="40C3B7E0">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被管理关系单位名称</w:t>
            </w:r>
          </w:p>
        </w:tc>
        <w:tc>
          <w:tcPr>
            <w:tcW w:w="2779" w:type="pct"/>
            <w:vAlign w:val="center"/>
          </w:tcPr>
          <w:p w14:paraId="1A9AD2A3">
            <w:pPr>
              <w:adjustRightInd w:val="0"/>
              <w:snapToGrid w:val="0"/>
              <w:spacing w:line="440" w:lineRule="exact"/>
              <w:rPr>
                <w:rFonts w:cs="宋体" w:asciiTheme="minorEastAsia" w:hAnsiTheme="minorEastAsia" w:eastAsiaTheme="minorEastAsia"/>
                <w:highlight w:val="none"/>
              </w:rPr>
            </w:pPr>
            <w:r>
              <w:rPr>
                <w:rFonts w:hint="eastAsia" w:asciiTheme="minorEastAsia" w:hAnsiTheme="minorEastAsia" w:eastAsiaTheme="minorEastAsia"/>
                <w:bCs/>
                <w:szCs w:val="21"/>
                <w:highlight w:val="none"/>
                <w:u w:val="single"/>
              </w:rPr>
              <w:t>【XX公司[被管理单位全称，应列明所有被管理单位]】</w:t>
            </w:r>
          </w:p>
        </w:tc>
      </w:tr>
      <w:tr w14:paraId="13A7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gridSpan w:val="3"/>
            <w:shd w:val="clear" w:color="auto" w:fill="auto"/>
            <w:vAlign w:val="center"/>
          </w:tcPr>
          <w:p w14:paraId="7B69333D">
            <w:pPr>
              <w:adjustRightInd w:val="0"/>
              <w:snapToGrid w:val="0"/>
              <w:spacing w:line="440" w:lineRule="exact"/>
              <w:rPr>
                <w:rFonts w:cs="宋体" w:asciiTheme="minorEastAsia" w:hAnsiTheme="minorEastAsia" w:eastAsiaTheme="minorEastAsia"/>
                <w:highlight w:val="none"/>
              </w:rPr>
            </w:pPr>
            <w:r>
              <w:rPr>
                <w:rFonts w:hint="eastAsia" w:cs="宋体" w:asciiTheme="minorEastAsia" w:hAnsiTheme="minorEastAsia" w:eastAsiaTheme="minorEastAsia"/>
                <w:highlight w:val="none"/>
              </w:rPr>
              <w:t>备注：</w:t>
            </w:r>
          </w:p>
        </w:tc>
      </w:tr>
    </w:tbl>
    <w:p w14:paraId="22CD09BB">
      <w:pPr>
        <w:spacing w:line="440" w:lineRule="exact"/>
        <w:ind w:firstLine="707" w:firstLineChars="337"/>
        <w:rPr>
          <w:rFonts w:asciiTheme="minorEastAsia" w:hAnsiTheme="minorEastAsia" w:eastAsiaTheme="minorEastAsia"/>
          <w:szCs w:val="21"/>
          <w:highlight w:val="none"/>
        </w:rPr>
      </w:pPr>
    </w:p>
    <w:p w14:paraId="5783E5F5">
      <w:pPr>
        <w:spacing w:line="440" w:lineRule="exact"/>
        <w:ind w:firstLine="1134" w:firstLineChars="540"/>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r>
        <w:rPr>
          <w:rFonts w:hint="eastAsia" w:ascii="宋体" w:hAnsi="宋体"/>
          <w:szCs w:val="21"/>
          <w:highlight w:val="none"/>
        </w:rPr>
        <w:t>（盖单位公章）</w:t>
      </w:r>
    </w:p>
    <w:p w14:paraId="73719A7F">
      <w:pPr>
        <w:widowControl/>
        <w:tabs>
          <w:tab w:val="left" w:pos="3018"/>
          <w:tab w:val="left" w:pos="6260"/>
        </w:tabs>
        <w:ind w:firstLine="2692" w:firstLineChars="1282"/>
        <w:jc w:val="left"/>
        <w:rPr>
          <w:rFonts w:ascii="宋体" w:hAnsi="宋体" w:cs="Arial"/>
          <w:bCs/>
          <w:szCs w:val="21"/>
          <w:highlight w:val="none"/>
        </w:rPr>
      </w:pPr>
    </w:p>
    <w:p w14:paraId="7E6C2572">
      <w:pPr>
        <w:widowControl/>
        <w:tabs>
          <w:tab w:val="left" w:pos="3018"/>
          <w:tab w:val="left" w:pos="6260"/>
        </w:tabs>
        <w:ind w:firstLine="1134" w:firstLineChars="540"/>
        <w:jc w:val="left"/>
        <w:rPr>
          <w:rFonts w:ascii="宋体" w:hAnsi="宋体" w:cs="Arial"/>
          <w:bCs/>
          <w:szCs w:val="21"/>
          <w:highlight w:val="none"/>
        </w:rPr>
      </w:pPr>
      <w:r>
        <w:rPr>
          <w:rFonts w:hint="eastAsia" w:ascii="宋体" w:hAnsi="宋体" w:cs="Arial"/>
          <w:bCs/>
          <w:szCs w:val="21"/>
          <w:highlight w:val="none"/>
        </w:rPr>
        <w:t>日期：XX年 XX月XX日</w:t>
      </w:r>
    </w:p>
    <w:p w14:paraId="5FC610A8">
      <w:pPr>
        <w:adjustRightInd w:val="0"/>
        <w:snapToGrid w:val="0"/>
        <w:spacing w:line="440" w:lineRule="exact"/>
        <w:rPr>
          <w:rFonts w:ascii="宋体" w:hAnsi="宋体"/>
          <w:highlight w:val="none"/>
        </w:rPr>
      </w:pPr>
    </w:p>
    <w:p w14:paraId="3E2F651E">
      <w:pPr>
        <w:adjustRightInd w:val="0"/>
        <w:snapToGrid w:val="0"/>
        <w:spacing w:line="440" w:lineRule="exact"/>
        <w:rPr>
          <w:rFonts w:asciiTheme="minorEastAsia" w:hAnsiTheme="minorEastAsia" w:eastAsiaTheme="minorEastAsia"/>
          <w:highlight w:val="none"/>
        </w:rPr>
      </w:pPr>
      <w:bookmarkStart w:id="1138" w:name="_Toc447265324"/>
      <w:bookmarkStart w:id="1139" w:name="_Toc475472683"/>
      <w:bookmarkStart w:id="1140" w:name="_Toc447265610"/>
      <w:bookmarkStart w:id="1141" w:name="_Toc38008091"/>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p>
    <w:p w14:paraId="0E9A8625">
      <w:pPr>
        <w:rPr>
          <w:rFonts w:asciiTheme="minorEastAsia" w:hAnsiTheme="minorEastAsia" w:eastAsiaTheme="minorEastAsia"/>
          <w:highlight w:val="none"/>
        </w:rPr>
      </w:pPr>
      <w:r>
        <w:rPr>
          <w:rFonts w:hint="eastAsia" w:asciiTheme="minorEastAsia" w:hAnsiTheme="minorEastAsia" w:eastAsiaTheme="minorEastAsia"/>
          <w:highlight w:val="none"/>
        </w:rPr>
        <w:t>1.控股股东/投资人是指出资比例在50%以上，或者出资比例不足50%，但享有公司股东会/董事会控制权的投资方（含单位或者个人）。</w:t>
      </w:r>
    </w:p>
    <w:p w14:paraId="084681FA">
      <w:pPr>
        <w:rPr>
          <w:rFonts w:asciiTheme="minorEastAsia" w:hAnsiTheme="minorEastAsia" w:eastAsiaTheme="minorEastAsia"/>
          <w:highlight w:val="none"/>
        </w:rPr>
      </w:pPr>
      <w:r>
        <w:rPr>
          <w:rFonts w:hint="eastAsia" w:asciiTheme="minorEastAsia" w:hAnsiTheme="minorEastAsia" w:eastAsiaTheme="minorEastAsia"/>
          <w:highlight w:val="none"/>
        </w:rPr>
        <w:t>2.管理关系单位是指与不具有出资持股关系的其他单位之间存在管理与被管理关系的单位。</w:t>
      </w:r>
    </w:p>
    <w:p w14:paraId="77C8896D">
      <w:pPr>
        <w:rPr>
          <w:rFonts w:asciiTheme="minorEastAsia" w:hAnsiTheme="minorEastAsia" w:eastAsiaTheme="minorEastAsia"/>
          <w:highlight w:val="none"/>
        </w:rPr>
      </w:pPr>
      <w:r>
        <w:rPr>
          <w:rFonts w:hint="eastAsia" w:asciiTheme="minorEastAsia" w:hAnsiTheme="minorEastAsia" w:eastAsiaTheme="minorEastAsia"/>
          <w:highlight w:val="none"/>
        </w:rPr>
        <w:t>3.如未有相关情况，请在相应栏填写“无”。</w:t>
      </w:r>
    </w:p>
    <w:p w14:paraId="255EBCE6">
      <w:pPr>
        <w:rPr>
          <w:rFonts w:asciiTheme="minorEastAsia" w:hAnsiTheme="minorEastAsia" w:eastAsiaTheme="minorEastAsia"/>
          <w:highlight w:val="none"/>
        </w:rPr>
      </w:pPr>
      <w:r>
        <w:rPr>
          <w:rFonts w:hint="eastAsia" w:asciiTheme="minorEastAsia" w:hAnsiTheme="minorEastAsia" w:eastAsiaTheme="minorEastAsia"/>
          <w:highlight w:val="none"/>
        </w:rPr>
        <w:t>4.</w:t>
      </w:r>
      <w:r>
        <w:rPr>
          <w:rFonts w:hint="eastAsia"/>
          <w:highlight w:val="none"/>
        </w:rPr>
        <w:t>除本文件允许投标人进行填写的内容以外，投标人不得对本文件进行修改</w:t>
      </w:r>
      <w:r>
        <w:rPr>
          <w:rFonts w:hint="eastAsia" w:asciiTheme="minorEastAsia" w:hAnsiTheme="minorEastAsia" w:eastAsiaTheme="minorEastAsia"/>
          <w:highlight w:val="none"/>
        </w:rPr>
        <w:t>。</w:t>
      </w:r>
    </w:p>
    <w:p w14:paraId="0C0B2D92">
      <w:pPr>
        <w:rPr>
          <w:rFonts w:asciiTheme="minorEastAsia" w:hAnsiTheme="minorEastAsia" w:eastAsiaTheme="minorEastAsia"/>
          <w:highlight w:val="none"/>
        </w:rPr>
        <w:sectPr>
          <w:pgSz w:w="11906" w:h="16838"/>
          <w:pgMar w:top="1440" w:right="1800" w:bottom="1440" w:left="1800" w:header="851" w:footer="992" w:gutter="0"/>
          <w:cols w:space="425" w:num="1"/>
          <w:docGrid w:type="lines" w:linePitch="312" w:charSpace="0"/>
        </w:sectPr>
      </w:pPr>
    </w:p>
    <w:p w14:paraId="4E82631C">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42" w:name="_Toc21571"/>
      <w:r>
        <w:rPr>
          <w:rFonts w:hint="eastAsia" w:ascii="宋体" w:hAnsi="宋体"/>
          <w:sz w:val="24"/>
          <w:szCs w:val="24"/>
          <w:highlight w:val="none"/>
        </w:rPr>
        <w:t>合同条款偏离表</w:t>
      </w:r>
      <w:bookmarkEnd w:id="1138"/>
      <w:bookmarkEnd w:id="1139"/>
      <w:bookmarkEnd w:id="1140"/>
      <w:bookmarkEnd w:id="1141"/>
      <w:bookmarkEnd w:id="1142"/>
    </w:p>
    <w:p w14:paraId="4C614928">
      <w:pPr>
        <w:rPr>
          <w:rFonts w:ascii="宋体" w:hAnsi="宋体" w:cs="宋体"/>
          <w:highlight w:val="none"/>
        </w:rPr>
      </w:pPr>
    </w:p>
    <w:p w14:paraId="11F14A3F">
      <w:pPr>
        <w:pStyle w:val="56"/>
        <w:ind w:firstLine="0" w:firstLineChars="0"/>
        <w:jc w:val="center"/>
        <w:rPr>
          <w:rFonts w:ascii="宋体" w:hAnsi="宋体"/>
          <w:b/>
          <w:sz w:val="24"/>
          <w:highlight w:val="none"/>
        </w:rPr>
      </w:pPr>
      <w:r>
        <w:rPr>
          <w:rFonts w:hint="eastAsia" w:ascii="宋体" w:hAnsi="宋体"/>
          <w:b/>
          <w:sz w:val="24"/>
          <w:highlight w:val="none"/>
        </w:rPr>
        <w:t>合同条款偏离表</w:t>
      </w:r>
    </w:p>
    <w:p w14:paraId="6CF10AE6">
      <w:pPr>
        <w:jc w:val="center"/>
        <w:rPr>
          <w:rFonts w:ascii="宋体" w:hAnsi="宋体" w:cs="宋体"/>
          <w:sz w:val="24"/>
          <w:highlight w:val="none"/>
        </w:rPr>
      </w:pPr>
    </w:p>
    <w:p w14:paraId="7EB871A4">
      <w:pPr>
        <w:adjustRightInd w:val="0"/>
        <w:snapToGrid w:val="0"/>
        <w:spacing w:after="120" w:line="440" w:lineRule="exact"/>
        <w:rPr>
          <w:rFonts w:ascii="宋体" w:hAnsi="宋体" w:cs="宋体"/>
          <w:szCs w:val="21"/>
          <w:highlight w:val="none"/>
        </w:rPr>
      </w:pPr>
      <w:r>
        <w:rPr>
          <w:rFonts w:hint="eastAsia" w:ascii="宋体" w:hAnsi="宋体" w:cs="宋体"/>
          <w:szCs w:val="21"/>
          <w:highlight w:val="none"/>
        </w:rPr>
        <w:t>项目名称：</w:t>
      </w:r>
      <w:r>
        <w:rPr>
          <w:rFonts w:hint="eastAsia" w:ascii="宋体" w:hAnsi="宋体" w:cs="宋体"/>
          <w:szCs w:val="21"/>
          <w:highlight w:val="none"/>
          <w:u w:val="single"/>
        </w:rPr>
        <w:t xml:space="preserve">                         </w:t>
      </w:r>
      <w:r>
        <w:rPr>
          <w:rFonts w:hint="eastAsia" w:ascii="宋体" w:hAnsi="宋体" w:cs="宋体"/>
          <w:szCs w:val="21"/>
          <w:highlight w:val="none"/>
        </w:rPr>
        <w:t xml:space="preserve">   招标编号：</w:t>
      </w:r>
      <w:r>
        <w:rPr>
          <w:rFonts w:hint="eastAsia" w:ascii="宋体" w:hAnsi="宋体" w:cs="宋体"/>
          <w:szCs w:val="21"/>
          <w:highlight w:val="none"/>
          <w:u w:val="single"/>
        </w:rPr>
        <w:t xml:space="preserve">               </w:t>
      </w:r>
      <w:r>
        <w:rPr>
          <w:rFonts w:hint="eastAsia" w:ascii="宋体" w:hAnsi="宋体" w:cs="宋体"/>
          <w:szCs w:val="21"/>
          <w:highlight w:val="none"/>
        </w:rPr>
        <w:t xml:space="preserve"> 标包：</w:t>
      </w:r>
      <w:r>
        <w:rPr>
          <w:rFonts w:hint="eastAsia" w:ascii="宋体" w:hAnsi="宋体" w:cs="宋体"/>
          <w:szCs w:val="21"/>
          <w:highlight w:val="none"/>
          <w:u w:val="single"/>
        </w:rPr>
        <w:t xml:space="preserve">       </w:t>
      </w:r>
    </w:p>
    <w:tbl>
      <w:tblPr>
        <w:tblStyle w:val="42"/>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59DBB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14:paraId="2B7E70B0">
            <w:pPr>
              <w:adjustRightInd w:val="0"/>
              <w:snapToGrid w:val="0"/>
              <w:spacing w:line="440" w:lineRule="exact"/>
              <w:jc w:val="center"/>
              <w:rPr>
                <w:rFonts w:ascii="宋体" w:hAnsi="宋体" w:cs="宋体"/>
                <w:szCs w:val="21"/>
                <w:highlight w:val="none"/>
              </w:rPr>
            </w:pPr>
            <w:r>
              <w:rPr>
                <w:rFonts w:ascii="宋体" w:hAnsi="宋体" w:cs="宋体"/>
                <w:szCs w:val="21"/>
                <w:highlight w:val="none"/>
              </w:rPr>
              <w:t>序号</w:t>
            </w:r>
          </w:p>
        </w:tc>
        <w:tc>
          <w:tcPr>
            <w:tcW w:w="1746" w:type="dxa"/>
            <w:vAlign w:val="center"/>
          </w:tcPr>
          <w:p w14:paraId="4E4E2EF5">
            <w:pPr>
              <w:adjustRightInd w:val="0"/>
              <w:snapToGrid w:val="0"/>
              <w:spacing w:line="440" w:lineRule="exact"/>
              <w:jc w:val="center"/>
              <w:rPr>
                <w:rFonts w:ascii="宋体" w:hAnsi="宋体" w:cs="宋体"/>
                <w:szCs w:val="21"/>
                <w:highlight w:val="none"/>
              </w:rPr>
            </w:pPr>
            <w:r>
              <w:rPr>
                <w:rFonts w:ascii="宋体" w:hAnsi="宋体" w:cs="宋体"/>
                <w:szCs w:val="21"/>
                <w:highlight w:val="none"/>
              </w:rPr>
              <w:t>招标文件条目号</w:t>
            </w:r>
          </w:p>
        </w:tc>
        <w:tc>
          <w:tcPr>
            <w:tcW w:w="2208" w:type="dxa"/>
            <w:vAlign w:val="center"/>
          </w:tcPr>
          <w:p w14:paraId="6698A73D">
            <w:pPr>
              <w:adjustRightInd w:val="0"/>
              <w:snapToGrid w:val="0"/>
              <w:spacing w:line="440" w:lineRule="exact"/>
              <w:jc w:val="center"/>
              <w:rPr>
                <w:rFonts w:ascii="宋体" w:hAnsi="宋体" w:cs="宋体"/>
                <w:szCs w:val="21"/>
                <w:highlight w:val="none"/>
              </w:rPr>
            </w:pPr>
            <w:r>
              <w:rPr>
                <w:rFonts w:ascii="宋体" w:hAnsi="宋体" w:cs="宋体"/>
                <w:szCs w:val="21"/>
                <w:highlight w:val="none"/>
              </w:rPr>
              <w:t>招标文件的</w:t>
            </w:r>
            <w:r>
              <w:rPr>
                <w:rFonts w:hint="eastAsia" w:ascii="宋体" w:hAnsi="宋体" w:cs="宋体"/>
                <w:szCs w:val="21"/>
                <w:highlight w:val="none"/>
              </w:rPr>
              <w:t>合同</w:t>
            </w:r>
            <w:r>
              <w:rPr>
                <w:rFonts w:ascii="宋体" w:hAnsi="宋体" w:cs="宋体"/>
                <w:szCs w:val="21"/>
                <w:highlight w:val="none"/>
              </w:rPr>
              <w:t>条款</w:t>
            </w:r>
          </w:p>
        </w:tc>
        <w:tc>
          <w:tcPr>
            <w:tcW w:w="2435" w:type="dxa"/>
            <w:vAlign w:val="center"/>
          </w:tcPr>
          <w:p w14:paraId="0E79DBC6">
            <w:pPr>
              <w:adjustRightInd w:val="0"/>
              <w:snapToGrid w:val="0"/>
              <w:spacing w:line="440" w:lineRule="exact"/>
              <w:jc w:val="center"/>
              <w:rPr>
                <w:rFonts w:ascii="宋体" w:hAnsi="宋体" w:cs="宋体"/>
                <w:szCs w:val="21"/>
                <w:highlight w:val="none"/>
              </w:rPr>
            </w:pPr>
            <w:r>
              <w:rPr>
                <w:rFonts w:ascii="宋体" w:hAnsi="宋体" w:cs="宋体"/>
                <w:szCs w:val="21"/>
                <w:highlight w:val="none"/>
              </w:rPr>
              <w:t>投标</w:t>
            </w:r>
            <w:r>
              <w:rPr>
                <w:rFonts w:hint="eastAsia" w:ascii="宋体" w:hAnsi="宋体" w:cs="宋体"/>
                <w:szCs w:val="21"/>
                <w:highlight w:val="none"/>
              </w:rPr>
              <w:t>文件</w:t>
            </w:r>
            <w:r>
              <w:rPr>
                <w:rFonts w:ascii="宋体" w:hAnsi="宋体" w:cs="宋体"/>
                <w:szCs w:val="21"/>
                <w:highlight w:val="none"/>
              </w:rPr>
              <w:t>偏离情况</w:t>
            </w:r>
          </w:p>
        </w:tc>
        <w:tc>
          <w:tcPr>
            <w:tcW w:w="1364" w:type="dxa"/>
            <w:vAlign w:val="center"/>
          </w:tcPr>
          <w:p w14:paraId="734DF2D3">
            <w:pPr>
              <w:adjustRightInd w:val="0"/>
              <w:snapToGrid w:val="0"/>
              <w:spacing w:line="440" w:lineRule="exact"/>
              <w:jc w:val="center"/>
              <w:rPr>
                <w:rFonts w:ascii="宋体" w:hAnsi="宋体" w:cs="宋体"/>
                <w:szCs w:val="21"/>
                <w:highlight w:val="none"/>
              </w:rPr>
            </w:pPr>
            <w:r>
              <w:rPr>
                <w:rFonts w:ascii="宋体" w:hAnsi="宋体" w:cs="宋体"/>
                <w:szCs w:val="21"/>
                <w:highlight w:val="none"/>
              </w:rPr>
              <w:t>说明</w:t>
            </w:r>
          </w:p>
        </w:tc>
      </w:tr>
      <w:tr w14:paraId="4B91ED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59D7FEE2">
            <w:pPr>
              <w:adjustRightInd w:val="0"/>
              <w:snapToGrid w:val="0"/>
              <w:spacing w:line="440" w:lineRule="exact"/>
              <w:rPr>
                <w:rFonts w:ascii="宋体" w:hAnsi="宋体" w:cs="宋体"/>
                <w:szCs w:val="21"/>
                <w:highlight w:val="none"/>
              </w:rPr>
            </w:pPr>
          </w:p>
        </w:tc>
        <w:tc>
          <w:tcPr>
            <w:tcW w:w="1746" w:type="dxa"/>
            <w:vAlign w:val="center"/>
          </w:tcPr>
          <w:p w14:paraId="2CFD765B">
            <w:pPr>
              <w:adjustRightInd w:val="0"/>
              <w:snapToGrid w:val="0"/>
              <w:spacing w:line="440" w:lineRule="exact"/>
              <w:rPr>
                <w:rFonts w:ascii="宋体" w:hAnsi="宋体" w:cs="宋体"/>
                <w:szCs w:val="21"/>
                <w:highlight w:val="none"/>
              </w:rPr>
            </w:pPr>
          </w:p>
        </w:tc>
        <w:tc>
          <w:tcPr>
            <w:tcW w:w="2208" w:type="dxa"/>
            <w:vAlign w:val="center"/>
          </w:tcPr>
          <w:p w14:paraId="60A7881D">
            <w:pPr>
              <w:adjustRightInd w:val="0"/>
              <w:snapToGrid w:val="0"/>
              <w:spacing w:line="440" w:lineRule="exact"/>
              <w:rPr>
                <w:rFonts w:ascii="宋体" w:hAnsi="宋体" w:cs="宋体"/>
                <w:szCs w:val="21"/>
                <w:highlight w:val="none"/>
              </w:rPr>
            </w:pPr>
          </w:p>
        </w:tc>
        <w:tc>
          <w:tcPr>
            <w:tcW w:w="2435" w:type="dxa"/>
            <w:vAlign w:val="center"/>
          </w:tcPr>
          <w:p w14:paraId="644F5DC8">
            <w:pPr>
              <w:adjustRightInd w:val="0"/>
              <w:snapToGrid w:val="0"/>
              <w:spacing w:line="440" w:lineRule="exact"/>
              <w:rPr>
                <w:rFonts w:ascii="宋体" w:hAnsi="宋体" w:cs="宋体"/>
                <w:szCs w:val="21"/>
                <w:highlight w:val="none"/>
              </w:rPr>
            </w:pPr>
          </w:p>
        </w:tc>
        <w:tc>
          <w:tcPr>
            <w:tcW w:w="1364" w:type="dxa"/>
            <w:vAlign w:val="center"/>
          </w:tcPr>
          <w:p w14:paraId="7C4CCC6E">
            <w:pPr>
              <w:adjustRightInd w:val="0"/>
              <w:snapToGrid w:val="0"/>
              <w:spacing w:line="440" w:lineRule="exact"/>
              <w:rPr>
                <w:rFonts w:ascii="宋体" w:hAnsi="宋体" w:cs="宋体"/>
                <w:szCs w:val="21"/>
                <w:highlight w:val="none"/>
              </w:rPr>
            </w:pPr>
          </w:p>
        </w:tc>
      </w:tr>
      <w:tr w14:paraId="5C8CD7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734AECFC">
            <w:pPr>
              <w:adjustRightInd w:val="0"/>
              <w:snapToGrid w:val="0"/>
              <w:spacing w:line="440" w:lineRule="exact"/>
              <w:rPr>
                <w:rFonts w:ascii="宋体" w:hAnsi="宋体" w:cs="宋体"/>
                <w:szCs w:val="21"/>
                <w:highlight w:val="none"/>
              </w:rPr>
            </w:pPr>
          </w:p>
        </w:tc>
        <w:tc>
          <w:tcPr>
            <w:tcW w:w="1746" w:type="dxa"/>
            <w:vAlign w:val="center"/>
          </w:tcPr>
          <w:p w14:paraId="5DBB7565">
            <w:pPr>
              <w:adjustRightInd w:val="0"/>
              <w:snapToGrid w:val="0"/>
              <w:spacing w:line="440" w:lineRule="exact"/>
              <w:rPr>
                <w:rFonts w:ascii="宋体" w:hAnsi="宋体" w:cs="宋体"/>
                <w:szCs w:val="21"/>
                <w:highlight w:val="none"/>
              </w:rPr>
            </w:pPr>
          </w:p>
        </w:tc>
        <w:tc>
          <w:tcPr>
            <w:tcW w:w="2208" w:type="dxa"/>
            <w:vAlign w:val="center"/>
          </w:tcPr>
          <w:p w14:paraId="7E53EA17">
            <w:pPr>
              <w:adjustRightInd w:val="0"/>
              <w:snapToGrid w:val="0"/>
              <w:spacing w:line="440" w:lineRule="exact"/>
              <w:rPr>
                <w:rFonts w:ascii="宋体" w:hAnsi="宋体" w:cs="宋体"/>
                <w:szCs w:val="21"/>
                <w:highlight w:val="none"/>
              </w:rPr>
            </w:pPr>
          </w:p>
        </w:tc>
        <w:tc>
          <w:tcPr>
            <w:tcW w:w="2435" w:type="dxa"/>
            <w:vAlign w:val="center"/>
          </w:tcPr>
          <w:p w14:paraId="60C0B048">
            <w:pPr>
              <w:adjustRightInd w:val="0"/>
              <w:snapToGrid w:val="0"/>
              <w:spacing w:line="440" w:lineRule="exact"/>
              <w:rPr>
                <w:rFonts w:ascii="宋体" w:hAnsi="宋体" w:cs="宋体"/>
                <w:szCs w:val="21"/>
                <w:highlight w:val="none"/>
              </w:rPr>
            </w:pPr>
          </w:p>
        </w:tc>
        <w:tc>
          <w:tcPr>
            <w:tcW w:w="1364" w:type="dxa"/>
            <w:vAlign w:val="center"/>
          </w:tcPr>
          <w:p w14:paraId="71D3E9BF">
            <w:pPr>
              <w:adjustRightInd w:val="0"/>
              <w:snapToGrid w:val="0"/>
              <w:spacing w:line="440" w:lineRule="exact"/>
              <w:rPr>
                <w:rFonts w:ascii="宋体" w:hAnsi="宋体" w:cs="宋体"/>
                <w:szCs w:val="21"/>
                <w:highlight w:val="none"/>
              </w:rPr>
            </w:pPr>
          </w:p>
        </w:tc>
      </w:tr>
      <w:tr w14:paraId="2DC900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460B8160">
            <w:pPr>
              <w:adjustRightInd w:val="0"/>
              <w:snapToGrid w:val="0"/>
              <w:spacing w:line="440" w:lineRule="exact"/>
              <w:rPr>
                <w:rFonts w:ascii="宋体" w:hAnsi="宋体" w:cs="宋体"/>
                <w:szCs w:val="21"/>
                <w:highlight w:val="none"/>
              </w:rPr>
            </w:pPr>
          </w:p>
        </w:tc>
        <w:tc>
          <w:tcPr>
            <w:tcW w:w="1746" w:type="dxa"/>
            <w:vAlign w:val="center"/>
          </w:tcPr>
          <w:p w14:paraId="22E5858A">
            <w:pPr>
              <w:adjustRightInd w:val="0"/>
              <w:snapToGrid w:val="0"/>
              <w:spacing w:line="440" w:lineRule="exact"/>
              <w:rPr>
                <w:rFonts w:ascii="宋体" w:hAnsi="宋体" w:cs="宋体"/>
                <w:szCs w:val="21"/>
                <w:highlight w:val="none"/>
              </w:rPr>
            </w:pPr>
          </w:p>
        </w:tc>
        <w:tc>
          <w:tcPr>
            <w:tcW w:w="2208" w:type="dxa"/>
            <w:vAlign w:val="center"/>
          </w:tcPr>
          <w:p w14:paraId="47CA6AD1">
            <w:pPr>
              <w:adjustRightInd w:val="0"/>
              <w:snapToGrid w:val="0"/>
              <w:spacing w:line="440" w:lineRule="exact"/>
              <w:rPr>
                <w:rFonts w:ascii="宋体" w:hAnsi="宋体" w:cs="宋体"/>
                <w:szCs w:val="21"/>
                <w:highlight w:val="none"/>
              </w:rPr>
            </w:pPr>
          </w:p>
        </w:tc>
        <w:tc>
          <w:tcPr>
            <w:tcW w:w="2435" w:type="dxa"/>
            <w:vAlign w:val="center"/>
          </w:tcPr>
          <w:p w14:paraId="1F5FC2EB">
            <w:pPr>
              <w:adjustRightInd w:val="0"/>
              <w:snapToGrid w:val="0"/>
              <w:spacing w:line="440" w:lineRule="exact"/>
              <w:rPr>
                <w:rFonts w:ascii="宋体" w:hAnsi="宋体" w:cs="宋体"/>
                <w:szCs w:val="21"/>
                <w:highlight w:val="none"/>
              </w:rPr>
            </w:pPr>
          </w:p>
        </w:tc>
        <w:tc>
          <w:tcPr>
            <w:tcW w:w="1364" w:type="dxa"/>
            <w:vAlign w:val="center"/>
          </w:tcPr>
          <w:p w14:paraId="406341EF">
            <w:pPr>
              <w:adjustRightInd w:val="0"/>
              <w:snapToGrid w:val="0"/>
              <w:spacing w:line="440" w:lineRule="exact"/>
              <w:rPr>
                <w:rFonts w:ascii="宋体" w:hAnsi="宋体" w:cs="宋体"/>
                <w:szCs w:val="21"/>
                <w:highlight w:val="none"/>
              </w:rPr>
            </w:pPr>
          </w:p>
        </w:tc>
      </w:tr>
      <w:tr w14:paraId="36241F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14:paraId="4FEF5D9F">
            <w:pPr>
              <w:adjustRightInd w:val="0"/>
              <w:snapToGrid w:val="0"/>
              <w:spacing w:line="440" w:lineRule="exact"/>
              <w:rPr>
                <w:rFonts w:ascii="宋体" w:hAnsi="宋体" w:cs="宋体"/>
                <w:szCs w:val="21"/>
                <w:highlight w:val="none"/>
              </w:rPr>
            </w:pPr>
          </w:p>
        </w:tc>
        <w:tc>
          <w:tcPr>
            <w:tcW w:w="1746" w:type="dxa"/>
            <w:vAlign w:val="center"/>
          </w:tcPr>
          <w:p w14:paraId="1ACAD6F0">
            <w:pPr>
              <w:adjustRightInd w:val="0"/>
              <w:snapToGrid w:val="0"/>
              <w:spacing w:line="440" w:lineRule="exact"/>
              <w:rPr>
                <w:rFonts w:ascii="宋体" w:hAnsi="宋体" w:cs="宋体"/>
                <w:szCs w:val="21"/>
                <w:highlight w:val="none"/>
              </w:rPr>
            </w:pPr>
          </w:p>
        </w:tc>
        <w:tc>
          <w:tcPr>
            <w:tcW w:w="2208" w:type="dxa"/>
            <w:vAlign w:val="center"/>
          </w:tcPr>
          <w:p w14:paraId="4D99CA95">
            <w:pPr>
              <w:adjustRightInd w:val="0"/>
              <w:snapToGrid w:val="0"/>
              <w:spacing w:line="440" w:lineRule="exact"/>
              <w:rPr>
                <w:rFonts w:ascii="宋体" w:hAnsi="宋体" w:cs="宋体"/>
                <w:szCs w:val="21"/>
                <w:highlight w:val="none"/>
              </w:rPr>
            </w:pPr>
          </w:p>
        </w:tc>
        <w:tc>
          <w:tcPr>
            <w:tcW w:w="2435" w:type="dxa"/>
            <w:vAlign w:val="center"/>
          </w:tcPr>
          <w:p w14:paraId="257B4688">
            <w:pPr>
              <w:adjustRightInd w:val="0"/>
              <w:snapToGrid w:val="0"/>
              <w:spacing w:line="440" w:lineRule="exact"/>
              <w:rPr>
                <w:rFonts w:ascii="宋体" w:hAnsi="宋体" w:cs="宋体"/>
                <w:szCs w:val="21"/>
                <w:highlight w:val="none"/>
              </w:rPr>
            </w:pPr>
          </w:p>
        </w:tc>
        <w:tc>
          <w:tcPr>
            <w:tcW w:w="1364" w:type="dxa"/>
            <w:vAlign w:val="center"/>
          </w:tcPr>
          <w:p w14:paraId="1EEE0551">
            <w:pPr>
              <w:adjustRightInd w:val="0"/>
              <w:snapToGrid w:val="0"/>
              <w:spacing w:line="440" w:lineRule="exact"/>
              <w:rPr>
                <w:rFonts w:ascii="宋体" w:hAnsi="宋体" w:cs="宋体"/>
                <w:szCs w:val="21"/>
                <w:highlight w:val="none"/>
              </w:rPr>
            </w:pPr>
          </w:p>
        </w:tc>
      </w:tr>
      <w:tr w14:paraId="04594C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38D1E365">
            <w:pPr>
              <w:adjustRightInd w:val="0"/>
              <w:snapToGrid w:val="0"/>
              <w:spacing w:line="440" w:lineRule="exact"/>
              <w:rPr>
                <w:rFonts w:ascii="宋体" w:hAnsi="宋体" w:cs="宋体"/>
                <w:szCs w:val="21"/>
                <w:highlight w:val="none"/>
              </w:rPr>
            </w:pPr>
          </w:p>
        </w:tc>
        <w:tc>
          <w:tcPr>
            <w:tcW w:w="1746" w:type="dxa"/>
            <w:vAlign w:val="center"/>
          </w:tcPr>
          <w:p w14:paraId="0745B7F2">
            <w:pPr>
              <w:adjustRightInd w:val="0"/>
              <w:snapToGrid w:val="0"/>
              <w:spacing w:line="440" w:lineRule="exact"/>
              <w:rPr>
                <w:rFonts w:ascii="宋体" w:hAnsi="宋体" w:cs="宋体"/>
                <w:szCs w:val="21"/>
                <w:highlight w:val="none"/>
              </w:rPr>
            </w:pPr>
          </w:p>
        </w:tc>
        <w:tc>
          <w:tcPr>
            <w:tcW w:w="2208" w:type="dxa"/>
            <w:vAlign w:val="center"/>
          </w:tcPr>
          <w:p w14:paraId="33A3E266">
            <w:pPr>
              <w:adjustRightInd w:val="0"/>
              <w:snapToGrid w:val="0"/>
              <w:spacing w:line="440" w:lineRule="exact"/>
              <w:rPr>
                <w:rFonts w:ascii="宋体" w:hAnsi="宋体" w:cs="宋体"/>
                <w:szCs w:val="21"/>
                <w:highlight w:val="none"/>
              </w:rPr>
            </w:pPr>
          </w:p>
        </w:tc>
        <w:tc>
          <w:tcPr>
            <w:tcW w:w="2435" w:type="dxa"/>
            <w:vAlign w:val="center"/>
          </w:tcPr>
          <w:p w14:paraId="19D53536">
            <w:pPr>
              <w:adjustRightInd w:val="0"/>
              <w:snapToGrid w:val="0"/>
              <w:spacing w:line="440" w:lineRule="exact"/>
              <w:rPr>
                <w:rFonts w:ascii="宋体" w:hAnsi="宋体" w:cs="宋体"/>
                <w:szCs w:val="21"/>
                <w:highlight w:val="none"/>
              </w:rPr>
            </w:pPr>
          </w:p>
        </w:tc>
        <w:tc>
          <w:tcPr>
            <w:tcW w:w="1364" w:type="dxa"/>
            <w:vAlign w:val="center"/>
          </w:tcPr>
          <w:p w14:paraId="1C24719B">
            <w:pPr>
              <w:adjustRightInd w:val="0"/>
              <w:snapToGrid w:val="0"/>
              <w:spacing w:line="440" w:lineRule="exact"/>
              <w:rPr>
                <w:rFonts w:ascii="宋体" w:hAnsi="宋体" w:cs="宋体"/>
                <w:szCs w:val="21"/>
                <w:highlight w:val="none"/>
              </w:rPr>
            </w:pPr>
          </w:p>
        </w:tc>
      </w:tr>
      <w:tr w14:paraId="373E4E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5A3CFF8B">
            <w:pPr>
              <w:adjustRightInd w:val="0"/>
              <w:snapToGrid w:val="0"/>
              <w:spacing w:line="440" w:lineRule="exact"/>
              <w:rPr>
                <w:rFonts w:ascii="宋体" w:hAnsi="宋体" w:cs="宋体"/>
                <w:szCs w:val="21"/>
                <w:highlight w:val="none"/>
              </w:rPr>
            </w:pPr>
          </w:p>
        </w:tc>
        <w:tc>
          <w:tcPr>
            <w:tcW w:w="1746" w:type="dxa"/>
            <w:vAlign w:val="center"/>
          </w:tcPr>
          <w:p w14:paraId="0E05FE34">
            <w:pPr>
              <w:adjustRightInd w:val="0"/>
              <w:snapToGrid w:val="0"/>
              <w:spacing w:line="440" w:lineRule="exact"/>
              <w:rPr>
                <w:rFonts w:ascii="宋体" w:hAnsi="宋体" w:cs="宋体"/>
                <w:szCs w:val="21"/>
                <w:highlight w:val="none"/>
              </w:rPr>
            </w:pPr>
          </w:p>
        </w:tc>
        <w:tc>
          <w:tcPr>
            <w:tcW w:w="2208" w:type="dxa"/>
            <w:vAlign w:val="center"/>
          </w:tcPr>
          <w:p w14:paraId="08B0ADA9">
            <w:pPr>
              <w:adjustRightInd w:val="0"/>
              <w:snapToGrid w:val="0"/>
              <w:spacing w:line="440" w:lineRule="exact"/>
              <w:rPr>
                <w:rFonts w:ascii="宋体" w:hAnsi="宋体" w:cs="宋体"/>
                <w:szCs w:val="21"/>
                <w:highlight w:val="none"/>
              </w:rPr>
            </w:pPr>
          </w:p>
        </w:tc>
        <w:tc>
          <w:tcPr>
            <w:tcW w:w="2435" w:type="dxa"/>
            <w:vAlign w:val="center"/>
          </w:tcPr>
          <w:p w14:paraId="31F67F65">
            <w:pPr>
              <w:adjustRightInd w:val="0"/>
              <w:snapToGrid w:val="0"/>
              <w:spacing w:line="440" w:lineRule="exact"/>
              <w:rPr>
                <w:rFonts w:ascii="宋体" w:hAnsi="宋体" w:cs="宋体"/>
                <w:szCs w:val="21"/>
                <w:highlight w:val="none"/>
              </w:rPr>
            </w:pPr>
          </w:p>
        </w:tc>
        <w:tc>
          <w:tcPr>
            <w:tcW w:w="1364" w:type="dxa"/>
            <w:vAlign w:val="center"/>
          </w:tcPr>
          <w:p w14:paraId="589A7D02">
            <w:pPr>
              <w:adjustRightInd w:val="0"/>
              <w:snapToGrid w:val="0"/>
              <w:spacing w:line="440" w:lineRule="exact"/>
              <w:rPr>
                <w:rFonts w:ascii="宋体" w:hAnsi="宋体" w:cs="宋体"/>
                <w:szCs w:val="21"/>
                <w:highlight w:val="none"/>
              </w:rPr>
            </w:pPr>
          </w:p>
        </w:tc>
      </w:tr>
    </w:tbl>
    <w:p w14:paraId="40626821">
      <w:pPr>
        <w:adjustRightInd w:val="0"/>
        <w:snapToGrid w:val="0"/>
        <w:spacing w:after="120" w:line="440" w:lineRule="exact"/>
        <w:ind w:left="693" w:hanging="693" w:hangingChars="330"/>
        <w:rPr>
          <w:rFonts w:ascii="宋体" w:hAnsi="宋体" w:cs="宋体"/>
          <w:szCs w:val="21"/>
          <w:highlight w:val="none"/>
        </w:rPr>
      </w:pPr>
    </w:p>
    <w:p w14:paraId="6A1B5DCE">
      <w:pPr>
        <w:spacing w:line="440" w:lineRule="exact"/>
        <w:ind w:firstLine="1134" w:firstLineChars="540"/>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r>
        <w:rPr>
          <w:rFonts w:hint="eastAsia" w:ascii="宋体" w:hAnsi="宋体"/>
          <w:szCs w:val="21"/>
          <w:highlight w:val="none"/>
        </w:rPr>
        <w:t>（盖单位公章）</w:t>
      </w:r>
    </w:p>
    <w:p w14:paraId="674D1C54">
      <w:pPr>
        <w:widowControl/>
        <w:tabs>
          <w:tab w:val="left" w:pos="3018"/>
          <w:tab w:val="left" w:pos="6260"/>
        </w:tabs>
        <w:ind w:firstLine="2692" w:firstLineChars="1282"/>
        <w:jc w:val="left"/>
        <w:rPr>
          <w:rFonts w:ascii="宋体" w:hAnsi="宋体" w:cs="Arial"/>
          <w:bCs/>
          <w:szCs w:val="21"/>
          <w:highlight w:val="none"/>
        </w:rPr>
      </w:pPr>
    </w:p>
    <w:p w14:paraId="2C28028B">
      <w:pPr>
        <w:widowControl/>
        <w:tabs>
          <w:tab w:val="left" w:pos="3018"/>
          <w:tab w:val="left" w:pos="6260"/>
        </w:tabs>
        <w:ind w:firstLine="1134" w:firstLineChars="540"/>
        <w:jc w:val="left"/>
        <w:rPr>
          <w:rFonts w:ascii="宋体" w:hAnsi="宋体" w:cs="Arial"/>
          <w:bCs/>
          <w:szCs w:val="21"/>
          <w:highlight w:val="none"/>
        </w:rPr>
      </w:pPr>
      <w:r>
        <w:rPr>
          <w:rFonts w:hint="eastAsia" w:ascii="宋体" w:hAnsi="宋体" w:cs="Arial"/>
          <w:bCs/>
          <w:szCs w:val="21"/>
          <w:highlight w:val="none"/>
        </w:rPr>
        <w:t>日期：XX年 XX月XX日</w:t>
      </w:r>
    </w:p>
    <w:p w14:paraId="7F4D16B0">
      <w:pPr>
        <w:adjustRightInd w:val="0"/>
        <w:snapToGrid w:val="0"/>
        <w:spacing w:line="440" w:lineRule="exact"/>
        <w:rPr>
          <w:rFonts w:ascii="宋体" w:hAnsi="宋体" w:cs="宋体"/>
          <w:szCs w:val="21"/>
          <w:highlight w:val="none"/>
        </w:rPr>
      </w:pPr>
    </w:p>
    <w:p w14:paraId="1C76BA98">
      <w:pPr>
        <w:adjustRightInd w:val="0"/>
        <w:snapToGrid w:val="0"/>
        <w:spacing w:line="440" w:lineRule="exact"/>
        <w:rPr>
          <w:rFonts w:cs="宋体" w:asciiTheme="minorEastAsia" w:hAnsiTheme="minorEastAsia" w:eastAsiaTheme="minorEastAsia"/>
          <w:szCs w:val="21"/>
          <w:highlight w:val="none"/>
        </w:rPr>
      </w:pPr>
      <w:bookmarkStart w:id="1143" w:name="_Toc82534745"/>
      <w:bookmarkStart w:id="1144" w:name="_Toc38008092"/>
      <w:bookmarkStart w:id="1145" w:name="_Toc82534747"/>
      <w:r>
        <w:rPr>
          <w:rFonts w:hint="eastAsia" w:cs="宋体" w:asciiTheme="minorEastAsia" w:hAnsiTheme="minorEastAsia" w:eastAsiaTheme="minorEastAsia"/>
          <w:b/>
          <w:szCs w:val="21"/>
          <w:highlight w:val="none"/>
        </w:rPr>
        <w:t>编制要求</w:t>
      </w:r>
      <w:r>
        <w:rPr>
          <w:rFonts w:hint="eastAsia" w:cs="宋体" w:asciiTheme="minorEastAsia" w:hAnsiTheme="minorEastAsia" w:eastAsiaTheme="minorEastAsia"/>
          <w:szCs w:val="21"/>
          <w:highlight w:val="none"/>
        </w:rPr>
        <w:t>：</w:t>
      </w:r>
    </w:p>
    <w:p w14:paraId="2143D0B8">
      <w:pPr>
        <w:pStyle w:val="56"/>
        <w:numPr>
          <w:ilvl w:val="0"/>
          <w:numId w:val="64"/>
        </w:numPr>
        <w:adjustRightInd w:val="0"/>
        <w:snapToGrid w:val="0"/>
        <w:spacing w:line="440" w:lineRule="exact"/>
        <w:ind w:left="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rPr>
        <w:t>如对合同条款无任何偏离，投标人仅需在本偏离表中填写“无偏离”即可。当本表为空时，视为投标文件对合同条款全部满足，无偏离。</w:t>
      </w:r>
    </w:p>
    <w:p w14:paraId="2588EE26">
      <w:pPr>
        <w:pStyle w:val="56"/>
        <w:numPr>
          <w:ilvl w:val="0"/>
          <w:numId w:val="64"/>
        </w:numPr>
        <w:adjustRightInd w:val="0"/>
        <w:snapToGrid w:val="0"/>
        <w:spacing w:line="440" w:lineRule="exact"/>
        <w:ind w:left="0" w:firstLine="0" w:firstLineChars="0"/>
        <w:rPr>
          <w:rFonts w:asciiTheme="minorEastAsia" w:hAnsiTheme="minorEastAsia" w:eastAsiaTheme="minorEastAsia"/>
          <w:highlight w:val="none"/>
        </w:rPr>
      </w:pPr>
      <w:r>
        <w:rPr>
          <w:rFonts w:hint="eastAsia" w:asciiTheme="minorEastAsia" w:hAnsiTheme="minorEastAsia" w:eastAsiaTheme="minorEastAsia"/>
          <w:highlight w:val="none"/>
        </w:rPr>
        <w:t>如对合同条款存在偏离，投标人需对合同条款存在的偏离逐条做出说明。</w:t>
      </w:r>
    </w:p>
    <w:p w14:paraId="42F185EC">
      <w:pPr>
        <w:rPr>
          <w:rFonts w:hint="eastAsia"/>
          <w:highlight w:val="none"/>
        </w:rPr>
        <w:sectPr>
          <w:pgSz w:w="11906" w:h="16838"/>
          <w:pgMar w:top="1440" w:right="1800" w:bottom="1440" w:left="1800" w:header="851" w:footer="992" w:gutter="0"/>
          <w:pgNumType w:fmt="decimal"/>
          <w:cols w:space="425" w:num="1"/>
          <w:docGrid w:type="lines" w:linePitch="312" w:charSpace="0"/>
        </w:sectPr>
      </w:pPr>
    </w:p>
    <w:bookmarkEnd w:id="1143"/>
    <w:bookmarkEnd w:id="1144"/>
    <w:p w14:paraId="3F35BEED">
      <w:pPr>
        <w:pStyle w:val="40"/>
        <w:numPr>
          <w:ilvl w:val="0"/>
          <w:numId w:val="57"/>
        </w:numPr>
        <w:tabs>
          <w:tab w:val="left" w:pos="588"/>
        </w:tabs>
        <w:snapToGrid w:val="0"/>
        <w:spacing w:before="120" w:after="120" w:line="440" w:lineRule="exact"/>
        <w:jc w:val="left"/>
        <w:rPr>
          <w:rFonts w:hint="eastAsia" w:ascii="宋体" w:hAnsi="宋体" w:eastAsia="宋体"/>
          <w:sz w:val="24"/>
          <w:szCs w:val="24"/>
          <w:highlight w:val="none"/>
        </w:rPr>
      </w:pPr>
      <w:bookmarkStart w:id="1146" w:name="_Toc18501"/>
      <w:bookmarkStart w:id="1147" w:name="_Toc120692418"/>
      <w:r>
        <w:rPr>
          <w:rFonts w:hint="eastAsia" w:ascii="宋体" w:hAnsi="宋体" w:eastAsia="宋体"/>
          <w:sz w:val="24"/>
          <w:szCs w:val="24"/>
          <w:highlight w:val="none"/>
        </w:rPr>
        <w:t>供应商网络信息安全承诺书</w:t>
      </w:r>
      <w:bookmarkEnd w:id="1146"/>
      <w:bookmarkEnd w:id="1147"/>
    </w:p>
    <w:p w14:paraId="50DB77F7">
      <w:pPr>
        <w:pStyle w:val="99"/>
        <w:spacing w:line="360" w:lineRule="atLeast"/>
        <w:jc w:val="center"/>
        <w:rPr>
          <w:rFonts w:asciiTheme="minorEastAsia" w:hAnsiTheme="minorEastAsia" w:eastAsiaTheme="minorEastAsia"/>
          <w:b/>
          <w:bCs/>
          <w:sz w:val="24"/>
          <w:highlight w:val="none"/>
        </w:rPr>
      </w:pPr>
      <w:r>
        <w:rPr>
          <w:rFonts w:hint="eastAsia" w:asciiTheme="minorEastAsia" w:hAnsiTheme="minorEastAsia" w:eastAsiaTheme="minorEastAsia"/>
          <w:b/>
          <w:bCs/>
          <w:sz w:val="24"/>
          <w:highlight w:val="none"/>
        </w:rPr>
        <w:t>供应商网络信息安全承诺书</w:t>
      </w:r>
    </w:p>
    <w:p w14:paraId="7806730C">
      <w:pPr>
        <w:pStyle w:val="99"/>
        <w:spacing w:line="360" w:lineRule="atLeast"/>
        <w:jc w:val="center"/>
        <w:rPr>
          <w:rFonts w:asciiTheme="minorEastAsia" w:hAnsiTheme="minorEastAsia" w:eastAsiaTheme="minorEastAsia"/>
          <w:b/>
          <w:bCs/>
          <w:highlight w:val="none"/>
        </w:rPr>
      </w:pPr>
      <w:r>
        <w:rPr>
          <w:rFonts w:hint="eastAsia" w:asciiTheme="minorEastAsia" w:hAnsiTheme="minorEastAsia" w:eastAsiaTheme="minorEastAsia"/>
          <w:b/>
          <w:bCs/>
          <w:highlight w:val="none"/>
        </w:rPr>
        <w:t>[根据规定使用本承诺书的项目，应将本承诺书作为不可偏离文件，并作为合同附件]</w:t>
      </w:r>
    </w:p>
    <w:p w14:paraId="18926454">
      <w:pPr>
        <w:pStyle w:val="99"/>
        <w:spacing w:line="360" w:lineRule="atLeast"/>
        <w:jc w:val="center"/>
        <w:rPr>
          <w:rFonts w:asciiTheme="minorEastAsia" w:hAnsiTheme="minorEastAsia" w:eastAsiaTheme="minorEastAsia"/>
          <w:b/>
          <w:bCs/>
          <w:sz w:val="24"/>
          <w:highlight w:val="none"/>
        </w:rPr>
      </w:pPr>
    </w:p>
    <w:p w14:paraId="69B56BA0">
      <w:pPr>
        <w:pStyle w:val="99"/>
        <w:snapToGrid w:val="0"/>
        <w:spacing w:line="440" w:lineRule="exact"/>
        <w:rPr>
          <w:rFonts w:asciiTheme="minorEastAsia" w:hAnsiTheme="minorEastAsia" w:eastAsiaTheme="minorEastAsia"/>
          <w:szCs w:val="21"/>
          <w:highlight w:val="none"/>
        </w:rPr>
      </w:pPr>
      <w:r>
        <w:rPr>
          <w:rFonts w:hint="eastAsia" w:asciiTheme="minorEastAsia" w:hAnsiTheme="minorEastAsia" w:eastAsiaTheme="minorEastAsia"/>
          <w:b/>
          <w:bCs/>
          <w:szCs w:val="21"/>
          <w:highlight w:val="none"/>
        </w:rPr>
        <w:t>致：【XX公司[招标人名称]】：</w:t>
      </w:r>
    </w:p>
    <w:p w14:paraId="04402E37">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本单位郑重承诺遵守本承诺书，如有违反本承诺书有关条款的行为，本单位承担由此带来的一切责任。</w:t>
      </w:r>
    </w:p>
    <w:p w14:paraId="6AA033C4">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473DF0EC">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二、本单位</w:t>
      </w:r>
      <w:r>
        <w:rPr>
          <w:rFonts w:hint="eastAsia" w:asciiTheme="minorEastAsia" w:hAnsiTheme="minorEastAsia" w:eastAsiaTheme="minorEastAsia"/>
          <w:szCs w:val="21"/>
          <w:highlight w:val="none"/>
          <w:lang w:val="en-US" w:eastAsia="zh-CN"/>
        </w:rPr>
        <w:t>承诺</w:t>
      </w:r>
      <w:r>
        <w:rPr>
          <w:rFonts w:hint="eastAsia" w:asciiTheme="minorEastAsia" w:hAnsiTheme="minorEastAsia" w:eastAsiaTheme="minorEastAsia"/>
          <w:szCs w:val="21"/>
          <w:highlight w:val="none"/>
        </w:rPr>
        <w:t>向贵公司提供产品或服务符合相关规定、政府主管部门要求以及与贵公司的合同/协议（“合同”）约定，落实网络安全、数据安全和个人信息保护责任。本单位承诺具备履行合同所需的全部合法必要的资质条件。</w:t>
      </w:r>
    </w:p>
    <w:p w14:paraId="712CB479">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三、本单位承诺按照用户真实身份信息制度（“实名制”）的要求提供身份信息、使用业务，并保证所提供信息、资料的真实、完整、准确、有效。</w:t>
      </w:r>
    </w:p>
    <w:p w14:paraId="52925BE7">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四、本单位保证不利用网络（包括但不限于固定网、移动网、互联网，下同）从事危害国家安全、泄露国家秘密等违法犯罪活动，不侵犯他人的合法权益。</w:t>
      </w:r>
    </w:p>
    <w:p w14:paraId="21F3D94C">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55E088E5">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7DB056ED">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七、本单位受贵公司委托处理个人信息等数据的，或本单位与贵公司共同处理个人信息等数据的，本单位承诺按照与贵公司的合同约定处理，不得超出约定的处理目的、处理方式等</w:t>
      </w:r>
      <w:r>
        <w:rPr>
          <w:rFonts w:hint="eastAsia" w:asciiTheme="minorEastAsia" w:hAnsiTheme="minorEastAsia" w:eastAsiaTheme="minorEastAsia"/>
          <w:szCs w:val="21"/>
          <w:highlight w:val="none"/>
          <w:lang w:val="en-US" w:eastAsia="zh-CN"/>
        </w:rPr>
        <w:t>处理上述数据，严格遵循数据处理时限</w:t>
      </w:r>
      <w:r>
        <w:rPr>
          <w:rFonts w:hint="eastAsia" w:asciiTheme="minorEastAsia" w:hAnsiTheme="minorEastAsia" w:eastAsiaTheme="minorEastAsia"/>
          <w:szCs w:val="21"/>
          <w:highlight w:val="none"/>
        </w:rPr>
        <w:t>。如果合同不生效、无效、被撤销</w:t>
      </w: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rPr>
        <w:t>终止，</w:t>
      </w:r>
      <w:r>
        <w:rPr>
          <w:rFonts w:hint="eastAsia" w:asciiTheme="minorEastAsia" w:hAnsiTheme="minorEastAsia" w:eastAsiaTheme="minorEastAsia"/>
          <w:szCs w:val="21"/>
          <w:highlight w:val="none"/>
          <w:lang w:val="en-US" w:eastAsia="zh-CN"/>
        </w:rPr>
        <w:t>或其他贵公司认为必要的情况下，</w:t>
      </w:r>
      <w:r>
        <w:rPr>
          <w:rFonts w:hint="eastAsia" w:asciiTheme="minorEastAsia" w:hAnsiTheme="minorEastAsia" w:eastAsiaTheme="minorEastAsia"/>
          <w:szCs w:val="21"/>
          <w:highlight w:val="none"/>
        </w:rPr>
        <w:t>本单位承诺按照贵公司的要求</w:t>
      </w:r>
      <w:r>
        <w:rPr>
          <w:rFonts w:hint="eastAsia" w:asciiTheme="minorEastAsia" w:hAnsiTheme="minorEastAsia" w:eastAsiaTheme="minorEastAsia"/>
          <w:szCs w:val="21"/>
          <w:highlight w:val="none"/>
          <w:lang w:val="en-US" w:eastAsia="zh-CN"/>
        </w:rPr>
        <w:t>对</w:t>
      </w:r>
      <w:r>
        <w:rPr>
          <w:rFonts w:hint="eastAsia" w:asciiTheme="minorEastAsia" w:hAnsiTheme="minorEastAsia" w:eastAsiaTheme="minorEastAsia"/>
          <w:szCs w:val="21"/>
          <w:highlight w:val="none"/>
        </w:rPr>
        <w:t>个人信息等数据（包括</w:t>
      </w:r>
      <w:r>
        <w:rPr>
          <w:rFonts w:hint="eastAsia" w:asciiTheme="minorEastAsia" w:hAnsiTheme="minorEastAsia" w:eastAsiaTheme="minorEastAsia"/>
          <w:szCs w:val="21"/>
          <w:highlight w:val="none"/>
          <w:lang w:val="en-US" w:eastAsia="zh-CN"/>
        </w:rPr>
        <w:t>但不限于原始数据、</w:t>
      </w:r>
      <w:r>
        <w:rPr>
          <w:rFonts w:hint="eastAsia" w:asciiTheme="minorEastAsia" w:hAnsiTheme="minorEastAsia" w:eastAsiaTheme="minorEastAsia"/>
          <w:szCs w:val="21"/>
          <w:highlight w:val="none"/>
        </w:rPr>
        <w:t>备份</w:t>
      </w:r>
      <w:r>
        <w:rPr>
          <w:rFonts w:hint="eastAsia" w:asciiTheme="minorEastAsia" w:hAnsiTheme="minorEastAsia" w:eastAsiaTheme="minorEastAsia"/>
          <w:szCs w:val="21"/>
          <w:highlight w:val="none"/>
          <w:lang w:val="en-US" w:eastAsia="zh-CN"/>
        </w:rPr>
        <w:t>数据、基于所提供的数据产生的衍生数据</w:t>
      </w:r>
      <w:r>
        <w:rPr>
          <w:rFonts w:hint="eastAsia" w:asciiTheme="minorEastAsia" w:hAnsiTheme="minorEastAsia" w:eastAsiaTheme="minorEastAsia"/>
          <w:szCs w:val="21"/>
          <w:highlight w:val="none"/>
        </w:rPr>
        <w:t>）</w:t>
      </w:r>
      <w:r>
        <w:rPr>
          <w:rFonts w:hint="eastAsia" w:asciiTheme="minorEastAsia" w:hAnsiTheme="minorEastAsia" w:eastAsiaTheme="minorEastAsia"/>
          <w:szCs w:val="21"/>
          <w:highlight w:val="none"/>
          <w:lang w:val="en-US" w:eastAsia="zh-CN"/>
        </w:rPr>
        <w:t>予以返还或者删除</w:t>
      </w:r>
      <w:r>
        <w:rPr>
          <w:rFonts w:hint="eastAsia" w:asciiTheme="minorEastAsia" w:hAnsiTheme="minorEastAsia" w:eastAsiaTheme="minorEastAsia"/>
          <w:szCs w:val="21"/>
          <w:highlight w:val="none"/>
        </w:rPr>
        <w:t>，且未经贵公司同意不得以任何方式留存履行合同过程中所</w:t>
      </w:r>
      <w:r>
        <w:rPr>
          <w:rFonts w:hint="eastAsia" w:asciiTheme="minorEastAsia" w:hAnsiTheme="minorEastAsia" w:eastAsiaTheme="minorEastAsia"/>
          <w:szCs w:val="21"/>
          <w:highlight w:val="none"/>
          <w:lang w:val="en-US" w:eastAsia="zh-CN"/>
        </w:rPr>
        <w:t>处理</w:t>
      </w:r>
      <w:r>
        <w:rPr>
          <w:rFonts w:hint="eastAsia" w:asciiTheme="minorEastAsia" w:hAnsiTheme="minorEastAsia" w:eastAsiaTheme="minorEastAsia"/>
          <w:szCs w:val="21"/>
          <w:highlight w:val="none"/>
        </w:rPr>
        <w:t>的任何</w:t>
      </w:r>
      <w:r>
        <w:rPr>
          <w:rFonts w:hint="eastAsia" w:asciiTheme="minorEastAsia" w:hAnsiTheme="minorEastAsia" w:eastAsiaTheme="minorEastAsia"/>
          <w:szCs w:val="21"/>
          <w:highlight w:val="none"/>
          <w:lang w:val="en-US" w:eastAsia="zh-CN"/>
        </w:rPr>
        <w:t>上述</w:t>
      </w:r>
      <w:r>
        <w:rPr>
          <w:rFonts w:hint="eastAsia" w:asciiTheme="minorEastAsia" w:hAnsiTheme="minorEastAsia" w:eastAsiaTheme="minorEastAsia"/>
          <w:szCs w:val="21"/>
          <w:highlight w:val="none"/>
        </w:rPr>
        <w:t>数据。</w:t>
      </w:r>
      <w:r>
        <w:rPr>
          <w:rFonts w:hint="eastAsia" w:asciiTheme="minorEastAsia" w:hAnsiTheme="minorEastAsia" w:eastAsiaTheme="minorEastAsia"/>
          <w:szCs w:val="21"/>
          <w:highlight w:val="none"/>
          <w:lang w:val="en-US" w:eastAsia="zh-CN"/>
        </w:rPr>
        <w:t>上述数据的返还或删除并不免除本单位其他义务。</w:t>
      </w:r>
      <w:r>
        <w:rPr>
          <w:rFonts w:hint="eastAsia" w:asciiTheme="minorEastAsia" w:hAnsiTheme="minorEastAsia" w:eastAsiaTheme="minorEastAsia"/>
          <w:szCs w:val="21"/>
          <w:highlight w:val="none"/>
        </w:rPr>
        <w:t>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6557FD0B">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2DEF521B">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九、本单位承诺严格按照相关</w:t>
      </w:r>
      <w:r>
        <w:rPr>
          <w:rFonts w:hint="eastAsia" w:asciiTheme="minorEastAsia" w:hAnsiTheme="minorEastAsia" w:eastAsiaTheme="minorEastAsia"/>
          <w:szCs w:val="21"/>
          <w:highlight w:val="none"/>
          <w:lang w:val="en-US" w:eastAsia="zh-CN"/>
        </w:rPr>
        <w:t>规定</w:t>
      </w:r>
      <w:r>
        <w:rPr>
          <w:rFonts w:hint="eastAsia" w:asciiTheme="minorEastAsia" w:hAnsiTheme="minorEastAsia" w:eastAsiaTheme="minorEastAsia"/>
          <w:szCs w:val="21"/>
          <w:highlight w:val="none"/>
        </w:rPr>
        <w:t>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w:t>
      </w:r>
      <w:r>
        <w:rPr>
          <w:rFonts w:hint="eastAsia" w:asciiTheme="minorEastAsia" w:hAnsiTheme="minorEastAsia" w:eastAsiaTheme="minorEastAsia"/>
          <w:szCs w:val="21"/>
          <w:highlight w:val="none"/>
          <w:lang w:val="en-US" w:eastAsia="zh-CN"/>
        </w:rPr>
        <w:t>信息安全责任人</w:t>
      </w:r>
      <w:r>
        <w:rPr>
          <w:rFonts w:hint="eastAsia" w:asciiTheme="minorEastAsia" w:hAnsiTheme="minorEastAsia" w:eastAsiaTheme="minorEastAsia"/>
          <w:szCs w:val="21"/>
          <w:highlight w:val="none"/>
        </w:rPr>
        <w:t>发生变更时及时通知贵公司。否则，导致的一切后果由本单位承担，贵公司有权立即终止合同。</w:t>
      </w:r>
    </w:p>
    <w:p w14:paraId="67CBA24A">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09718F41">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十一、本单位承诺利用网络发送的信息以及向贵公司提供的信息真实、准确、合法。该等信息内容应当严格符合相关规定，本单位不得通过通信网络、互联网制作、复制、查阅和传播有害信息</w:t>
      </w: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不得散发传播违法、不健康、反动等信息</w:t>
      </w:r>
      <w:r>
        <w:rPr>
          <w:rFonts w:hint="eastAsia" w:asciiTheme="minorEastAsia" w:hAnsiTheme="minorEastAsia" w:eastAsiaTheme="minorEastAsia"/>
          <w:szCs w:val="21"/>
          <w:highlight w:val="none"/>
        </w:rPr>
        <w:t>，不得</w:t>
      </w:r>
      <w:r>
        <w:rPr>
          <w:rFonts w:hint="eastAsia" w:asciiTheme="minorEastAsia" w:hAnsiTheme="minorEastAsia" w:eastAsiaTheme="minorEastAsia"/>
          <w:szCs w:val="21"/>
          <w:highlight w:val="none"/>
          <w:lang w:val="en-US" w:eastAsia="zh-CN"/>
        </w:rPr>
        <w:t>制作、复制、查阅和传播</w:t>
      </w:r>
      <w:r>
        <w:rPr>
          <w:rFonts w:hint="eastAsia" w:asciiTheme="minorEastAsia" w:hAnsiTheme="minorEastAsia" w:eastAsiaTheme="minorEastAsia"/>
          <w:szCs w:val="21"/>
          <w:highlight w:val="none"/>
        </w:rPr>
        <w:t>任何违反下列要求（即“九不准”及“六不许”）的信息。</w:t>
      </w:r>
    </w:p>
    <w:p w14:paraId="345FCF57">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“九不准”，即不准</w:t>
      </w:r>
      <w:r>
        <w:rPr>
          <w:rFonts w:hint="eastAsia" w:asciiTheme="minorEastAsia" w:hAnsiTheme="minorEastAsia" w:eastAsiaTheme="minorEastAsia"/>
          <w:szCs w:val="21"/>
          <w:highlight w:val="none"/>
          <w:lang w:val="en-US" w:eastAsia="zh-CN"/>
        </w:rPr>
        <w:t>制作、复制、查阅和传播</w:t>
      </w:r>
      <w:r>
        <w:rPr>
          <w:rFonts w:hint="eastAsia" w:asciiTheme="minorEastAsia" w:hAnsiTheme="minorEastAsia" w:eastAsiaTheme="minorEastAsia"/>
          <w:szCs w:val="21"/>
          <w:highlight w:val="none"/>
        </w:rPr>
        <w:t>含有以下内容的信息：</w:t>
      </w:r>
    </w:p>
    <w:p w14:paraId="5793A36B">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1、反对宪法所确定的基本原则的</w:t>
      </w:r>
      <w:r>
        <w:rPr>
          <w:rFonts w:hint="eastAsia" w:asciiTheme="minorEastAsia" w:hAnsiTheme="minorEastAsia" w:eastAsiaTheme="minorEastAsia"/>
          <w:szCs w:val="21"/>
          <w:highlight w:val="none"/>
          <w:lang w:eastAsia="zh-CN"/>
        </w:rPr>
        <w:t>；</w:t>
      </w:r>
    </w:p>
    <w:p w14:paraId="6E3D8815">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2、危害国家安全，泄露国家秘密，颠覆国家政权，破坏国家统一的</w:t>
      </w:r>
      <w:r>
        <w:rPr>
          <w:rFonts w:hint="eastAsia" w:asciiTheme="minorEastAsia" w:hAnsiTheme="minorEastAsia" w:eastAsiaTheme="minorEastAsia"/>
          <w:szCs w:val="21"/>
          <w:highlight w:val="none"/>
          <w:lang w:eastAsia="zh-CN"/>
        </w:rPr>
        <w:t>；</w:t>
      </w:r>
    </w:p>
    <w:p w14:paraId="624CA88D">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3、损害国家荣誉和利益的</w:t>
      </w:r>
      <w:r>
        <w:rPr>
          <w:rFonts w:hint="eastAsia" w:asciiTheme="minorEastAsia" w:hAnsiTheme="minorEastAsia" w:eastAsiaTheme="minorEastAsia"/>
          <w:szCs w:val="21"/>
          <w:highlight w:val="none"/>
          <w:lang w:eastAsia="zh-CN"/>
        </w:rPr>
        <w:t>；</w:t>
      </w:r>
    </w:p>
    <w:p w14:paraId="0F0E8F9A">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4、煽动民族仇恨、民族歧视，破坏民族团结的</w:t>
      </w:r>
      <w:r>
        <w:rPr>
          <w:rFonts w:hint="eastAsia" w:asciiTheme="minorEastAsia" w:hAnsiTheme="minorEastAsia" w:eastAsiaTheme="minorEastAsia"/>
          <w:szCs w:val="21"/>
          <w:highlight w:val="none"/>
          <w:lang w:eastAsia="zh-CN"/>
        </w:rPr>
        <w:t>；</w:t>
      </w:r>
    </w:p>
    <w:p w14:paraId="378A26A4">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5、破坏国家宗教政策，宣扬邪教和封建迷信的</w:t>
      </w:r>
      <w:r>
        <w:rPr>
          <w:rFonts w:hint="eastAsia" w:asciiTheme="minorEastAsia" w:hAnsiTheme="minorEastAsia" w:eastAsiaTheme="minorEastAsia"/>
          <w:szCs w:val="21"/>
          <w:highlight w:val="none"/>
          <w:lang w:eastAsia="zh-CN"/>
        </w:rPr>
        <w:t>；</w:t>
      </w:r>
    </w:p>
    <w:p w14:paraId="208B3048">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6、散布谣言，扰乱社会秩序，破坏社会稳定的</w:t>
      </w:r>
      <w:r>
        <w:rPr>
          <w:rFonts w:hint="eastAsia" w:asciiTheme="minorEastAsia" w:hAnsiTheme="minorEastAsia" w:eastAsiaTheme="minorEastAsia"/>
          <w:szCs w:val="21"/>
          <w:highlight w:val="none"/>
          <w:lang w:eastAsia="zh-CN"/>
        </w:rPr>
        <w:t>；</w:t>
      </w:r>
    </w:p>
    <w:p w14:paraId="0D0558FB">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7、散布淫秽、色情、赌博、暴力、凶杀、恐怖或者教唆犯罪的</w:t>
      </w:r>
      <w:r>
        <w:rPr>
          <w:rFonts w:hint="eastAsia" w:asciiTheme="minorEastAsia" w:hAnsiTheme="minorEastAsia" w:eastAsiaTheme="minorEastAsia"/>
          <w:szCs w:val="21"/>
          <w:highlight w:val="none"/>
          <w:lang w:eastAsia="zh-CN"/>
        </w:rPr>
        <w:t>；</w:t>
      </w:r>
    </w:p>
    <w:p w14:paraId="47E5B29E">
      <w:pPr>
        <w:topLinePunct/>
        <w:snapToGrid w:val="0"/>
        <w:spacing w:line="400" w:lineRule="exact"/>
        <w:ind w:firstLine="420" w:firstLineChars="200"/>
        <w:rPr>
          <w:rFonts w:hint="eastAsia" w:asciiTheme="minorEastAsia" w:hAnsiTheme="minorEastAsia" w:eastAsiaTheme="minorEastAsia"/>
          <w:szCs w:val="21"/>
          <w:highlight w:val="none"/>
          <w:lang w:eastAsia="zh-CN"/>
        </w:rPr>
      </w:pPr>
      <w:r>
        <w:rPr>
          <w:rFonts w:asciiTheme="minorEastAsia" w:hAnsiTheme="minorEastAsia" w:eastAsiaTheme="minorEastAsia"/>
          <w:szCs w:val="21"/>
          <w:highlight w:val="none"/>
        </w:rPr>
        <w:t>8、侮辱或者诽谤他人，侵害他人合法权益的</w:t>
      </w:r>
      <w:r>
        <w:rPr>
          <w:rFonts w:hint="eastAsia" w:asciiTheme="minorEastAsia" w:hAnsiTheme="minorEastAsia" w:eastAsiaTheme="minorEastAsia"/>
          <w:szCs w:val="21"/>
          <w:highlight w:val="none"/>
          <w:lang w:eastAsia="zh-CN"/>
        </w:rPr>
        <w:t>；</w:t>
      </w:r>
    </w:p>
    <w:p w14:paraId="4806B5CB">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9、含有法律</w:t>
      </w:r>
      <w:r>
        <w:rPr>
          <w:rFonts w:hint="eastAsia" w:asciiTheme="minorEastAsia" w:hAnsiTheme="minorEastAsia" w:eastAsiaTheme="minorEastAsia"/>
          <w:szCs w:val="21"/>
          <w:highlight w:val="none"/>
        </w:rPr>
        <w:t>、</w:t>
      </w:r>
      <w:r>
        <w:rPr>
          <w:rFonts w:asciiTheme="minorEastAsia" w:hAnsiTheme="minorEastAsia" w:eastAsiaTheme="minorEastAsia"/>
          <w:szCs w:val="21"/>
          <w:highlight w:val="none"/>
        </w:rPr>
        <w:t>法规禁止的其他内容的。</w:t>
      </w:r>
    </w:p>
    <w:p w14:paraId="2F1E5DF1">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 xml:space="preserve"> “六不许”，即：</w:t>
      </w:r>
    </w:p>
    <w:p w14:paraId="206AA70F">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1、决不允许在群众中散布违背党的理论和路线方针政策的意见。</w:t>
      </w:r>
    </w:p>
    <w:p w14:paraId="41B81326">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2、决不允许公开发表同中央的决定相违背的言论。</w:t>
      </w:r>
    </w:p>
    <w:p w14:paraId="0F987493">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3、决不允许对中央的决策部署阳奉阴违。</w:t>
      </w:r>
    </w:p>
    <w:p w14:paraId="60F06E9F">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4、决不允许编造、传播政治谣言及丑化党和国家形象的言论。</w:t>
      </w:r>
    </w:p>
    <w:p w14:paraId="3E274B58">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5、决不允许以任何形式泄露党和国家的秘密。</w:t>
      </w:r>
    </w:p>
    <w:p w14:paraId="685100F9">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6、决不允许参与各种非法组织和非法活动。</w:t>
      </w:r>
    </w:p>
    <w:p w14:paraId="3983A4FD">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21763854">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1、未经允许进入网络或者使用网络资源；</w:t>
      </w:r>
    </w:p>
    <w:p w14:paraId="435D24AD">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2、未经允许对网络功能进行删除、修改或者增加；</w:t>
      </w:r>
    </w:p>
    <w:p w14:paraId="7D8AE0FB">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3、未经允许对网络中存储或者传输的数据和应用程序进行删除、修改或者增加；</w:t>
      </w:r>
    </w:p>
    <w:p w14:paraId="56E38766">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4、制作、传播、利用网络病毒等恶意程序或破坏性程序；</w:t>
      </w:r>
    </w:p>
    <w:p w14:paraId="31DD11C5">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5、非法收集、使用、加工、传输或以其他方式处理个人信息等数据；</w:t>
      </w:r>
    </w:p>
    <w:p w14:paraId="2BDF87F2">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6</w:t>
      </w:r>
      <w:r>
        <w:rPr>
          <w:rFonts w:hint="eastAsia" w:asciiTheme="minorEastAsia" w:hAnsiTheme="minorEastAsia" w:eastAsiaTheme="minorEastAsia"/>
          <w:szCs w:val="21"/>
          <w:highlight w:val="none"/>
        </w:rPr>
        <w:t>、非法买卖、提供或者公开个人信息等数据；</w:t>
      </w:r>
    </w:p>
    <w:p w14:paraId="7748030D">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7</w:t>
      </w:r>
      <w:r>
        <w:rPr>
          <w:rFonts w:hint="eastAsia" w:asciiTheme="minorEastAsia" w:hAnsiTheme="minorEastAsia" w:eastAsiaTheme="minorEastAsia"/>
          <w:szCs w:val="21"/>
          <w:highlight w:val="none"/>
        </w:rPr>
        <w:t>、从事危害国家安全、公共利益的个人信息和数据处理活动；</w:t>
      </w:r>
    </w:p>
    <w:p w14:paraId="683E4E9B">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8</w:t>
      </w:r>
      <w:r>
        <w:rPr>
          <w:rFonts w:hint="eastAsia" w:asciiTheme="minorEastAsia" w:hAnsiTheme="minorEastAsia" w:eastAsiaTheme="minorEastAsia"/>
          <w:szCs w:val="21"/>
          <w:highlight w:val="none"/>
        </w:rPr>
        <w:t>、其他危害网络安全、数据安全、侵犯他人合法权益的活动。</w:t>
      </w:r>
    </w:p>
    <w:p w14:paraId="3E1F1714">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5ABF9D80">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十四、本单位承诺不进行法律、法规、政府监管规定等禁止的行为，包括但不限于：</w:t>
      </w:r>
    </w:p>
    <w:p w14:paraId="24A96C06">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1、所提供或接入的设备未取得入网许可，或可能影响网络安全或网络服务质量；</w:t>
      </w:r>
    </w:p>
    <w:p w14:paraId="30D34C0C">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2、将</w:t>
      </w:r>
      <w:r>
        <w:rPr>
          <w:rFonts w:hint="eastAsia" w:asciiTheme="minorEastAsia" w:hAnsiTheme="minorEastAsia" w:eastAsiaTheme="minorEastAsia"/>
          <w:szCs w:val="21"/>
          <w:highlight w:val="none"/>
        </w:rPr>
        <w:t>合同履行</w:t>
      </w:r>
      <w:r>
        <w:rPr>
          <w:rFonts w:asciiTheme="minorEastAsia" w:hAnsiTheme="minorEastAsia" w:eastAsiaTheme="minorEastAsia"/>
          <w:szCs w:val="21"/>
          <w:highlight w:val="none"/>
        </w:rPr>
        <w:t>中获得的账号、密码私自转让、转租或以非法</w:t>
      </w:r>
      <w:r>
        <w:rPr>
          <w:rFonts w:hint="eastAsia" w:asciiTheme="minorEastAsia" w:hAnsiTheme="minorEastAsia" w:eastAsiaTheme="minorEastAsia"/>
          <w:szCs w:val="21"/>
          <w:highlight w:val="none"/>
        </w:rPr>
        <w:t>方式</w:t>
      </w:r>
      <w:r>
        <w:rPr>
          <w:rFonts w:asciiTheme="minorEastAsia" w:hAnsiTheme="minorEastAsia" w:eastAsiaTheme="minorEastAsia"/>
          <w:szCs w:val="21"/>
          <w:highlight w:val="none"/>
        </w:rPr>
        <w:t>提供给第三方；</w:t>
      </w:r>
    </w:p>
    <w:p w14:paraId="74BF8DEA">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3、在</w:t>
      </w:r>
      <w:r>
        <w:rPr>
          <w:rFonts w:hint="eastAsia" w:asciiTheme="minorEastAsia" w:hAnsiTheme="minorEastAsia" w:eastAsiaTheme="minorEastAsia"/>
          <w:szCs w:val="21"/>
          <w:highlight w:val="none"/>
        </w:rPr>
        <w:t>设备、</w:t>
      </w:r>
      <w:r>
        <w:rPr>
          <w:rFonts w:asciiTheme="minorEastAsia" w:hAnsiTheme="minorEastAsia" w:eastAsiaTheme="minorEastAsia"/>
          <w:szCs w:val="21"/>
          <w:highlight w:val="none"/>
        </w:rPr>
        <w:t>系统、计算机软件</w:t>
      </w:r>
      <w:r>
        <w:rPr>
          <w:rFonts w:hint="eastAsia" w:asciiTheme="minorEastAsia" w:hAnsiTheme="minorEastAsia" w:eastAsiaTheme="minorEastAsia"/>
          <w:szCs w:val="21"/>
          <w:highlight w:val="none"/>
        </w:rPr>
        <w:t>等产品或服务</w:t>
      </w:r>
      <w:r>
        <w:rPr>
          <w:rFonts w:asciiTheme="minorEastAsia" w:hAnsiTheme="minorEastAsia" w:eastAsiaTheme="minorEastAsia"/>
          <w:szCs w:val="21"/>
          <w:highlight w:val="none"/>
        </w:rPr>
        <w:t>中非法植入后门程序</w:t>
      </w:r>
      <w:r>
        <w:rPr>
          <w:rFonts w:hint="eastAsia" w:asciiTheme="minorEastAsia" w:hAnsiTheme="minorEastAsia" w:eastAsiaTheme="minorEastAsia"/>
          <w:szCs w:val="21"/>
          <w:highlight w:val="none"/>
        </w:rPr>
        <w:t>等恶意程序或破坏性程序</w:t>
      </w:r>
      <w:r>
        <w:rPr>
          <w:rFonts w:asciiTheme="minorEastAsia" w:hAnsiTheme="minorEastAsia" w:eastAsiaTheme="minorEastAsia"/>
          <w:szCs w:val="21"/>
          <w:highlight w:val="none"/>
        </w:rPr>
        <w:t>；</w:t>
      </w:r>
    </w:p>
    <w:p w14:paraId="1AFA4D25">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4、</w:t>
      </w:r>
      <w:r>
        <w:rPr>
          <w:rFonts w:hint="eastAsia" w:asciiTheme="minorEastAsia" w:hAnsiTheme="minorEastAsia" w:eastAsiaTheme="minorEastAsia"/>
          <w:szCs w:val="21"/>
          <w:highlight w:val="none"/>
        </w:rPr>
        <w:t>利用提供产品或服务的便利条件非法获取用户个人信息等数据及重要运营数据、非法控制和操纵用户设备；</w:t>
      </w:r>
    </w:p>
    <w:p w14:paraId="318652CD">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5</w:t>
      </w:r>
      <w:r>
        <w:rPr>
          <w:rFonts w:hint="eastAsia" w:asciiTheme="minorEastAsia" w:hAnsiTheme="minorEastAsia" w:eastAsiaTheme="minorEastAsia"/>
          <w:szCs w:val="21"/>
          <w:highlight w:val="none"/>
        </w:rPr>
        <w:t>、未经贵公司同意擅自公开所提供产品或服务的源代码；</w:t>
      </w:r>
    </w:p>
    <w:p w14:paraId="6A324BD1">
      <w:pPr>
        <w:topLinePunct/>
        <w:snapToGrid w:val="0"/>
        <w:spacing w:line="400" w:lineRule="exact"/>
        <w:ind w:firstLine="420" w:firstLineChars="200"/>
        <w:rPr>
          <w:rFonts w:asciiTheme="minorEastAsia" w:hAnsiTheme="minorEastAsia" w:eastAsiaTheme="minorEastAsia"/>
          <w:szCs w:val="21"/>
          <w:highlight w:val="none"/>
        </w:rPr>
      </w:pPr>
      <w:r>
        <w:rPr>
          <w:rFonts w:asciiTheme="minorEastAsia" w:hAnsiTheme="minorEastAsia" w:eastAsiaTheme="minorEastAsia"/>
          <w:szCs w:val="21"/>
          <w:highlight w:val="none"/>
        </w:rPr>
        <w:t>6、</w:t>
      </w:r>
      <w:r>
        <w:rPr>
          <w:rFonts w:hint="eastAsia" w:asciiTheme="minorEastAsia" w:hAnsiTheme="minorEastAsia" w:eastAsiaTheme="minorEastAsia"/>
          <w:szCs w:val="21"/>
          <w:highlight w:val="none"/>
        </w:rPr>
        <w:t>未经贵公司同意探测、发布贵公司及其关联方（“中国电信”）的网络、终端、信息系统漏洞，对中国电信运营的网络开展渗透测试；</w:t>
      </w:r>
    </w:p>
    <w:p w14:paraId="151CB336">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lang w:val="en-US" w:eastAsia="zh-CN"/>
        </w:rPr>
        <w:t>7</w:t>
      </w:r>
      <w:r>
        <w:rPr>
          <w:rFonts w:hint="eastAsia" w:asciiTheme="minorEastAsia" w:hAnsiTheme="minorEastAsia" w:eastAsiaTheme="minorEastAsia"/>
          <w:szCs w:val="21"/>
          <w:highlight w:val="none"/>
        </w:rPr>
        <w:t>、</w:t>
      </w:r>
      <w:r>
        <w:rPr>
          <w:rFonts w:asciiTheme="minorEastAsia" w:hAnsiTheme="minorEastAsia" w:eastAsiaTheme="minorEastAsia"/>
          <w:szCs w:val="21"/>
          <w:highlight w:val="none"/>
        </w:rPr>
        <w:t>法律法规规定或</w:t>
      </w:r>
      <w:r>
        <w:rPr>
          <w:rFonts w:hint="eastAsia" w:asciiTheme="minorEastAsia" w:hAnsiTheme="minorEastAsia" w:eastAsiaTheme="minorEastAsia"/>
          <w:szCs w:val="21"/>
          <w:highlight w:val="none"/>
        </w:rPr>
        <w:t>合同约定的其他禁止行为</w:t>
      </w:r>
      <w:r>
        <w:rPr>
          <w:rFonts w:asciiTheme="minorEastAsia" w:hAnsiTheme="minorEastAsia" w:eastAsiaTheme="minorEastAsia"/>
          <w:szCs w:val="21"/>
          <w:highlight w:val="none"/>
        </w:rPr>
        <w:t>。</w:t>
      </w:r>
    </w:p>
    <w:p w14:paraId="262F7730">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十五、本单位承诺提供给贵公司的产品或服务已关闭与合同约定无关的端口，不存在与合同约定无关的进程。</w:t>
      </w:r>
    </w:p>
    <w:p w14:paraId="453CFCC0">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十六</w:t>
      </w: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rPr>
        <w:t>本单位承诺未经贵公司同意不得以任何形式对提供给贵公司的产品或服务进行任何操作。本单位承诺严格按最小化原则管理相关产品或服务的操作权限并事先征得贵公司同意。</w:t>
      </w:r>
    </w:p>
    <w:p w14:paraId="0F5B88D1">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十七、本单位承诺对提供给贵公司的产品或服务在交付前完成已知病毒查杀、安全缺陷</w:t>
      </w:r>
      <w:r>
        <w:rPr>
          <w:rFonts w:hint="eastAsia" w:asciiTheme="minorEastAsia" w:hAnsiTheme="minorEastAsia" w:eastAsiaTheme="minorEastAsia"/>
          <w:szCs w:val="21"/>
          <w:highlight w:val="none"/>
          <w:lang w:val="en-US" w:eastAsia="zh-CN"/>
        </w:rPr>
        <w:t>及</w:t>
      </w:r>
      <w:r>
        <w:rPr>
          <w:rFonts w:hint="eastAsia" w:asciiTheme="minorEastAsia" w:hAnsiTheme="minorEastAsia" w:eastAsiaTheme="minorEastAsia"/>
          <w:szCs w:val="21"/>
          <w:highlight w:val="none"/>
        </w:rPr>
        <w:t>漏洞扫描和修复，交付后对发现的安全缺陷、漏洞等风险及时采取补救措施。</w:t>
      </w:r>
    </w:p>
    <w:p w14:paraId="42A2D8E9">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十八、本单位承诺无正当理由不会中断所提供的产品或服务，亦不会中断提供必要的技术支持服务。</w:t>
      </w:r>
    </w:p>
    <w:p w14:paraId="7B6A2442">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6DEF8D80">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二十、本单位承诺同意并配合贵公司进行网络安全审查，检查的内容包括但不限于网络安全检查项、计算环境安全检查项、开发流程检查项、提供或委托处理数据的数据处理行为检查项等方面。</w:t>
      </w:r>
    </w:p>
    <w:p w14:paraId="28A48339">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二十一、本单位承诺按要求提供网络安全审查工作需要的材料，严格履行网络安全审查中作出的承诺。</w:t>
      </w:r>
    </w:p>
    <w:p w14:paraId="38922B41">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w:t>
      </w:r>
      <w:r>
        <w:rPr>
          <w:rFonts w:hint="eastAsia" w:asciiTheme="minorEastAsia" w:hAnsiTheme="minorEastAsia" w:eastAsiaTheme="minorEastAsia"/>
          <w:szCs w:val="21"/>
          <w:highlight w:val="none"/>
          <w:lang w:val="en-US" w:eastAsia="zh-CN"/>
        </w:rPr>
        <w:t>二</w:t>
      </w:r>
      <w:r>
        <w:rPr>
          <w:rFonts w:hint="eastAsia" w:asciiTheme="minorEastAsia" w:hAnsiTheme="minorEastAsia" w:eastAsiaTheme="minorEastAsia"/>
          <w:szCs w:val="21"/>
          <w:highlight w:val="none"/>
        </w:rPr>
        <w:t>、本单位如出现任何违反上述承诺的情况，</w:t>
      </w:r>
      <w:r>
        <w:rPr>
          <w:rFonts w:hint="eastAsia" w:asciiTheme="minorEastAsia" w:hAnsiTheme="minorEastAsia" w:eastAsiaTheme="minorEastAsia"/>
          <w:szCs w:val="21"/>
          <w:highlight w:val="none"/>
          <w:lang w:val="en-US" w:eastAsia="zh-CN"/>
        </w:rPr>
        <w:t>将</w:t>
      </w:r>
      <w:r>
        <w:rPr>
          <w:rFonts w:hint="eastAsia" w:asciiTheme="minorEastAsia" w:hAnsiTheme="minorEastAsia" w:eastAsiaTheme="minorEastAsia"/>
          <w:szCs w:val="21"/>
          <w:highlight w:val="none"/>
        </w:rPr>
        <w:t>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72A451D3">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w:t>
      </w:r>
      <w:r>
        <w:rPr>
          <w:rFonts w:hint="eastAsia" w:asciiTheme="minorEastAsia" w:hAnsiTheme="minorEastAsia" w:eastAsiaTheme="minorEastAsia"/>
          <w:szCs w:val="21"/>
          <w:highlight w:val="none"/>
          <w:lang w:val="en-US" w:eastAsia="zh-CN"/>
        </w:rPr>
        <w:t>三</w:t>
      </w:r>
      <w:r>
        <w:rPr>
          <w:rFonts w:hint="eastAsia" w:asciiTheme="minorEastAsia" w:hAnsiTheme="minorEastAsia" w:eastAsiaTheme="minorEastAsia"/>
          <w:szCs w:val="21"/>
          <w:highlight w:val="none"/>
        </w:rPr>
        <w:t>、如出现任何违反上述承诺的情况引发的投诉、举报，由本单位负责解决并承担责任。当</w:t>
      </w:r>
      <w:r>
        <w:rPr>
          <w:rFonts w:hint="eastAsia" w:asciiTheme="minorEastAsia" w:hAnsiTheme="minorEastAsia" w:eastAsiaTheme="minorEastAsia"/>
          <w:szCs w:val="21"/>
          <w:highlight w:val="none"/>
          <w:lang w:val="en-US" w:eastAsia="zh-CN"/>
        </w:rPr>
        <w:t>接到</w:t>
      </w:r>
      <w:r>
        <w:rPr>
          <w:rFonts w:hint="eastAsia" w:asciiTheme="minorEastAsia" w:hAnsiTheme="minorEastAsia" w:eastAsiaTheme="minorEastAsia"/>
          <w:szCs w:val="21"/>
          <w:highlight w:val="none"/>
        </w:rPr>
        <w:t>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78FFB49C">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w:t>
      </w:r>
      <w:r>
        <w:rPr>
          <w:rFonts w:hint="eastAsia" w:asciiTheme="minorEastAsia" w:hAnsiTheme="minorEastAsia" w:eastAsiaTheme="minorEastAsia"/>
          <w:szCs w:val="21"/>
          <w:highlight w:val="none"/>
          <w:lang w:val="en-US" w:eastAsia="zh-CN"/>
        </w:rPr>
        <w:t>四</w:t>
      </w:r>
      <w:r>
        <w:rPr>
          <w:rFonts w:hint="eastAsia" w:asciiTheme="minorEastAsia" w:hAnsiTheme="minorEastAsia" w:eastAsiaTheme="minorEastAsia"/>
          <w:szCs w:val="21"/>
          <w:highlight w:val="none"/>
        </w:rPr>
        <w:t>、本单位</w:t>
      </w:r>
      <w:r>
        <w:rPr>
          <w:rFonts w:hint="eastAsia" w:asciiTheme="minorEastAsia" w:hAnsiTheme="minorEastAsia" w:eastAsiaTheme="minorEastAsia"/>
          <w:szCs w:val="21"/>
          <w:highlight w:val="none"/>
          <w:lang w:eastAsia="zh-CN"/>
        </w:rPr>
        <w:t>的</w:t>
      </w:r>
      <w:r>
        <w:rPr>
          <w:rFonts w:hint="eastAsia" w:asciiTheme="minorEastAsia" w:hAnsiTheme="minorEastAsia" w:eastAsiaTheme="minorEastAsia"/>
          <w:szCs w:val="21"/>
          <w:highlight w:val="none"/>
          <w:lang w:val="en-US" w:eastAsia="zh-CN"/>
        </w:rPr>
        <w:t>信息安全责任</w:t>
      </w:r>
      <w:r>
        <w:rPr>
          <w:rFonts w:hint="eastAsia" w:asciiTheme="minorEastAsia" w:hAnsiTheme="minorEastAsia" w:eastAsiaTheme="minorEastAsia"/>
          <w:szCs w:val="21"/>
          <w:highlight w:val="none"/>
        </w:rPr>
        <w:t>人如下：</w:t>
      </w:r>
    </w:p>
    <w:p w14:paraId="6213DD81">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姓名：</w:t>
      </w:r>
      <w:r>
        <w:rPr>
          <w:rFonts w:hint="eastAsia" w:asciiTheme="minorEastAsia" w:hAnsiTheme="minorEastAsia" w:eastAsiaTheme="minorEastAsia"/>
          <w:szCs w:val="21"/>
          <w:highlight w:val="none"/>
          <w:u w:val="single"/>
        </w:rPr>
        <w:t xml:space="preserve">            </w:t>
      </w:r>
      <w:r>
        <w:rPr>
          <w:rFonts w:hint="eastAsia" w:asciiTheme="minorEastAsia" w:hAnsiTheme="minorEastAsia" w:eastAsiaTheme="minorEastAsia"/>
          <w:szCs w:val="21"/>
          <w:highlight w:val="none"/>
        </w:rPr>
        <w:t>、职务：</w:t>
      </w:r>
      <w:r>
        <w:rPr>
          <w:rFonts w:hint="eastAsia" w:asciiTheme="minorEastAsia" w:hAnsiTheme="minorEastAsia" w:eastAsiaTheme="minorEastAsia"/>
          <w:szCs w:val="21"/>
          <w:highlight w:val="none"/>
          <w:u w:val="single"/>
        </w:rPr>
        <w:t xml:space="preserve">                </w:t>
      </w:r>
      <w:r>
        <w:rPr>
          <w:rFonts w:hint="eastAsia" w:asciiTheme="minorEastAsia" w:hAnsiTheme="minorEastAsia" w:eastAsiaTheme="minorEastAsia"/>
          <w:szCs w:val="21"/>
          <w:highlight w:val="none"/>
        </w:rPr>
        <w:t>、联系方式：</w:t>
      </w:r>
      <w:r>
        <w:rPr>
          <w:rFonts w:hint="eastAsia" w:asciiTheme="minorEastAsia" w:hAnsiTheme="minorEastAsia" w:eastAsiaTheme="minorEastAsia"/>
          <w:szCs w:val="21"/>
          <w:highlight w:val="none"/>
          <w:u w:val="single"/>
        </w:rPr>
        <w:t xml:space="preserve">                   </w:t>
      </w:r>
    </w:p>
    <w:p w14:paraId="13A9CF1C">
      <w:pPr>
        <w:topLinePunct/>
        <w:snapToGrid w:val="0"/>
        <w:spacing w:line="400" w:lineRule="exact"/>
        <w:ind w:firstLine="420" w:firstLineChars="200"/>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二十</w:t>
      </w:r>
      <w:r>
        <w:rPr>
          <w:rFonts w:hint="eastAsia" w:asciiTheme="minorEastAsia" w:hAnsiTheme="minorEastAsia" w:eastAsiaTheme="minorEastAsia"/>
          <w:szCs w:val="21"/>
          <w:highlight w:val="none"/>
          <w:lang w:val="en-US" w:eastAsia="zh-CN"/>
        </w:rPr>
        <w:t>五</w:t>
      </w:r>
      <w:r>
        <w:rPr>
          <w:rFonts w:hint="eastAsia" w:asciiTheme="minorEastAsia" w:hAnsiTheme="minorEastAsia" w:eastAsiaTheme="minorEastAsia"/>
          <w:szCs w:val="21"/>
          <w:highlight w:val="none"/>
        </w:rPr>
        <w:t>、本单位承诺要求并监督参与向贵公司提供产品或服务的本单位人员（“本单位人员”）履行本《网络及信息安全承诺书》项下的义务和责任，并对本单位人员的行为承担责任。</w:t>
      </w:r>
    </w:p>
    <w:p w14:paraId="0EED2A17">
      <w:pPr>
        <w:snapToGrid w:val="0"/>
        <w:spacing w:line="440" w:lineRule="exact"/>
        <w:rPr>
          <w:rFonts w:hint="eastAsia"/>
          <w:highlight w:val="none"/>
        </w:rPr>
      </w:pPr>
      <w:r>
        <w:rPr>
          <w:rFonts w:hint="eastAsia" w:asciiTheme="minorEastAsia" w:hAnsiTheme="minorEastAsia" w:eastAsiaTheme="minorEastAsia"/>
          <w:szCs w:val="21"/>
          <w:highlight w:val="none"/>
        </w:rPr>
        <w:t>二十</w:t>
      </w:r>
      <w:r>
        <w:rPr>
          <w:rFonts w:hint="eastAsia" w:asciiTheme="minorEastAsia" w:hAnsiTheme="minorEastAsia" w:eastAsiaTheme="minorEastAsia"/>
          <w:szCs w:val="21"/>
          <w:highlight w:val="none"/>
          <w:lang w:val="en-US" w:eastAsia="zh-CN"/>
        </w:rPr>
        <w:t>六</w:t>
      </w:r>
      <w:r>
        <w:rPr>
          <w:rFonts w:hint="eastAsia" w:asciiTheme="minorEastAsia" w:hAnsiTheme="minorEastAsia" w:eastAsiaTheme="minorEastAsia"/>
          <w:szCs w:val="21"/>
          <w:highlight w:val="none"/>
        </w:rPr>
        <w:t>、本承诺书经本单位签署后</w:t>
      </w:r>
      <w:r>
        <w:rPr>
          <w:rFonts w:hint="eastAsia" w:asciiTheme="minorEastAsia" w:hAnsiTheme="minorEastAsia" w:eastAsiaTheme="minorEastAsia"/>
          <w:szCs w:val="21"/>
          <w:highlight w:val="none"/>
          <w:lang w:eastAsia="zh-CN"/>
        </w:rPr>
        <w:t>，</w:t>
      </w:r>
      <w:r>
        <w:rPr>
          <w:rFonts w:hint="eastAsia" w:asciiTheme="minorEastAsia" w:hAnsiTheme="minorEastAsia" w:eastAsiaTheme="minorEastAsia"/>
          <w:szCs w:val="21"/>
          <w:highlight w:val="none"/>
          <w:lang w:val="en-US" w:eastAsia="zh-CN"/>
        </w:rPr>
        <w:t>与合同同时</w:t>
      </w:r>
      <w:r>
        <w:rPr>
          <w:rFonts w:hint="eastAsia" w:asciiTheme="minorEastAsia" w:hAnsiTheme="minorEastAsia" w:eastAsiaTheme="minorEastAsia"/>
          <w:szCs w:val="21"/>
          <w:highlight w:val="none"/>
        </w:rPr>
        <w:t>生效。</w:t>
      </w:r>
    </w:p>
    <w:p w14:paraId="1F6A1BA0">
      <w:pPr>
        <w:spacing w:line="440" w:lineRule="exact"/>
        <w:ind w:firstLine="424" w:firstLineChars="202"/>
        <w:rPr>
          <w:rFonts w:asciiTheme="minorEastAsia" w:hAnsiTheme="minorEastAsia" w:eastAsiaTheme="minorEastAsia"/>
          <w:szCs w:val="21"/>
          <w:highlight w:val="none"/>
          <w:u w:val="single"/>
        </w:rPr>
      </w:pPr>
      <w:r>
        <w:rPr>
          <w:rFonts w:hint="eastAsia" w:asciiTheme="minorEastAsia" w:hAnsiTheme="minorEastAsia" w:eastAsiaTheme="minorEastAsia"/>
          <w:szCs w:val="21"/>
          <w:highlight w:val="none"/>
        </w:rPr>
        <w:t>承诺单位：</w:t>
      </w:r>
      <w:r>
        <w:rPr>
          <w:rFonts w:hint="eastAsia" w:asciiTheme="minorEastAsia" w:hAnsiTheme="minorEastAsia" w:eastAsiaTheme="minorEastAsia"/>
          <w:szCs w:val="21"/>
          <w:highlight w:val="none"/>
          <w:u w:val="single"/>
        </w:rPr>
        <w:t xml:space="preserve">　　　　　　　　                       </w:t>
      </w:r>
    </w:p>
    <w:p w14:paraId="28DE5CBC">
      <w:pPr>
        <w:spacing w:line="440" w:lineRule="exact"/>
        <w:ind w:firstLine="424" w:firstLineChars="202"/>
        <w:jc w:val="left"/>
        <w:rPr>
          <w:rFonts w:asciiTheme="minorEastAsia" w:hAnsiTheme="minorEastAsia" w:eastAsiaTheme="minorEastAsia"/>
          <w:szCs w:val="21"/>
          <w:highlight w:val="none"/>
        </w:rPr>
      </w:pPr>
      <w:r>
        <w:rPr>
          <w:rFonts w:hint="eastAsia" w:cs="宋体" w:asciiTheme="minorEastAsia" w:hAnsiTheme="minorEastAsia" w:eastAsiaTheme="minorEastAsia"/>
          <w:highlight w:val="none"/>
        </w:rPr>
        <w:t>日期：</w:t>
      </w:r>
      <w:r>
        <w:rPr>
          <w:rFonts w:cs="宋体" w:asciiTheme="minorEastAsia" w:hAnsiTheme="minorEastAsia" w:eastAsiaTheme="minorEastAsia"/>
          <w:highlight w:val="none"/>
          <w:u w:val="single"/>
        </w:rPr>
        <w:t xml:space="preserve">_    </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__ </w:t>
      </w:r>
      <w:r>
        <w:rPr>
          <w:rFonts w:hint="eastAsia" w:cs="宋体" w:asciiTheme="minorEastAsia" w:hAnsiTheme="minorEastAsia" w:eastAsiaTheme="minorEastAsia"/>
          <w:highlight w:val="none"/>
        </w:rPr>
        <w:t>年</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 xml:space="preserve">    __</w:t>
      </w:r>
      <w:r>
        <w:rPr>
          <w:rFonts w:hint="eastAsia" w:cs="宋体" w:asciiTheme="minorEastAsia" w:hAnsiTheme="minorEastAsia" w:eastAsiaTheme="minorEastAsia"/>
          <w:highlight w:val="none"/>
        </w:rPr>
        <w:t>月</w:t>
      </w:r>
      <w:r>
        <w:rPr>
          <w:rFonts w:cs="宋体" w:asciiTheme="minorEastAsia" w:hAnsiTheme="minorEastAsia" w:eastAsiaTheme="minorEastAsia"/>
          <w:highlight w:val="none"/>
          <w:u w:val="single"/>
        </w:rPr>
        <w:t>_    _</w:t>
      </w:r>
      <w:r>
        <w:rPr>
          <w:rFonts w:hint="eastAsia" w:cs="宋体" w:asciiTheme="minorEastAsia" w:hAnsiTheme="minorEastAsia" w:eastAsiaTheme="minorEastAsia"/>
          <w:highlight w:val="none"/>
          <w:u w:val="single"/>
        </w:rPr>
        <w:t xml:space="preserve"> </w:t>
      </w:r>
      <w:r>
        <w:rPr>
          <w:rFonts w:cs="宋体" w:asciiTheme="minorEastAsia" w:hAnsiTheme="minorEastAsia" w:eastAsiaTheme="minorEastAsia"/>
          <w:highlight w:val="none"/>
          <w:u w:val="single"/>
        </w:rPr>
        <w:t>_</w:t>
      </w:r>
      <w:r>
        <w:rPr>
          <w:rFonts w:hint="eastAsia" w:cs="宋体" w:asciiTheme="minorEastAsia" w:hAnsiTheme="minorEastAsia" w:eastAsiaTheme="minorEastAsia"/>
          <w:highlight w:val="none"/>
        </w:rPr>
        <w:t>日</w:t>
      </w:r>
    </w:p>
    <w:p w14:paraId="6A92F064">
      <w:pPr>
        <w:snapToGrid w:val="0"/>
        <w:spacing w:line="440" w:lineRule="exact"/>
        <w:rPr>
          <w:rFonts w:asciiTheme="minorEastAsia" w:hAnsiTheme="minorEastAsia" w:eastAsiaTheme="minorEastAsia"/>
          <w:b/>
          <w:szCs w:val="21"/>
          <w:highlight w:val="none"/>
        </w:rPr>
      </w:pPr>
      <w:r>
        <w:rPr>
          <w:rFonts w:hint="eastAsia" w:asciiTheme="minorEastAsia" w:hAnsiTheme="minorEastAsia" w:eastAsiaTheme="minorEastAsia"/>
          <w:b/>
          <w:szCs w:val="21"/>
          <w:highlight w:val="none"/>
        </w:rPr>
        <w:t>编制要求：</w:t>
      </w:r>
    </w:p>
    <w:p w14:paraId="10245147">
      <w:pPr>
        <w:snapToGrid w:val="0"/>
        <w:spacing w:line="440" w:lineRule="exact"/>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1.代理商投标的，制造商和代理商须各自提供一份本承诺函。</w:t>
      </w:r>
    </w:p>
    <w:p w14:paraId="33B6BE4F">
      <w:pPr>
        <w:snapToGrid w:val="0"/>
        <w:spacing w:line="440" w:lineRule="exact"/>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112DD4E2">
      <w:pPr>
        <w:snapToGrid w:val="0"/>
        <w:spacing w:line="440" w:lineRule="exact"/>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3.</w:t>
      </w:r>
      <w:r>
        <w:rPr>
          <w:rFonts w:hint="eastAsia"/>
          <w:highlight w:val="none"/>
        </w:rPr>
        <w:t>除本文件允许投标人进行填写的内容以外，投标人不得对本文件进行修改</w:t>
      </w:r>
      <w:r>
        <w:rPr>
          <w:rFonts w:hint="eastAsia" w:asciiTheme="minorEastAsia" w:hAnsiTheme="minorEastAsia" w:eastAsiaTheme="minorEastAsia"/>
          <w:highlight w:val="none"/>
        </w:rPr>
        <w:t>。</w:t>
      </w:r>
    </w:p>
    <w:p w14:paraId="2E3F46F2">
      <w:pPr>
        <w:widowControl/>
        <w:jc w:val="left"/>
        <w:rPr>
          <w:rFonts w:asciiTheme="minorEastAsia" w:hAnsiTheme="minorEastAsia" w:eastAsiaTheme="minorEastAsia"/>
          <w:szCs w:val="21"/>
          <w:highlight w:val="none"/>
        </w:rPr>
      </w:pPr>
      <w:r>
        <w:rPr>
          <w:rFonts w:asciiTheme="minorEastAsia" w:hAnsiTheme="minorEastAsia" w:eastAsiaTheme="minorEastAsia"/>
          <w:szCs w:val="21"/>
          <w:highlight w:val="none"/>
        </w:rPr>
        <w:br w:type="page"/>
      </w:r>
    </w:p>
    <w:p w14:paraId="75F2FAAF">
      <w:pPr>
        <w:pStyle w:val="40"/>
        <w:numPr>
          <w:ilvl w:val="0"/>
          <w:numId w:val="57"/>
        </w:numPr>
        <w:tabs>
          <w:tab w:val="left" w:pos="588"/>
        </w:tabs>
        <w:snapToGrid w:val="0"/>
        <w:spacing w:before="120" w:after="120" w:line="440" w:lineRule="exact"/>
        <w:jc w:val="left"/>
        <w:rPr>
          <w:rFonts w:hint="eastAsia" w:ascii="宋体" w:hAnsi="宋体" w:eastAsia="宋体"/>
          <w:sz w:val="24"/>
          <w:szCs w:val="24"/>
          <w:highlight w:val="none"/>
        </w:rPr>
      </w:pPr>
      <w:bookmarkStart w:id="1148" w:name="_Toc139026979"/>
      <w:bookmarkStart w:id="1149" w:name="_Toc15294"/>
      <w:r>
        <w:rPr>
          <w:rFonts w:hint="eastAsia" w:ascii="宋体" w:hAnsi="宋体" w:eastAsia="宋体"/>
          <w:sz w:val="24"/>
          <w:szCs w:val="24"/>
          <w:highlight w:val="none"/>
        </w:rPr>
        <w:t>开源软件、第三方软件清单及合法获取开源软件、第三方软件使用权的证明</w:t>
      </w:r>
      <w:bookmarkEnd w:id="1148"/>
      <w:bookmarkEnd w:id="1149"/>
    </w:p>
    <w:p w14:paraId="48D80F14">
      <w:pPr>
        <w:pStyle w:val="56"/>
        <w:ind w:firstLine="0" w:firstLineChars="0"/>
        <w:jc w:val="left"/>
        <w:rPr>
          <w:rFonts w:asciiTheme="minorEastAsia" w:hAnsiTheme="minorEastAsia" w:eastAsiaTheme="minorEastAsia"/>
        </w:rPr>
      </w:pPr>
      <w:r>
        <w:rPr>
          <w:rFonts w:hint="eastAsia" w:asciiTheme="minorEastAsia" w:hAnsiTheme="minorEastAsia" w:eastAsiaTheme="minorEastAsia"/>
          <w:b/>
        </w:rPr>
        <w:t>[与《供应商网络信息安全承诺书》同步使用，软件类采购应当使用，使用本文件的应作为采购合同的附件]</w:t>
      </w:r>
    </w:p>
    <w:p w14:paraId="29219BC1"/>
    <w:p w14:paraId="70116728">
      <w:pPr>
        <w:pStyle w:val="56"/>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开源软件、第三方软件清单及合规使用权证明</w:t>
      </w:r>
    </w:p>
    <w:p w14:paraId="468C043A">
      <w:pPr>
        <w:pStyle w:val="56"/>
        <w:ind w:firstLine="0" w:firstLineChars="0"/>
        <w:jc w:val="center"/>
        <w:rPr>
          <w:rFonts w:asciiTheme="minorEastAsia" w:hAnsiTheme="minorEastAsia" w:eastAsiaTheme="minorEastAsia"/>
          <w:b/>
          <w:sz w:val="24"/>
        </w:rPr>
      </w:pPr>
    </w:p>
    <w:tbl>
      <w:tblPr>
        <w:tblStyle w:val="43"/>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1559"/>
        <w:gridCol w:w="2410"/>
        <w:gridCol w:w="1916"/>
        <w:gridCol w:w="1536"/>
      </w:tblGrid>
      <w:tr w14:paraId="0458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dxa"/>
            <w:vAlign w:val="center"/>
          </w:tcPr>
          <w:p w14:paraId="4327184C">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序号</w:t>
            </w:r>
          </w:p>
        </w:tc>
        <w:tc>
          <w:tcPr>
            <w:tcW w:w="1559" w:type="dxa"/>
            <w:vAlign w:val="center"/>
          </w:tcPr>
          <w:p w14:paraId="0CB8D6A6">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软件名称</w:t>
            </w:r>
          </w:p>
        </w:tc>
        <w:tc>
          <w:tcPr>
            <w:tcW w:w="2410" w:type="dxa"/>
            <w:vAlign w:val="center"/>
          </w:tcPr>
          <w:p w14:paraId="05E28F1E">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软件类型</w:t>
            </w:r>
          </w:p>
        </w:tc>
        <w:tc>
          <w:tcPr>
            <w:tcW w:w="1916" w:type="dxa"/>
          </w:tcPr>
          <w:p w14:paraId="29343198">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合法获取开源软件、第三方软件使用权的证明材料</w:t>
            </w:r>
          </w:p>
        </w:tc>
        <w:tc>
          <w:tcPr>
            <w:tcW w:w="1536" w:type="dxa"/>
            <w:vAlign w:val="center"/>
          </w:tcPr>
          <w:p w14:paraId="722202DC">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证明材料所在页码</w:t>
            </w:r>
          </w:p>
        </w:tc>
      </w:tr>
      <w:tr w14:paraId="6982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02138238">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559" w:type="dxa"/>
          </w:tcPr>
          <w:p w14:paraId="4A6850F8">
            <w:pPr>
              <w:snapToGrid w:val="0"/>
              <w:jc w:val="center"/>
              <w:rPr>
                <w:rFonts w:cs="宋体" w:asciiTheme="minorEastAsia" w:hAnsiTheme="minorEastAsia" w:eastAsiaTheme="minorEastAsia"/>
                <w:szCs w:val="21"/>
              </w:rPr>
            </w:pPr>
          </w:p>
        </w:tc>
        <w:tc>
          <w:tcPr>
            <w:tcW w:w="2410" w:type="dxa"/>
            <w:vAlign w:val="center"/>
          </w:tcPr>
          <w:p w14:paraId="65806455">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开源软件或第三方软件</w:t>
            </w:r>
          </w:p>
        </w:tc>
        <w:tc>
          <w:tcPr>
            <w:tcW w:w="1916" w:type="dxa"/>
            <w:vAlign w:val="center"/>
          </w:tcPr>
          <w:p w14:paraId="669A241A">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开源许可协议及其说明；或第三方软件许可文件</w:t>
            </w:r>
          </w:p>
        </w:tc>
        <w:tc>
          <w:tcPr>
            <w:tcW w:w="1536" w:type="dxa"/>
          </w:tcPr>
          <w:p w14:paraId="2FDE14FC">
            <w:pPr>
              <w:snapToGrid w:val="0"/>
              <w:jc w:val="center"/>
              <w:rPr>
                <w:rFonts w:cs="宋体" w:asciiTheme="minorEastAsia" w:hAnsiTheme="minorEastAsia" w:eastAsiaTheme="minorEastAsia"/>
                <w:szCs w:val="21"/>
              </w:rPr>
            </w:pPr>
          </w:p>
        </w:tc>
      </w:tr>
      <w:tr w14:paraId="07E2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103F9FC7">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w:t>
            </w:r>
          </w:p>
        </w:tc>
        <w:tc>
          <w:tcPr>
            <w:tcW w:w="1559" w:type="dxa"/>
          </w:tcPr>
          <w:p w14:paraId="6B6DE8F9">
            <w:pPr>
              <w:snapToGrid w:val="0"/>
              <w:jc w:val="center"/>
              <w:rPr>
                <w:rFonts w:cs="宋体" w:asciiTheme="minorEastAsia" w:hAnsiTheme="minorEastAsia" w:eastAsiaTheme="minorEastAsia"/>
                <w:szCs w:val="21"/>
              </w:rPr>
            </w:pPr>
          </w:p>
        </w:tc>
        <w:tc>
          <w:tcPr>
            <w:tcW w:w="2410" w:type="dxa"/>
          </w:tcPr>
          <w:p w14:paraId="6951740F">
            <w:pPr>
              <w:snapToGrid w:val="0"/>
              <w:jc w:val="center"/>
              <w:rPr>
                <w:rFonts w:cs="宋体" w:asciiTheme="minorEastAsia" w:hAnsiTheme="minorEastAsia" w:eastAsiaTheme="minorEastAsia"/>
                <w:szCs w:val="21"/>
              </w:rPr>
            </w:pPr>
          </w:p>
        </w:tc>
        <w:tc>
          <w:tcPr>
            <w:tcW w:w="1916" w:type="dxa"/>
          </w:tcPr>
          <w:p w14:paraId="7B15C0BB">
            <w:pPr>
              <w:snapToGrid w:val="0"/>
              <w:jc w:val="center"/>
              <w:rPr>
                <w:rFonts w:cs="宋体" w:asciiTheme="minorEastAsia" w:hAnsiTheme="minorEastAsia" w:eastAsiaTheme="minorEastAsia"/>
                <w:szCs w:val="21"/>
              </w:rPr>
            </w:pPr>
          </w:p>
        </w:tc>
        <w:tc>
          <w:tcPr>
            <w:tcW w:w="1536" w:type="dxa"/>
          </w:tcPr>
          <w:p w14:paraId="436E12CB">
            <w:pPr>
              <w:snapToGrid w:val="0"/>
              <w:jc w:val="center"/>
              <w:rPr>
                <w:rFonts w:cs="宋体" w:asciiTheme="minorEastAsia" w:hAnsiTheme="minorEastAsia" w:eastAsiaTheme="minorEastAsia"/>
                <w:szCs w:val="21"/>
              </w:rPr>
            </w:pPr>
          </w:p>
        </w:tc>
      </w:tr>
      <w:tr w14:paraId="3D50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3ADC0CA5">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1559" w:type="dxa"/>
          </w:tcPr>
          <w:p w14:paraId="2C36AAF9">
            <w:pPr>
              <w:snapToGrid w:val="0"/>
              <w:jc w:val="center"/>
              <w:rPr>
                <w:rFonts w:cs="宋体" w:asciiTheme="minorEastAsia" w:hAnsiTheme="minorEastAsia" w:eastAsiaTheme="minorEastAsia"/>
                <w:szCs w:val="21"/>
              </w:rPr>
            </w:pPr>
          </w:p>
        </w:tc>
        <w:tc>
          <w:tcPr>
            <w:tcW w:w="2410" w:type="dxa"/>
          </w:tcPr>
          <w:p w14:paraId="02A1D4C8">
            <w:pPr>
              <w:snapToGrid w:val="0"/>
              <w:jc w:val="center"/>
              <w:rPr>
                <w:rFonts w:cs="宋体" w:asciiTheme="minorEastAsia" w:hAnsiTheme="minorEastAsia" w:eastAsiaTheme="minorEastAsia"/>
                <w:szCs w:val="21"/>
              </w:rPr>
            </w:pPr>
          </w:p>
        </w:tc>
        <w:tc>
          <w:tcPr>
            <w:tcW w:w="1916" w:type="dxa"/>
          </w:tcPr>
          <w:p w14:paraId="2A164945">
            <w:pPr>
              <w:snapToGrid w:val="0"/>
              <w:jc w:val="center"/>
              <w:rPr>
                <w:rFonts w:cs="宋体" w:asciiTheme="minorEastAsia" w:hAnsiTheme="minorEastAsia" w:eastAsiaTheme="minorEastAsia"/>
                <w:szCs w:val="21"/>
              </w:rPr>
            </w:pPr>
          </w:p>
        </w:tc>
        <w:tc>
          <w:tcPr>
            <w:tcW w:w="1536" w:type="dxa"/>
          </w:tcPr>
          <w:p w14:paraId="12880F1F">
            <w:pPr>
              <w:snapToGrid w:val="0"/>
              <w:jc w:val="center"/>
              <w:rPr>
                <w:rFonts w:cs="宋体" w:asciiTheme="minorEastAsia" w:hAnsiTheme="minorEastAsia" w:eastAsiaTheme="minorEastAsia"/>
                <w:szCs w:val="21"/>
              </w:rPr>
            </w:pPr>
          </w:p>
        </w:tc>
      </w:tr>
      <w:tr w14:paraId="0405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0C817994">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1559" w:type="dxa"/>
          </w:tcPr>
          <w:p w14:paraId="6143BE2C">
            <w:pPr>
              <w:snapToGrid w:val="0"/>
              <w:jc w:val="center"/>
              <w:rPr>
                <w:rFonts w:cs="宋体" w:asciiTheme="minorEastAsia" w:hAnsiTheme="minorEastAsia" w:eastAsiaTheme="minorEastAsia"/>
                <w:szCs w:val="21"/>
              </w:rPr>
            </w:pPr>
          </w:p>
        </w:tc>
        <w:tc>
          <w:tcPr>
            <w:tcW w:w="2410" w:type="dxa"/>
          </w:tcPr>
          <w:p w14:paraId="3F7FB397">
            <w:pPr>
              <w:snapToGrid w:val="0"/>
              <w:jc w:val="center"/>
              <w:rPr>
                <w:rFonts w:cs="宋体" w:asciiTheme="minorEastAsia" w:hAnsiTheme="minorEastAsia" w:eastAsiaTheme="minorEastAsia"/>
                <w:szCs w:val="21"/>
              </w:rPr>
            </w:pPr>
          </w:p>
        </w:tc>
        <w:tc>
          <w:tcPr>
            <w:tcW w:w="1916" w:type="dxa"/>
          </w:tcPr>
          <w:p w14:paraId="398941A0">
            <w:pPr>
              <w:snapToGrid w:val="0"/>
              <w:jc w:val="center"/>
              <w:rPr>
                <w:rFonts w:cs="宋体" w:asciiTheme="minorEastAsia" w:hAnsiTheme="minorEastAsia" w:eastAsiaTheme="minorEastAsia"/>
                <w:szCs w:val="21"/>
              </w:rPr>
            </w:pPr>
          </w:p>
        </w:tc>
        <w:tc>
          <w:tcPr>
            <w:tcW w:w="1536" w:type="dxa"/>
          </w:tcPr>
          <w:p w14:paraId="27FD399F">
            <w:pPr>
              <w:snapToGrid w:val="0"/>
              <w:jc w:val="center"/>
              <w:rPr>
                <w:rFonts w:cs="宋体" w:asciiTheme="minorEastAsia" w:hAnsiTheme="minorEastAsia" w:eastAsiaTheme="minorEastAsia"/>
                <w:szCs w:val="21"/>
              </w:rPr>
            </w:pPr>
          </w:p>
        </w:tc>
      </w:tr>
    </w:tbl>
    <w:p w14:paraId="5D12B36B"/>
    <w:p w14:paraId="430D527A">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71515E5A">
      <w:pPr>
        <w:spacing w:line="440" w:lineRule="exact"/>
        <w:ind w:firstLine="424" w:firstLineChars="202"/>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23CFB817"/>
    <w:p w14:paraId="679922E2">
      <w:pPr>
        <w:topLinePunct/>
        <w:spacing w:line="440" w:lineRule="exact"/>
        <w:ind w:left="424" w:hanging="424" w:hangingChars="201"/>
        <w:jc w:val="left"/>
        <w:rPr>
          <w:rFonts w:asciiTheme="minorEastAsia" w:hAnsiTheme="minorEastAsia" w:eastAsiaTheme="minorEastAsia"/>
          <w:b/>
        </w:rPr>
      </w:pPr>
      <w:r>
        <w:rPr>
          <w:rFonts w:hint="eastAsia" w:asciiTheme="minorEastAsia" w:hAnsiTheme="minorEastAsia" w:eastAsiaTheme="minorEastAsia"/>
          <w:b/>
        </w:rPr>
        <w:t>编制要求：</w:t>
      </w:r>
    </w:p>
    <w:p w14:paraId="23C49ED1">
      <w:pPr>
        <w:numPr>
          <w:ilvl w:val="0"/>
          <w:numId w:val="65"/>
        </w:numPr>
        <w:topLinePunct/>
        <w:spacing w:line="440" w:lineRule="exact"/>
        <w:ind w:left="0" w:firstLine="0"/>
        <w:jc w:val="left"/>
        <w:rPr>
          <w:rFonts w:asciiTheme="minorEastAsia" w:hAnsiTheme="minorEastAsia" w:eastAsiaTheme="minorEastAsia"/>
        </w:rPr>
      </w:pPr>
      <w:r>
        <w:rPr>
          <w:rFonts w:hint="eastAsia" w:asciiTheme="minorEastAsia" w:hAnsiTheme="minorEastAsia" w:eastAsiaTheme="minorEastAsia"/>
        </w:rPr>
        <w:t>应提供合法获取开源软件、第三方软件（含开发环境和开发平台）使用权的证明，证明文件顺序应与清单一一对应。</w:t>
      </w:r>
    </w:p>
    <w:p w14:paraId="6FFB3111">
      <w:pPr>
        <w:numPr>
          <w:ilvl w:val="0"/>
          <w:numId w:val="65"/>
        </w:numPr>
        <w:topLinePunct/>
        <w:spacing w:line="440" w:lineRule="exact"/>
        <w:jc w:val="left"/>
        <w:rPr>
          <w:rFonts w:asciiTheme="minorEastAsia" w:hAnsiTheme="minorEastAsia" w:eastAsiaTheme="minorEastAsia"/>
        </w:rPr>
      </w:pPr>
      <w:r>
        <w:rPr>
          <w:rFonts w:hint="eastAsia"/>
        </w:rPr>
        <w:t>投标人可以根据实际情况对本文件进行调整和修改，但应满足招标文件对本文件的要求。</w:t>
      </w:r>
    </w:p>
    <w:p w14:paraId="00761628"/>
    <w:p w14:paraId="30D15A58">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14:paraId="1A21B7E2">
      <w:pPr>
        <w:pStyle w:val="40"/>
        <w:numPr>
          <w:ilvl w:val="0"/>
          <w:numId w:val="57"/>
        </w:numPr>
        <w:tabs>
          <w:tab w:val="left" w:pos="588"/>
        </w:tabs>
        <w:snapToGrid w:val="0"/>
        <w:spacing w:before="120" w:after="120" w:line="440" w:lineRule="exact"/>
        <w:jc w:val="left"/>
        <w:rPr>
          <w:rFonts w:hint="eastAsia" w:ascii="宋体" w:hAnsi="宋体"/>
          <w:sz w:val="24"/>
          <w:szCs w:val="24"/>
          <w:highlight w:val="none"/>
        </w:rPr>
      </w:pPr>
      <w:bookmarkStart w:id="1150" w:name="_Toc2631"/>
      <w:r>
        <w:rPr>
          <w:rFonts w:hint="eastAsia" w:ascii="宋体" w:hAnsi="宋体"/>
          <w:sz w:val="24"/>
          <w:szCs w:val="24"/>
          <w:highlight w:val="none"/>
        </w:rPr>
        <w:t>投标</w:t>
      </w:r>
      <w:r>
        <w:rPr>
          <w:rFonts w:hint="eastAsia" w:ascii="宋体" w:hAnsi="宋体"/>
          <w:sz w:val="24"/>
          <w:szCs w:val="24"/>
          <w:highlight w:val="none"/>
          <w:lang w:val="en-US" w:eastAsia="zh-CN"/>
        </w:rPr>
        <w:t>保证金或</w:t>
      </w:r>
      <w:r>
        <w:rPr>
          <w:rFonts w:hint="eastAsia" w:ascii="宋体" w:hAnsi="宋体"/>
          <w:sz w:val="24"/>
          <w:szCs w:val="24"/>
          <w:highlight w:val="none"/>
        </w:rPr>
        <w:t>保函</w:t>
      </w:r>
      <w:bookmarkEnd w:id="1145"/>
      <w:bookmarkEnd w:id="1150"/>
    </w:p>
    <w:p w14:paraId="72E07E83">
      <w:pPr>
        <w:ind w:firstLine="562"/>
        <w:jc w:val="center"/>
        <w:rPr>
          <w:rFonts w:asciiTheme="minorEastAsia" w:hAnsiTheme="minorEastAsia" w:eastAsiaTheme="minorEastAsia"/>
          <w:b/>
          <w:sz w:val="24"/>
          <w:szCs w:val="30"/>
          <w:highlight w:val="none"/>
        </w:rPr>
      </w:pPr>
      <w:bookmarkStart w:id="1151" w:name="_Toc297638737"/>
      <w:r>
        <w:rPr>
          <w:rFonts w:hint="eastAsia" w:asciiTheme="minorEastAsia" w:hAnsiTheme="minorEastAsia" w:eastAsiaTheme="minorEastAsia"/>
          <w:b/>
          <w:sz w:val="24"/>
          <w:szCs w:val="30"/>
          <w:highlight w:val="none"/>
        </w:rPr>
        <w:t>投标保函</w:t>
      </w:r>
      <w:bookmarkEnd w:id="1151"/>
    </w:p>
    <w:p w14:paraId="0B52654D">
      <w:pPr>
        <w:ind w:firstLine="560"/>
        <w:jc w:val="center"/>
        <w:rPr>
          <w:rFonts w:asciiTheme="minorEastAsia" w:hAnsiTheme="minorEastAsia" w:eastAsiaTheme="minorEastAsia"/>
          <w:szCs w:val="21"/>
          <w:highlight w:val="none"/>
        </w:rPr>
      </w:pPr>
    </w:p>
    <w:p w14:paraId="18F22B48">
      <w:pPr>
        <w:snapToGrid w:val="0"/>
        <w:spacing w:line="360" w:lineRule="auto"/>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致：</w:t>
      </w:r>
      <w:r>
        <w:rPr>
          <w:rFonts w:hint="eastAsia" w:asciiTheme="minorEastAsia" w:hAnsiTheme="minorEastAsia" w:eastAsiaTheme="minorEastAsia"/>
          <w:szCs w:val="21"/>
          <w:highlight w:val="none"/>
          <w:u w:val="single"/>
        </w:rPr>
        <w:t xml:space="preserve">          （受益人）</w:t>
      </w:r>
    </w:p>
    <w:p w14:paraId="35B37AF3">
      <w:pPr>
        <w:snapToGrid w:val="0"/>
        <w:spacing w:line="360" w:lineRule="auto"/>
        <w:ind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本保函作为</w:t>
      </w:r>
      <w:r>
        <w:rPr>
          <w:rFonts w:hint="eastAsia" w:asciiTheme="minorEastAsia" w:hAnsiTheme="minorEastAsia" w:eastAsiaTheme="minorEastAsia"/>
          <w:szCs w:val="21"/>
          <w:highlight w:val="none"/>
          <w:u w:val="single"/>
        </w:rPr>
        <w:t xml:space="preserve">     （投标人名称）</w:t>
      </w:r>
      <w:r>
        <w:rPr>
          <w:rFonts w:hint="eastAsia" w:asciiTheme="minorEastAsia" w:hAnsiTheme="minorEastAsia" w:eastAsiaTheme="minorEastAsia"/>
          <w:szCs w:val="21"/>
          <w:highlight w:val="none"/>
        </w:rPr>
        <w:t>（以下简称投标人）对</w:t>
      </w:r>
      <w:r>
        <w:rPr>
          <w:rFonts w:hint="eastAsia" w:asciiTheme="minorEastAsia" w:hAnsiTheme="minorEastAsia" w:eastAsiaTheme="minorEastAsia"/>
          <w:szCs w:val="21"/>
          <w:highlight w:val="none"/>
          <w:u w:val="single"/>
        </w:rPr>
        <w:t xml:space="preserve">        （招标人名称）（项目名称）</w:t>
      </w:r>
      <w:r>
        <w:rPr>
          <w:rFonts w:hint="eastAsia" w:asciiTheme="minorEastAsia" w:hAnsiTheme="minorEastAsia" w:eastAsiaTheme="minorEastAsia"/>
          <w:szCs w:val="21"/>
          <w:highlight w:val="none"/>
        </w:rPr>
        <w:t>的投标邀请而提供的投标保函。</w:t>
      </w:r>
    </w:p>
    <w:p w14:paraId="29D32B36">
      <w:pPr>
        <w:snapToGrid w:val="0"/>
        <w:spacing w:line="360" w:lineRule="auto"/>
        <w:ind w:firstLine="424" w:firstLineChars="202"/>
        <w:rPr>
          <w:rFonts w:asciiTheme="minorEastAsia" w:hAnsiTheme="minorEastAsia" w:eastAsiaTheme="minorEastAsia"/>
          <w:szCs w:val="21"/>
          <w:highlight w:val="none"/>
        </w:rPr>
      </w:pPr>
      <w:r>
        <w:rPr>
          <w:rFonts w:hint="eastAsia" w:cs="仿宋_GB2312" w:asciiTheme="minorEastAsia" w:hAnsiTheme="minorEastAsia" w:eastAsiaTheme="minorEastAsia"/>
          <w:iCs/>
          <w:szCs w:val="21"/>
          <w:highlight w:val="none"/>
          <w:u w:val="single"/>
        </w:rPr>
        <w:t xml:space="preserve">      （保函开立人）</w:t>
      </w:r>
      <w:r>
        <w:rPr>
          <w:rFonts w:hint="eastAsia" w:cs="仿宋_GB2312" w:asciiTheme="minorEastAsia" w:hAnsiTheme="minorEastAsia" w:eastAsiaTheme="minorEastAsia"/>
          <w:szCs w:val="21"/>
          <w:highlight w:val="none"/>
        </w:rPr>
        <w:t>无条件地、不可撤销地保证并约束本方、其继承人和受让人，一旦收到贵方提出的就下述任何一种事实的书面通知，立即无追索地向贵方支付金额为</w:t>
      </w:r>
      <w:r>
        <w:rPr>
          <w:rFonts w:hint="eastAsia" w:cs="仿宋_GB2312" w:asciiTheme="minorEastAsia" w:hAnsiTheme="minorEastAsia" w:eastAsiaTheme="minorEastAsia"/>
          <w:szCs w:val="21"/>
          <w:highlight w:val="none"/>
          <w:u w:val="single"/>
        </w:rPr>
        <w:t xml:space="preserve">   人民币</w:t>
      </w:r>
      <w:r>
        <w:rPr>
          <w:rFonts w:hint="eastAsia" w:cs="仿宋_GB2312" w:asciiTheme="minorEastAsia" w:hAnsiTheme="minorEastAsia" w:eastAsiaTheme="minorEastAsia"/>
          <w:iCs/>
          <w:szCs w:val="21"/>
          <w:highlight w:val="none"/>
          <w:u w:val="single"/>
        </w:rPr>
        <w:t>（按投标人须知要求规定的金额和币种）</w:t>
      </w:r>
      <w:r>
        <w:rPr>
          <w:rFonts w:hint="eastAsia" w:cs="仿宋_GB2312" w:asciiTheme="minorEastAsia" w:hAnsiTheme="minorEastAsia" w:eastAsiaTheme="minorEastAsia"/>
          <w:szCs w:val="21"/>
          <w:highlight w:val="none"/>
        </w:rPr>
        <w:t>保证金：</w:t>
      </w:r>
    </w:p>
    <w:p w14:paraId="3F331EF0">
      <w:pPr>
        <w:numPr>
          <w:ilvl w:val="0"/>
          <w:numId w:val="66"/>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投标人在招标文件规定的投标截止时间后投标有效期内撤销其投标；或</w:t>
      </w:r>
    </w:p>
    <w:p w14:paraId="09C2C2BA">
      <w:pPr>
        <w:numPr>
          <w:ilvl w:val="0"/>
          <w:numId w:val="66"/>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投标人在招标文件规定的投标截止时间后对投标文件作实质性修改；或</w:t>
      </w:r>
    </w:p>
    <w:p w14:paraId="533AD3AD">
      <w:pPr>
        <w:numPr>
          <w:ilvl w:val="0"/>
          <w:numId w:val="66"/>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投标人在收到中标通知书后，无正当理由不与招标人在规定期限内订立合同、在签订合同时向招标人提出附加条件或改变其投标文件的实质性内容，或者不按照招标文件要求递交履约保证金的；或</w:t>
      </w:r>
    </w:p>
    <w:p w14:paraId="44871473">
      <w:pPr>
        <w:numPr>
          <w:ilvl w:val="0"/>
          <w:numId w:val="66"/>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投标人有串通投标、弄虚作假等行为的；或</w:t>
      </w:r>
    </w:p>
    <w:p w14:paraId="7B404E74">
      <w:pPr>
        <w:numPr>
          <w:ilvl w:val="0"/>
          <w:numId w:val="66"/>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投标人有招标文件中有关投标保证金不予退还的其它情形的。</w:t>
      </w:r>
    </w:p>
    <w:p w14:paraId="6A11B281">
      <w:pPr>
        <w:snapToGrid w:val="0"/>
        <w:spacing w:line="360" w:lineRule="auto"/>
        <w:ind w:firstLine="424" w:firstLineChars="202"/>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本保函有效期应不短于投标有效期，从投标文件递交截止之日起计算，</w:t>
      </w:r>
      <w:r>
        <w:rPr>
          <w:rFonts w:hint="eastAsia" w:cs="仿宋_GB2312" w:asciiTheme="minorEastAsia" w:hAnsiTheme="minorEastAsia" w:eastAsiaTheme="minorEastAsia"/>
          <w:szCs w:val="21"/>
          <w:highlight w:val="none"/>
        </w:rPr>
        <w:t>并在贵方和投标人同意延长的有效期内保持有效，延长的有效期只需通知本方即可。贵方有权提前终止或解除本保函。</w:t>
      </w:r>
    </w:p>
    <w:p w14:paraId="79C08F67">
      <w:pPr>
        <w:snapToGrid w:val="0"/>
        <w:spacing w:line="360" w:lineRule="auto"/>
        <w:ind w:firstLine="424" w:firstLineChars="202"/>
        <w:rPr>
          <w:rFonts w:asciiTheme="minorEastAsia" w:hAnsiTheme="minorEastAsia" w:eastAsiaTheme="minorEastAsia"/>
          <w:szCs w:val="21"/>
          <w:highlight w:val="none"/>
        </w:rPr>
      </w:pPr>
    </w:p>
    <w:p w14:paraId="6CA35F6E">
      <w:pPr>
        <w:pStyle w:val="99"/>
        <w:snapToGrid w:val="0"/>
        <w:spacing w:line="440" w:lineRule="exact"/>
        <w:ind w:firstLine="411" w:firstLineChars="196"/>
        <w:rPr>
          <w:rFonts w:asciiTheme="minorEastAsia" w:hAnsiTheme="minorEastAsia" w:eastAsiaTheme="minorEastAsia"/>
          <w:kern w:val="0"/>
          <w:szCs w:val="21"/>
          <w:highlight w:val="none"/>
        </w:rPr>
      </w:pPr>
      <w:r>
        <w:rPr>
          <w:rFonts w:hint="eastAsia" w:asciiTheme="minorEastAsia" w:hAnsiTheme="minorEastAsia" w:eastAsiaTheme="minorEastAsia"/>
          <w:szCs w:val="21"/>
          <w:highlight w:val="none"/>
        </w:rPr>
        <w:t>保函开立人名称：</w:t>
      </w:r>
      <w:r>
        <w:rPr>
          <w:rFonts w:hint="eastAsia" w:asciiTheme="minorEastAsia" w:hAnsiTheme="minorEastAsia" w:eastAsiaTheme="minorEastAsia"/>
          <w:kern w:val="0"/>
          <w:szCs w:val="21"/>
          <w:highlight w:val="none"/>
          <w:u w:val="single"/>
        </w:rPr>
        <w:t>　　　　　　　　</w:t>
      </w:r>
      <w:r>
        <w:rPr>
          <w:rFonts w:hint="eastAsia" w:asciiTheme="minorEastAsia" w:hAnsiTheme="minorEastAsia" w:eastAsiaTheme="minorEastAsia"/>
          <w:kern w:val="0"/>
          <w:szCs w:val="21"/>
          <w:highlight w:val="none"/>
        </w:rPr>
        <w:t>（盖单位公章）</w:t>
      </w:r>
    </w:p>
    <w:p w14:paraId="0FE298E1">
      <w:pPr>
        <w:pStyle w:val="99"/>
        <w:snapToGrid w:val="0"/>
        <w:spacing w:line="440" w:lineRule="exact"/>
        <w:ind w:firstLine="411" w:firstLineChars="196"/>
        <w:rPr>
          <w:rFonts w:asciiTheme="minorEastAsia" w:hAnsiTheme="minorEastAsia" w:eastAsiaTheme="minorEastAsia"/>
          <w:kern w:val="0"/>
          <w:szCs w:val="21"/>
          <w:highlight w:val="none"/>
        </w:rPr>
      </w:pPr>
      <w:r>
        <w:rPr>
          <w:rFonts w:hint="eastAsia" w:asciiTheme="minorEastAsia" w:hAnsiTheme="minorEastAsia" w:eastAsiaTheme="minorEastAsia"/>
          <w:kern w:val="0"/>
          <w:szCs w:val="21"/>
          <w:highlight w:val="none"/>
        </w:rPr>
        <w:t>法定代表人/负责人（签字或盖人名章）或者其委托代理人（签字）：</w:t>
      </w:r>
      <w:r>
        <w:rPr>
          <w:rFonts w:hint="eastAsia" w:asciiTheme="minorEastAsia" w:hAnsiTheme="minorEastAsia" w:eastAsiaTheme="minorEastAsia"/>
          <w:kern w:val="0"/>
          <w:szCs w:val="21"/>
          <w:highlight w:val="none"/>
          <w:u w:val="single"/>
        </w:rPr>
        <w:t xml:space="preserve">        </w:t>
      </w:r>
    </w:p>
    <w:p w14:paraId="7F69A5DD">
      <w:pPr>
        <w:pStyle w:val="99"/>
        <w:snapToGrid w:val="0"/>
        <w:spacing w:line="440" w:lineRule="exact"/>
        <w:ind w:firstLine="411" w:firstLineChars="196"/>
        <w:rPr>
          <w:rFonts w:asciiTheme="minorEastAsia" w:hAnsiTheme="minorEastAsia" w:eastAsiaTheme="minorEastAsia"/>
          <w:kern w:val="0"/>
          <w:szCs w:val="21"/>
          <w:highlight w:val="none"/>
        </w:rPr>
      </w:pPr>
      <w:r>
        <w:rPr>
          <w:rFonts w:hint="eastAsia" w:asciiTheme="minorEastAsia" w:hAnsiTheme="minorEastAsia" w:eastAsiaTheme="minorEastAsia"/>
          <w:kern w:val="0"/>
          <w:szCs w:val="21"/>
          <w:highlight w:val="none"/>
        </w:rPr>
        <w:t>日期：</w:t>
      </w:r>
      <w:r>
        <w:rPr>
          <w:rFonts w:hint="eastAsia" w:asciiTheme="minorEastAsia" w:hAnsiTheme="minorEastAsia" w:eastAsiaTheme="minorEastAsia"/>
          <w:kern w:val="0"/>
          <w:szCs w:val="21"/>
          <w:highlight w:val="none"/>
          <w:u w:val="single"/>
        </w:rPr>
        <w:t xml:space="preserve">      </w:t>
      </w:r>
      <w:r>
        <w:rPr>
          <w:rFonts w:hint="eastAsia" w:asciiTheme="minorEastAsia" w:hAnsiTheme="minorEastAsia" w:eastAsiaTheme="minorEastAsia"/>
          <w:kern w:val="0"/>
          <w:szCs w:val="21"/>
          <w:highlight w:val="none"/>
        </w:rPr>
        <w:t>年</w:t>
      </w:r>
      <w:r>
        <w:rPr>
          <w:rFonts w:hint="eastAsia" w:asciiTheme="minorEastAsia" w:hAnsiTheme="minorEastAsia" w:eastAsiaTheme="minorEastAsia"/>
          <w:kern w:val="0"/>
          <w:szCs w:val="21"/>
          <w:highlight w:val="none"/>
          <w:u w:val="single"/>
        </w:rPr>
        <w:t xml:space="preserve">      </w:t>
      </w:r>
      <w:r>
        <w:rPr>
          <w:rFonts w:hint="eastAsia" w:asciiTheme="minorEastAsia" w:hAnsiTheme="minorEastAsia" w:eastAsiaTheme="minorEastAsia"/>
          <w:kern w:val="0"/>
          <w:szCs w:val="21"/>
          <w:highlight w:val="none"/>
        </w:rPr>
        <w:t>月</w:t>
      </w:r>
      <w:r>
        <w:rPr>
          <w:rFonts w:hint="eastAsia" w:asciiTheme="minorEastAsia" w:hAnsiTheme="minorEastAsia" w:eastAsiaTheme="minorEastAsia"/>
          <w:kern w:val="0"/>
          <w:szCs w:val="21"/>
          <w:highlight w:val="none"/>
          <w:u w:val="single"/>
        </w:rPr>
        <w:t xml:space="preserve">     </w:t>
      </w:r>
      <w:r>
        <w:rPr>
          <w:rFonts w:hint="eastAsia" w:asciiTheme="minorEastAsia" w:hAnsiTheme="minorEastAsia" w:eastAsiaTheme="minorEastAsia"/>
          <w:kern w:val="0"/>
          <w:szCs w:val="21"/>
          <w:highlight w:val="none"/>
        </w:rPr>
        <w:t>日</w:t>
      </w:r>
    </w:p>
    <w:p w14:paraId="2C99FC98">
      <w:pPr>
        <w:widowControl/>
        <w:jc w:val="left"/>
        <w:rPr>
          <w:rFonts w:asciiTheme="minorEastAsia" w:hAnsiTheme="minorEastAsia" w:eastAsiaTheme="minorEastAsia"/>
          <w:b/>
          <w:highlight w:val="none"/>
        </w:rPr>
      </w:pPr>
    </w:p>
    <w:p w14:paraId="0AAF9D9B">
      <w:pPr>
        <w:widowControl/>
        <w:jc w:val="left"/>
        <w:rPr>
          <w:rFonts w:asciiTheme="minorEastAsia" w:hAnsiTheme="minorEastAsia" w:eastAsiaTheme="minorEastAsia"/>
          <w:b/>
          <w:highlight w:val="none"/>
        </w:rPr>
      </w:pPr>
    </w:p>
    <w:p w14:paraId="43909125">
      <w:pPr>
        <w:widowControl/>
        <w:jc w:val="left"/>
        <w:rPr>
          <w:rFonts w:asciiTheme="minorEastAsia" w:hAnsiTheme="minorEastAsia" w:eastAsiaTheme="minorEastAsia"/>
          <w:b/>
          <w:highlight w:val="none"/>
        </w:rPr>
      </w:pPr>
    </w:p>
    <w:p w14:paraId="1BD916B5">
      <w:pPr>
        <w:snapToGrid w:val="0"/>
        <w:spacing w:line="360" w:lineRule="auto"/>
        <w:rPr>
          <w:rFonts w:asciiTheme="minorEastAsia" w:hAnsiTheme="minorEastAsia" w:eastAsiaTheme="minorEastAsia"/>
          <w:szCs w:val="21"/>
          <w:highlight w:val="none"/>
        </w:rPr>
      </w:pPr>
      <w:r>
        <w:rPr>
          <w:rFonts w:hint="eastAsia" w:asciiTheme="minorEastAsia" w:hAnsiTheme="minorEastAsia" w:eastAsiaTheme="minorEastAsia"/>
          <w:b/>
          <w:szCs w:val="21"/>
          <w:highlight w:val="none"/>
        </w:rPr>
        <w:t>编制要求：</w:t>
      </w:r>
      <w:r>
        <w:rPr>
          <w:rFonts w:hint="eastAsia" w:asciiTheme="minorEastAsia" w:hAnsiTheme="minorEastAsia" w:eastAsiaTheme="minorEastAsia"/>
          <w:szCs w:val="21"/>
          <w:highlight w:val="none"/>
        </w:rPr>
        <w:t>投标人可以根据实际情况对本文件进行调整和修改，但应满足招标文件对本文件的要求。</w:t>
      </w:r>
      <w:r>
        <w:rPr>
          <w:rFonts w:asciiTheme="minorEastAsia" w:hAnsiTheme="minorEastAsia" w:eastAsiaTheme="minorEastAsia"/>
          <w:szCs w:val="21"/>
          <w:highlight w:val="none"/>
        </w:rPr>
        <w:br w:type="page"/>
      </w:r>
    </w:p>
    <w:p w14:paraId="1F3DF719">
      <w:pPr>
        <w:pStyle w:val="56"/>
        <w:adjustRightInd w:val="0"/>
        <w:snapToGrid w:val="0"/>
        <w:spacing w:line="440" w:lineRule="exact"/>
        <w:ind w:firstLine="0" w:firstLineChars="0"/>
        <w:rPr>
          <w:rFonts w:ascii="宋体" w:hAnsi="宋体" w:cs="宋体"/>
          <w:szCs w:val="21"/>
          <w:highlight w:val="none"/>
        </w:rPr>
        <w:sectPr>
          <w:pgSz w:w="11906" w:h="16838"/>
          <w:pgMar w:top="1440" w:right="1800" w:bottom="1440" w:left="1800" w:header="851" w:footer="992" w:gutter="0"/>
          <w:pgNumType w:fmt="decimal"/>
          <w:cols w:space="425" w:num="1"/>
          <w:docGrid w:type="lines" w:linePitch="312" w:charSpace="0"/>
        </w:sectPr>
      </w:pPr>
    </w:p>
    <w:p w14:paraId="65BB9A42">
      <w:pPr>
        <w:pStyle w:val="40"/>
        <w:numPr>
          <w:ilvl w:val="0"/>
          <w:numId w:val="57"/>
        </w:numPr>
        <w:tabs>
          <w:tab w:val="left" w:pos="588"/>
        </w:tabs>
        <w:snapToGrid w:val="0"/>
        <w:spacing w:before="120" w:after="120" w:line="440" w:lineRule="exact"/>
        <w:jc w:val="left"/>
        <w:rPr>
          <w:rFonts w:hint="eastAsia" w:ascii="宋体" w:hAnsi="宋体"/>
          <w:sz w:val="24"/>
          <w:szCs w:val="24"/>
          <w:highlight w:val="none"/>
        </w:rPr>
      </w:pPr>
      <w:bookmarkStart w:id="1152" w:name="_Toc5105"/>
      <w:bookmarkStart w:id="1153" w:name="_Toc7555"/>
      <w:bookmarkStart w:id="1154" w:name="_Toc32446"/>
      <w:bookmarkStart w:id="1155" w:name="_Toc475472688"/>
      <w:r>
        <w:rPr>
          <w:rFonts w:hint="eastAsia" w:ascii="宋体" w:hAnsi="宋体"/>
          <w:sz w:val="24"/>
          <w:szCs w:val="24"/>
          <w:highlight w:val="none"/>
          <w:lang w:val="en-US" w:eastAsia="zh-CN"/>
        </w:rPr>
        <w:t>投标人认为需要提供的其他商务文件</w:t>
      </w:r>
      <w:bookmarkEnd w:id="1152"/>
      <w:bookmarkEnd w:id="1153"/>
      <w:bookmarkEnd w:id="1154"/>
    </w:p>
    <w:p w14:paraId="09E97926">
      <w:pPr>
        <w:rPr>
          <w:highlight w:val="none"/>
        </w:rPr>
      </w:pPr>
    </w:p>
    <w:p w14:paraId="4AAC8B5F">
      <w:pPr>
        <w:pStyle w:val="32"/>
        <w:rPr>
          <w:highlight w:val="none"/>
        </w:rPr>
      </w:pPr>
    </w:p>
    <w:p w14:paraId="3E3458F3">
      <w:pPr>
        <w:pStyle w:val="40"/>
        <w:numPr>
          <w:ilvl w:val="0"/>
          <w:numId w:val="63"/>
        </w:numPr>
        <w:tabs>
          <w:tab w:val="left" w:pos="588"/>
        </w:tabs>
        <w:snapToGrid w:val="0"/>
        <w:spacing w:before="120" w:after="120" w:line="440" w:lineRule="exact"/>
        <w:jc w:val="left"/>
        <w:rPr>
          <w:rFonts w:ascii="宋体" w:hAnsi="宋体"/>
          <w:sz w:val="24"/>
          <w:szCs w:val="24"/>
          <w:highlight w:val="none"/>
        </w:rPr>
        <w:sectPr>
          <w:pgSz w:w="11906" w:h="16838"/>
          <w:pgMar w:top="1440" w:right="1800" w:bottom="1440" w:left="1800" w:header="851" w:footer="992" w:gutter="0"/>
          <w:pgNumType w:fmt="decimal"/>
          <w:cols w:space="425" w:num="1"/>
          <w:docGrid w:type="lines" w:linePitch="312" w:charSpace="0"/>
        </w:sectPr>
      </w:pPr>
      <w:bookmarkStart w:id="1156" w:name="_Toc4841"/>
      <w:bookmarkStart w:id="1157" w:name="_Toc12334"/>
      <w:bookmarkStart w:id="1158" w:name="_Toc7194742"/>
    </w:p>
    <w:bookmarkEnd w:id="1156"/>
    <w:bookmarkEnd w:id="1157"/>
    <w:bookmarkEnd w:id="1158"/>
    <w:p w14:paraId="2F415276">
      <w:pPr>
        <w:pStyle w:val="40"/>
        <w:tabs>
          <w:tab w:val="left" w:pos="588"/>
        </w:tabs>
        <w:snapToGrid w:val="0"/>
        <w:spacing w:before="120" w:after="120" w:line="440" w:lineRule="exact"/>
        <w:jc w:val="left"/>
        <w:rPr>
          <w:rFonts w:ascii="宋体" w:hAnsi="宋体"/>
          <w:sz w:val="24"/>
          <w:szCs w:val="24"/>
          <w:highlight w:val="none"/>
        </w:rPr>
      </w:pPr>
      <w:bookmarkStart w:id="1159" w:name="_Toc10255"/>
      <w:bookmarkStart w:id="1160" w:name="_Toc38008097"/>
      <w:r>
        <w:rPr>
          <w:rFonts w:hint="eastAsia" w:ascii="宋体" w:hAnsi="宋体"/>
          <w:sz w:val="24"/>
          <w:szCs w:val="24"/>
          <w:highlight w:val="none"/>
        </w:rPr>
        <w:t>第二分册 技术投标文件</w:t>
      </w:r>
      <w:bookmarkEnd w:id="1159"/>
      <w:bookmarkEnd w:id="1160"/>
    </w:p>
    <w:p w14:paraId="5D14EAD6">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61" w:name="_Toc32018"/>
      <w:bookmarkStart w:id="1162" w:name="_Toc38008098"/>
      <w:r>
        <w:rPr>
          <w:rFonts w:hint="eastAsia" w:ascii="宋体" w:hAnsi="宋体"/>
          <w:sz w:val="24"/>
          <w:szCs w:val="24"/>
          <w:highlight w:val="none"/>
        </w:rPr>
        <w:t>技术投标文件封面</w:t>
      </w:r>
      <w:bookmarkEnd w:id="1155"/>
      <w:bookmarkEnd w:id="1161"/>
      <w:bookmarkEnd w:id="1162"/>
    </w:p>
    <w:p w14:paraId="23776820">
      <w:pPr>
        <w:spacing w:after="120" w:line="360" w:lineRule="atLeast"/>
        <w:jc w:val="center"/>
        <w:rPr>
          <w:rFonts w:ascii="宋体" w:hAnsi="宋体" w:cs="宋体"/>
          <w:sz w:val="32"/>
          <w:szCs w:val="32"/>
          <w:highlight w:val="none"/>
          <w:u w:val="single"/>
        </w:rPr>
      </w:pPr>
    </w:p>
    <w:p w14:paraId="0ABEF34E">
      <w:pPr>
        <w:spacing w:after="120" w:line="360" w:lineRule="atLeast"/>
        <w:jc w:val="center"/>
        <w:rPr>
          <w:rFonts w:ascii="宋体" w:hAnsi="宋体" w:cs="宋体"/>
          <w:sz w:val="32"/>
          <w:szCs w:val="32"/>
          <w:highlight w:val="none"/>
          <w:u w:val="single"/>
        </w:rPr>
      </w:pPr>
    </w:p>
    <w:p w14:paraId="21ED2447">
      <w:pPr>
        <w:spacing w:after="120" w:line="360" w:lineRule="atLeast"/>
        <w:jc w:val="center"/>
        <w:rPr>
          <w:rFonts w:ascii="宋体" w:hAnsi="宋体" w:cs="宋体"/>
          <w:b/>
          <w:sz w:val="30"/>
          <w:szCs w:val="30"/>
          <w:highlight w:val="none"/>
        </w:rPr>
      </w:pPr>
      <w:r>
        <w:rPr>
          <w:rFonts w:hint="eastAsia" w:ascii="宋体" w:hAnsi="宋体"/>
          <w:sz w:val="28"/>
          <w:szCs w:val="28"/>
          <w:highlight w:val="none"/>
        </w:rPr>
        <w:t>（项目名称）招标</w:t>
      </w:r>
    </w:p>
    <w:p w14:paraId="0FD0E80A">
      <w:pPr>
        <w:jc w:val="center"/>
        <w:rPr>
          <w:rFonts w:ascii="宋体" w:hAnsi="宋体" w:cs="宋体"/>
          <w:sz w:val="28"/>
          <w:szCs w:val="28"/>
          <w:highlight w:val="none"/>
        </w:rPr>
      </w:pPr>
    </w:p>
    <w:p w14:paraId="5427AA85">
      <w:pPr>
        <w:jc w:val="center"/>
        <w:rPr>
          <w:rFonts w:ascii="宋体" w:hAnsi="宋体" w:cs="宋体"/>
          <w:szCs w:val="21"/>
          <w:highlight w:val="none"/>
        </w:rPr>
      </w:pPr>
    </w:p>
    <w:p w14:paraId="1B708623">
      <w:pPr>
        <w:jc w:val="center"/>
        <w:rPr>
          <w:rFonts w:ascii="宋体" w:hAnsi="宋体" w:cs="宋体"/>
          <w:szCs w:val="21"/>
          <w:highlight w:val="none"/>
        </w:rPr>
      </w:pPr>
    </w:p>
    <w:p w14:paraId="1A9DB7B2">
      <w:pPr>
        <w:jc w:val="center"/>
        <w:rPr>
          <w:rFonts w:ascii="宋体" w:hAnsi="宋体" w:cs="宋体"/>
          <w:szCs w:val="21"/>
          <w:highlight w:val="none"/>
        </w:rPr>
      </w:pPr>
    </w:p>
    <w:p w14:paraId="7277CD6D">
      <w:pPr>
        <w:spacing w:after="120"/>
        <w:jc w:val="center"/>
        <w:rPr>
          <w:rFonts w:ascii="宋体" w:hAnsi="宋体" w:cs="宋体"/>
          <w:b/>
          <w:sz w:val="36"/>
          <w:szCs w:val="36"/>
          <w:highlight w:val="none"/>
        </w:rPr>
      </w:pPr>
      <w:r>
        <w:rPr>
          <w:rFonts w:hint="eastAsia" w:ascii="宋体" w:hAnsi="宋体" w:cs="宋体"/>
          <w:b/>
          <w:sz w:val="36"/>
          <w:szCs w:val="36"/>
          <w:highlight w:val="none"/>
        </w:rPr>
        <w:t>投标文件【技术投标文件】部分</w:t>
      </w:r>
    </w:p>
    <w:p w14:paraId="2C84266F">
      <w:pPr>
        <w:spacing w:after="120"/>
        <w:jc w:val="center"/>
        <w:rPr>
          <w:rFonts w:ascii="宋体" w:hAnsi="宋体" w:cs="宋体"/>
          <w:b/>
          <w:sz w:val="32"/>
          <w:szCs w:val="32"/>
          <w:highlight w:val="none"/>
        </w:rPr>
      </w:pPr>
    </w:p>
    <w:p w14:paraId="68C5E8CB">
      <w:pPr>
        <w:spacing w:after="120"/>
        <w:jc w:val="center"/>
        <w:rPr>
          <w:rFonts w:ascii="宋体" w:hAnsi="宋体" w:cs="宋体"/>
          <w:b/>
          <w:sz w:val="32"/>
          <w:szCs w:val="32"/>
          <w:highlight w:val="none"/>
        </w:rPr>
      </w:pPr>
    </w:p>
    <w:p w14:paraId="09E33E2E">
      <w:pPr>
        <w:spacing w:after="120"/>
        <w:jc w:val="center"/>
        <w:rPr>
          <w:rFonts w:ascii="宋体" w:hAnsi="宋体" w:cs="宋体"/>
          <w:b/>
          <w:sz w:val="32"/>
          <w:szCs w:val="32"/>
          <w:highlight w:val="none"/>
        </w:rPr>
      </w:pPr>
    </w:p>
    <w:p w14:paraId="79FC41E5">
      <w:pPr>
        <w:spacing w:after="120"/>
        <w:jc w:val="center"/>
        <w:rPr>
          <w:rFonts w:ascii="宋体" w:hAnsi="宋体" w:cs="宋体"/>
          <w:b/>
          <w:sz w:val="32"/>
          <w:szCs w:val="32"/>
          <w:highlight w:val="none"/>
        </w:rPr>
      </w:pPr>
    </w:p>
    <w:p w14:paraId="6B637D09">
      <w:pPr>
        <w:spacing w:after="120"/>
        <w:jc w:val="center"/>
        <w:rPr>
          <w:rFonts w:ascii="宋体" w:hAnsi="宋体" w:cs="宋体"/>
          <w:b/>
          <w:sz w:val="32"/>
          <w:szCs w:val="32"/>
          <w:highlight w:val="none"/>
        </w:rPr>
      </w:pPr>
    </w:p>
    <w:p w14:paraId="30787A77">
      <w:pPr>
        <w:spacing w:after="120"/>
        <w:jc w:val="center"/>
        <w:rPr>
          <w:rFonts w:ascii="宋体" w:hAnsi="宋体" w:cs="宋体"/>
          <w:b/>
          <w:sz w:val="32"/>
          <w:szCs w:val="32"/>
          <w:highlight w:val="none"/>
        </w:rPr>
      </w:pPr>
    </w:p>
    <w:p w14:paraId="5FD546A5">
      <w:pPr>
        <w:spacing w:line="440" w:lineRule="exact"/>
        <w:ind w:firstLine="566" w:firstLineChars="236"/>
        <w:rPr>
          <w:rFonts w:ascii="宋体" w:hAnsi="宋体"/>
          <w:sz w:val="24"/>
          <w:szCs w:val="21"/>
          <w:highlight w:val="none"/>
        </w:rPr>
      </w:pPr>
      <w:r>
        <w:rPr>
          <w:rFonts w:hint="eastAsia" w:ascii="宋体" w:hAnsi="宋体"/>
          <w:sz w:val="24"/>
          <w:szCs w:val="21"/>
          <w:highlight w:val="none"/>
        </w:rPr>
        <w:t>投标人名称：</w:t>
      </w:r>
      <w:r>
        <w:rPr>
          <w:rFonts w:hint="eastAsia" w:ascii="宋体" w:hAnsi="宋体"/>
          <w:sz w:val="24"/>
          <w:szCs w:val="21"/>
          <w:highlight w:val="none"/>
          <w:u w:val="single"/>
        </w:rPr>
        <w:t>　　　　　　　　</w:t>
      </w:r>
    </w:p>
    <w:p w14:paraId="63D6D661">
      <w:pPr>
        <w:spacing w:line="440" w:lineRule="exact"/>
        <w:ind w:firstLine="566" w:firstLineChars="236"/>
        <w:rPr>
          <w:rFonts w:ascii="宋体" w:hAnsi="宋体"/>
          <w:sz w:val="24"/>
          <w:szCs w:val="21"/>
          <w:highlight w:val="none"/>
        </w:rPr>
      </w:pPr>
    </w:p>
    <w:p w14:paraId="762CDBEB">
      <w:pPr>
        <w:adjustRightInd w:val="0"/>
        <w:snapToGrid w:val="0"/>
        <w:spacing w:after="120" w:line="440" w:lineRule="exact"/>
        <w:ind w:firstLine="1200" w:firstLineChars="500"/>
        <w:jc w:val="left"/>
        <w:rPr>
          <w:rFonts w:ascii="宋体" w:hAnsi="宋体" w:cs="宋体"/>
          <w:sz w:val="24"/>
          <w:highlight w:val="none"/>
        </w:rPr>
      </w:pPr>
    </w:p>
    <w:p w14:paraId="321A42DB">
      <w:pPr>
        <w:adjustRightInd w:val="0"/>
        <w:snapToGrid w:val="0"/>
        <w:spacing w:line="440" w:lineRule="exact"/>
        <w:jc w:val="center"/>
        <w:rPr>
          <w:rFonts w:hint="eastAsia" w:ascii="宋体" w:hAnsi="宋体" w:cs="宋体"/>
          <w:sz w:val="24"/>
          <w:highlight w:val="none"/>
        </w:rPr>
      </w:pPr>
      <w:r>
        <w:rPr>
          <w:rFonts w:ascii="宋体" w:hAnsi="宋体" w:cs="宋体"/>
          <w:sz w:val="24"/>
          <w:highlight w:val="none"/>
          <w:u w:val="single"/>
        </w:rPr>
        <w:t xml:space="preserve">_    __ </w:t>
      </w:r>
      <w:r>
        <w:rPr>
          <w:rFonts w:hint="eastAsia" w:ascii="宋体" w:hAnsi="宋体" w:cs="宋体"/>
          <w:sz w:val="24"/>
          <w:highlight w:val="none"/>
        </w:rPr>
        <w:t>年</w:t>
      </w:r>
      <w:r>
        <w:rPr>
          <w:rFonts w:ascii="宋体" w:hAnsi="宋体" w:cs="宋体"/>
          <w:sz w:val="24"/>
          <w:highlight w:val="none"/>
          <w:u w:val="single"/>
        </w:rPr>
        <w:t>_    __</w:t>
      </w:r>
      <w:r>
        <w:rPr>
          <w:rFonts w:hint="eastAsia" w:ascii="宋体" w:hAnsi="宋体" w:cs="宋体"/>
          <w:sz w:val="24"/>
          <w:highlight w:val="none"/>
        </w:rPr>
        <w:t>月</w:t>
      </w:r>
      <w:r>
        <w:rPr>
          <w:rFonts w:ascii="宋体" w:hAnsi="宋体" w:cs="宋体"/>
          <w:sz w:val="24"/>
          <w:highlight w:val="none"/>
          <w:u w:val="single"/>
        </w:rPr>
        <w:t>_    __</w:t>
      </w:r>
      <w:r>
        <w:rPr>
          <w:rFonts w:hint="eastAsia" w:ascii="宋体" w:hAnsi="宋体" w:cs="宋体"/>
          <w:sz w:val="24"/>
          <w:highlight w:val="none"/>
        </w:rPr>
        <w:t>日</w:t>
      </w:r>
    </w:p>
    <w:p w14:paraId="79D1930A">
      <w:pPr>
        <w:pStyle w:val="32"/>
        <w:rPr>
          <w:highlight w:val="none"/>
        </w:rPr>
        <w:sectPr>
          <w:pgSz w:w="11906" w:h="16838"/>
          <w:pgMar w:top="1440" w:right="1800" w:bottom="1440" w:left="1800" w:header="851" w:footer="992" w:gutter="0"/>
          <w:pgNumType w:fmt="decimal"/>
          <w:cols w:space="425" w:num="1"/>
          <w:docGrid w:type="lines" w:linePitch="312" w:charSpace="0"/>
        </w:sectPr>
      </w:pPr>
      <w:r>
        <w:rPr>
          <w:rFonts w:hint="eastAsia" w:asciiTheme="minorEastAsia" w:hAnsiTheme="minorEastAsia" w:eastAsiaTheme="minorEastAsia"/>
          <w:b/>
          <w:highlight w:val="none"/>
        </w:rPr>
        <w:t>编制要求</w:t>
      </w:r>
      <w:r>
        <w:rPr>
          <w:rFonts w:hint="eastAsia" w:asciiTheme="minorEastAsia" w:hAnsiTheme="minorEastAsia" w:eastAsiaTheme="minorEastAsia"/>
          <w:highlight w:val="none"/>
        </w:rPr>
        <w:t>：</w:t>
      </w:r>
      <w:r>
        <w:rPr>
          <w:rFonts w:hint="eastAsia"/>
          <w:highlight w:val="none"/>
        </w:rPr>
        <w:t>投标人可以根据实际情况对本文件进行调整和修改，但应满足招标文件对本文件的要求。</w:t>
      </w:r>
    </w:p>
    <w:p w14:paraId="096088C6">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63" w:name="_Toc38008100"/>
      <w:bookmarkStart w:id="1164" w:name="_Toc475472690"/>
      <w:bookmarkStart w:id="1165" w:name="_Toc8993"/>
      <w:r>
        <w:rPr>
          <w:rFonts w:hint="eastAsia" w:ascii="宋体" w:hAnsi="宋体"/>
          <w:sz w:val="24"/>
          <w:szCs w:val="24"/>
          <w:highlight w:val="none"/>
        </w:rPr>
        <w:t>技术规范书点对点应答</w:t>
      </w:r>
      <w:bookmarkEnd w:id="1163"/>
      <w:bookmarkEnd w:id="1164"/>
      <w:r>
        <w:rPr>
          <w:rFonts w:hint="eastAsia" w:ascii="宋体" w:hAnsi="宋体"/>
          <w:sz w:val="24"/>
          <w:szCs w:val="24"/>
          <w:highlight w:val="none"/>
          <w:lang w:val="en-US" w:eastAsia="zh-CN"/>
        </w:rPr>
        <w:t>或技术规范书偏离表</w:t>
      </w:r>
      <w:bookmarkEnd w:id="1165"/>
    </w:p>
    <w:p w14:paraId="50015469">
      <w:pPr>
        <w:pStyle w:val="56"/>
        <w:ind w:firstLine="0" w:firstLineChars="0"/>
        <w:jc w:val="center"/>
        <w:rPr>
          <w:rFonts w:ascii="宋体" w:hAnsi="宋体"/>
          <w:b/>
          <w:highlight w:val="none"/>
        </w:rPr>
      </w:pPr>
      <w:r>
        <w:rPr>
          <w:rFonts w:hint="eastAsia" w:ascii="宋体" w:hAnsi="宋体"/>
          <w:b/>
          <w:highlight w:val="none"/>
        </w:rPr>
        <w:t>技术规范书偏离表</w:t>
      </w:r>
    </w:p>
    <w:p w14:paraId="6E25C480">
      <w:pPr>
        <w:jc w:val="center"/>
        <w:rPr>
          <w:rFonts w:ascii="宋体" w:hAnsi="宋体" w:cs="宋体"/>
          <w:highlight w:val="none"/>
        </w:rPr>
      </w:pPr>
    </w:p>
    <w:p w14:paraId="7F7BFA81">
      <w:pPr>
        <w:adjustRightInd w:val="0"/>
        <w:snapToGrid w:val="0"/>
        <w:spacing w:after="120" w:line="440" w:lineRule="exact"/>
        <w:rPr>
          <w:rFonts w:ascii="宋体" w:hAnsi="宋体" w:cs="宋体"/>
          <w:szCs w:val="21"/>
          <w:highlight w:val="none"/>
        </w:rPr>
      </w:pPr>
      <w:r>
        <w:rPr>
          <w:rFonts w:hint="eastAsia" w:ascii="宋体" w:hAnsi="宋体" w:cs="宋体"/>
          <w:szCs w:val="21"/>
          <w:highlight w:val="none"/>
        </w:rPr>
        <w:t>项目</w:t>
      </w:r>
      <w:r>
        <w:rPr>
          <w:rFonts w:ascii="宋体" w:hAnsi="宋体" w:cs="宋体"/>
          <w:szCs w:val="21"/>
          <w:highlight w:val="none"/>
        </w:rPr>
        <w:t>名称：</w:t>
      </w:r>
      <w:r>
        <w:rPr>
          <w:rFonts w:ascii="宋体" w:hAnsi="宋体" w:cs="宋体"/>
          <w:szCs w:val="21"/>
          <w:highlight w:val="none"/>
          <w:u w:val="single"/>
        </w:rPr>
        <w:t xml:space="preserve">                   </w:t>
      </w:r>
      <w:r>
        <w:rPr>
          <w:rFonts w:ascii="宋体" w:hAnsi="宋体" w:cs="宋体"/>
          <w:szCs w:val="21"/>
          <w:highlight w:val="none"/>
        </w:rPr>
        <w:t>招标编号：</w:t>
      </w:r>
      <w:r>
        <w:rPr>
          <w:rFonts w:ascii="宋体" w:hAnsi="宋体" w:cs="宋体"/>
          <w:szCs w:val="21"/>
          <w:highlight w:val="none"/>
          <w:u w:val="single"/>
        </w:rPr>
        <w:t xml:space="preserve">                </w:t>
      </w:r>
      <w:r>
        <w:rPr>
          <w:rFonts w:hint="eastAsia" w:ascii="宋体" w:hAnsi="宋体" w:cs="宋体"/>
          <w:szCs w:val="21"/>
          <w:highlight w:val="none"/>
        </w:rPr>
        <w:t>标包</w:t>
      </w:r>
      <w:r>
        <w:rPr>
          <w:rFonts w:ascii="宋体" w:hAnsi="宋体" w:cs="宋体"/>
          <w:szCs w:val="21"/>
          <w:highlight w:val="none"/>
        </w:rPr>
        <w:t>：</w:t>
      </w:r>
      <w:r>
        <w:rPr>
          <w:rFonts w:ascii="宋体" w:hAnsi="宋体" w:cs="宋体"/>
          <w:szCs w:val="21"/>
          <w:highlight w:val="none"/>
          <w:u w:val="single"/>
        </w:rPr>
        <w:t xml:space="preserve">       </w:t>
      </w:r>
    </w:p>
    <w:tbl>
      <w:tblPr>
        <w:tblStyle w:val="42"/>
        <w:tblW w:w="0" w:type="auto"/>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75B9F7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noWrap w:val="0"/>
            <w:vAlign w:val="center"/>
          </w:tcPr>
          <w:p w14:paraId="2B589507">
            <w:pPr>
              <w:adjustRightInd w:val="0"/>
              <w:snapToGrid w:val="0"/>
              <w:spacing w:line="440" w:lineRule="exact"/>
              <w:jc w:val="center"/>
              <w:rPr>
                <w:rFonts w:ascii="宋体" w:hAnsi="宋体" w:cs="宋体"/>
                <w:szCs w:val="21"/>
                <w:highlight w:val="none"/>
              </w:rPr>
            </w:pPr>
            <w:r>
              <w:rPr>
                <w:rFonts w:ascii="宋体" w:hAnsi="宋体" w:cs="宋体"/>
                <w:szCs w:val="21"/>
                <w:highlight w:val="none"/>
              </w:rPr>
              <w:t>序号</w:t>
            </w:r>
          </w:p>
        </w:tc>
        <w:tc>
          <w:tcPr>
            <w:tcW w:w="1746" w:type="dxa"/>
            <w:noWrap w:val="0"/>
            <w:vAlign w:val="center"/>
          </w:tcPr>
          <w:p w14:paraId="3AA08F71">
            <w:pPr>
              <w:adjustRightInd w:val="0"/>
              <w:snapToGrid w:val="0"/>
              <w:spacing w:line="440" w:lineRule="exact"/>
              <w:jc w:val="center"/>
              <w:rPr>
                <w:rFonts w:ascii="宋体" w:hAnsi="宋体" w:cs="宋体"/>
                <w:szCs w:val="21"/>
                <w:highlight w:val="none"/>
              </w:rPr>
            </w:pPr>
            <w:r>
              <w:rPr>
                <w:rFonts w:ascii="宋体" w:hAnsi="宋体" w:cs="宋体"/>
                <w:szCs w:val="21"/>
                <w:highlight w:val="none"/>
              </w:rPr>
              <w:t>招标文件条目号</w:t>
            </w:r>
          </w:p>
        </w:tc>
        <w:tc>
          <w:tcPr>
            <w:tcW w:w="2208" w:type="dxa"/>
            <w:noWrap w:val="0"/>
            <w:vAlign w:val="center"/>
          </w:tcPr>
          <w:p w14:paraId="2E8DA6F2">
            <w:pPr>
              <w:adjustRightInd w:val="0"/>
              <w:snapToGrid w:val="0"/>
              <w:spacing w:line="440" w:lineRule="exact"/>
              <w:jc w:val="center"/>
              <w:rPr>
                <w:rFonts w:ascii="宋体" w:hAnsi="宋体" w:cs="宋体"/>
                <w:szCs w:val="21"/>
                <w:highlight w:val="none"/>
              </w:rPr>
            </w:pPr>
            <w:r>
              <w:rPr>
                <w:rFonts w:ascii="宋体" w:hAnsi="宋体" w:cs="宋体"/>
                <w:szCs w:val="21"/>
                <w:highlight w:val="none"/>
              </w:rPr>
              <w:t>招标文件的</w:t>
            </w:r>
            <w:r>
              <w:rPr>
                <w:rFonts w:hint="eastAsia" w:ascii="宋体" w:hAnsi="宋体" w:cs="宋体"/>
                <w:szCs w:val="21"/>
                <w:highlight w:val="none"/>
              </w:rPr>
              <w:t>技术</w:t>
            </w:r>
            <w:r>
              <w:rPr>
                <w:rFonts w:ascii="宋体" w:hAnsi="宋体" w:cs="宋体"/>
                <w:szCs w:val="21"/>
                <w:highlight w:val="none"/>
              </w:rPr>
              <w:t>条款</w:t>
            </w:r>
          </w:p>
        </w:tc>
        <w:tc>
          <w:tcPr>
            <w:tcW w:w="2435" w:type="dxa"/>
            <w:noWrap w:val="0"/>
            <w:vAlign w:val="center"/>
          </w:tcPr>
          <w:p w14:paraId="6E2CED34">
            <w:pPr>
              <w:adjustRightInd w:val="0"/>
              <w:snapToGrid w:val="0"/>
              <w:spacing w:line="440" w:lineRule="exact"/>
              <w:jc w:val="center"/>
              <w:rPr>
                <w:rFonts w:ascii="宋体" w:hAnsi="宋体" w:cs="宋体"/>
                <w:szCs w:val="21"/>
                <w:highlight w:val="none"/>
              </w:rPr>
            </w:pPr>
            <w:r>
              <w:rPr>
                <w:rFonts w:ascii="宋体" w:hAnsi="宋体" w:cs="宋体"/>
                <w:szCs w:val="21"/>
                <w:highlight w:val="none"/>
              </w:rPr>
              <w:t>投标</w:t>
            </w:r>
            <w:r>
              <w:rPr>
                <w:rFonts w:hint="eastAsia" w:ascii="宋体" w:hAnsi="宋体" w:cs="宋体"/>
                <w:szCs w:val="21"/>
                <w:highlight w:val="none"/>
              </w:rPr>
              <w:t>文件</w:t>
            </w:r>
            <w:r>
              <w:rPr>
                <w:rFonts w:ascii="宋体" w:hAnsi="宋体" w:cs="宋体"/>
                <w:szCs w:val="21"/>
                <w:highlight w:val="none"/>
              </w:rPr>
              <w:t>偏离情况</w:t>
            </w:r>
          </w:p>
        </w:tc>
        <w:tc>
          <w:tcPr>
            <w:tcW w:w="1364" w:type="dxa"/>
            <w:noWrap w:val="0"/>
            <w:vAlign w:val="center"/>
          </w:tcPr>
          <w:p w14:paraId="14F336A0">
            <w:pPr>
              <w:adjustRightInd w:val="0"/>
              <w:snapToGrid w:val="0"/>
              <w:spacing w:line="440" w:lineRule="exact"/>
              <w:jc w:val="center"/>
              <w:rPr>
                <w:rFonts w:ascii="宋体" w:hAnsi="宋体" w:cs="宋体"/>
                <w:szCs w:val="21"/>
                <w:highlight w:val="none"/>
              </w:rPr>
            </w:pPr>
            <w:r>
              <w:rPr>
                <w:rFonts w:ascii="宋体" w:hAnsi="宋体" w:cs="宋体"/>
                <w:szCs w:val="21"/>
                <w:highlight w:val="none"/>
              </w:rPr>
              <w:t>说明</w:t>
            </w:r>
          </w:p>
        </w:tc>
      </w:tr>
      <w:tr w14:paraId="279541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noWrap w:val="0"/>
            <w:vAlign w:val="center"/>
          </w:tcPr>
          <w:p w14:paraId="21AE2FFC">
            <w:pPr>
              <w:adjustRightInd w:val="0"/>
              <w:snapToGrid w:val="0"/>
              <w:spacing w:line="440" w:lineRule="exact"/>
              <w:rPr>
                <w:rFonts w:ascii="宋体" w:hAnsi="宋体" w:cs="宋体"/>
                <w:szCs w:val="21"/>
                <w:highlight w:val="none"/>
              </w:rPr>
            </w:pPr>
          </w:p>
        </w:tc>
        <w:tc>
          <w:tcPr>
            <w:tcW w:w="1746" w:type="dxa"/>
            <w:noWrap w:val="0"/>
            <w:vAlign w:val="center"/>
          </w:tcPr>
          <w:p w14:paraId="1897388A">
            <w:pPr>
              <w:adjustRightInd w:val="0"/>
              <w:snapToGrid w:val="0"/>
              <w:spacing w:line="440" w:lineRule="exact"/>
              <w:rPr>
                <w:rFonts w:ascii="宋体" w:hAnsi="宋体" w:cs="宋体"/>
                <w:szCs w:val="21"/>
                <w:highlight w:val="none"/>
              </w:rPr>
            </w:pPr>
          </w:p>
        </w:tc>
        <w:tc>
          <w:tcPr>
            <w:tcW w:w="2208" w:type="dxa"/>
            <w:noWrap w:val="0"/>
            <w:vAlign w:val="center"/>
          </w:tcPr>
          <w:p w14:paraId="1EB945C3">
            <w:pPr>
              <w:adjustRightInd w:val="0"/>
              <w:snapToGrid w:val="0"/>
              <w:spacing w:line="440" w:lineRule="exact"/>
              <w:rPr>
                <w:rFonts w:ascii="宋体" w:hAnsi="宋体" w:cs="宋体"/>
                <w:szCs w:val="21"/>
                <w:highlight w:val="none"/>
              </w:rPr>
            </w:pPr>
          </w:p>
        </w:tc>
        <w:tc>
          <w:tcPr>
            <w:tcW w:w="2435" w:type="dxa"/>
            <w:noWrap w:val="0"/>
            <w:vAlign w:val="center"/>
          </w:tcPr>
          <w:p w14:paraId="47D582DF">
            <w:pPr>
              <w:adjustRightInd w:val="0"/>
              <w:snapToGrid w:val="0"/>
              <w:spacing w:line="440" w:lineRule="exact"/>
              <w:rPr>
                <w:rFonts w:ascii="宋体" w:hAnsi="宋体" w:cs="宋体"/>
                <w:szCs w:val="21"/>
                <w:highlight w:val="none"/>
              </w:rPr>
            </w:pPr>
          </w:p>
        </w:tc>
        <w:tc>
          <w:tcPr>
            <w:tcW w:w="1364" w:type="dxa"/>
            <w:noWrap w:val="0"/>
            <w:vAlign w:val="center"/>
          </w:tcPr>
          <w:p w14:paraId="60654751">
            <w:pPr>
              <w:adjustRightInd w:val="0"/>
              <w:snapToGrid w:val="0"/>
              <w:spacing w:line="440" w:lineRule="exact"/>
              <w:rPr>
                <w:rFonts w:ascii="宋体" w:hAnsi="宋体" w:cs="宋体"/>
                <w:szCs w:val="21"/>
                <w:highlight w:val="none"/>
              </w:rPr>
            </w:pPr>
          </w:p>
        </w:tc>
      </w:tr>
      <w:tr w14:paraId="529A76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noWrap w:val="0"/>
            <w:vAlign w:val="center"/>
          </w:tcPr>
          <w:p w14:paraId="09EDAF64">
            <w:pPr>
              <w:adjustRightInd w:val="0"/>
              <w:snapToGrid w:val="0"/>
              <w:spacing w:line="440" w:lineRule="exact"/>
              <w:rPr>
                <w:rFonts w:ascii="宋体" w:hAnsi="宋体" w:cs="宋体"/>
                <w:szCs w:val="21"/>
                <w:highlight w:val="none"/>
              </w:rPr>
            </w:pPr>
          </w:p>
        </w:tc>
        <w:tc>
          <w:tcPr>
            <w:tcW w:w="1746" w:type="dxa"/>
            <w:noWrap w:val="0"/>
            <w:vAlign w:val="center"/>
          </w:tcPr>
          <w:p w14:paraId="18C72849">
            <w:pPr>
              <w:adjustRightInd w:val="0"/>
              <w:snapToGrid w:val="0"/>
              <w:spacing w:line="440" w:lineRule="exact"/>
              <w:rPr>
                <w:rFonts w:ascii="宋体" w:hAnsi="宋体" w:cs="宋体"/>
                <w:szCs w:val="21"/>
                <w:highlight w:val="none"/>
              </w:rPr>
            </w:pPr>
          </w:p>
        </w:tc>
        <w:tc>
          <w:tcPr>
            <w:tcW w:w="2208" w:type="dxa"/>
            <w:noWrap w:val="0"/>
            <w:vAlign w:val="center"/>
          </w:tcPr>
          <w:p w14:paraId="4B97129F">
            <w:pPr>
              <w:adjustRightInd w:val="0"/>
              <w:snapToGrid w:val="0"/>
              <w:spacing w:line="440" w:lineRule="exact"/>
              <w:rPr>
                <w:rFonts w:ascii="宋体" w:hAnsi="宋体" w:cs="宋体"/>
                <w:szCs w:val="21"/>
                <w:highlight w:val="none"/>
              </w:rPr>
            </w:pPr>
          </w:p>
        </w:tc>
        <w:tc>
          <w:tcPr>
            <w:tcW w:w="2435" w:type="dxa"/>
            <w:noWrap w:val="0"/>
            <w:vAlign w:val="center"/>
          </w:tcPr>
          <w:p w14:paraId="56B7A880">
            <w:pPr>
              <w:adjustRightInd w:val="0"/>
              <w:snapToGrid w:val="0"/>
              <w:spacing w:line="440" w:lineRule="exact"/>
              <w:rPr>
                <w:rFonts w:ascii="宋体" w:hAnsi="宋体" w:cs="宋体"/>
                <w:szCs w:val="21"/>
                <w:highlight w:val="none"/>
              </w:rPr>
            </w:pPr>
          </w:p>
        </w:tc>
        <w:tc>
          <w:tcPr>
            <w:tcW w:w="1364" w:type="dxa"/>
            <w:noWrap w:val="0"/>
            <w:vAlign w:val="center"/>
          </w:tcPr>
          <w:p w14:paraId="62B8F43C">
            <w:pPr>
              <w:adjustRightInd w:val="0"/>
              <w:snapToGrid w:val="0"/>
              <w:spacing w:line="440" w:lineRule="exact"/>
              <w:rPr>
                <w:rFonts w:ascii="宋体" w:hAnsi="宋体" w:cs="宋体"/>
                <w:szCs w:val="21"/>
                <w:highlight w:val="none"/>
              </w:rPr>
            </w:pPr>
          </w:p>
        </w:tc>
      </w:tr>
      <w:tr w14:paraId="4EDB02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noWrap w:val="0"/>
            <w:vAlign w:val="center"/>
          </w:tcPr>
          <w:p w14:paraId="4A0A8424">
            <w:pPr>
              <w:adjustRightInd w:val="0"/>
              <w:snapToGrid w:val="0"/>
              <w:spacing w:line="440" w:lineRule="exact"/>
              <w:rPr>
                <w:rFonts w:ascii="宋体" w:hAnsi="宋体" w:cs="宋体"/>
                <w:szCs w:val="21"/>
                <w:highlight w:val="none"/>
              </w:rPr>
            </w:pPr>
          </w:p>
        </w:tc>
        <w:tc>
          <w:tcPr>
            <w:tcW w:w="1746" w:type="dxa"/>
            <w:noWrap w:val="0"/>
            <w:vAlign w:val="center"/>
          </w:tcPr>
          <w:p w14:paraId="0FC8E58C">
            <w:pPr>
              <w:adjustRightInd w:val="0"/>
              <w:snapToGrid w:val="0"/>
              <w:spacing w:line="440" w:lineRule="exact"/>
              <w:rPr>
                <w:rFonts w:ascii="宋体" w:hAnsi="宋体" w:cs="宋体"/>
                <w:szCs w:val="21"/>
                <w:highlight w:val="none"/>
              </w:rPr>
            </w:pPr>
          </w:p>
        </w:tc>
        <w:tc>
          <w:tcPr>
            <w:tcW w:w="2208" w:type="dxa"/>
            <w:noWrap w:val="0"/>
            <w:vAlign w:val="center"/>
          </w:tcPr>
          <w:p w14:paraId="182D6CE1">
            <w:pPr>
              <w:adjustRightInd w:val="0"/>
              <w:snapToGrid w:val="0"/>
              <w:spacing w:line="440" w:lineRule="exact"/>
              <w:rPr>
                <w:rFonts w:ascii="宋体" w:hAnsi="宋体" w:cs="宋体"/>
                <w:szCs w:val="21"/>
                <w:highlight w:val="none"/>
              </w:rPr>
            </w:pPr>
          </w:p>
        </w:tc>
        <w:tc>
          <w:tcPr>
            <w:tcW w:w="2435" w:type="dxa"/>
            <w:noWrap w:val="0"/>
            <w:vAlign w:val="center"/>
          </w:tcPr>
          <w:p w14:paraId="286317CE">
            <w:pPr>
              <w:adjustRightInd w:val="0"/>
              <w:snapToGrid w:val="0"/>
              <w:spacing w:line="440" w:lineRule="exact"/>
              <w:rPr>
                <w:rFonts w:ascii="宋体" w:hAnsi="宋体" w:cs="宋体"/>
                <w:szCs w:val="21"/>
                <w:highlight w:val="none"/>
              </w:rPr>
            </w:pPr>
          </w:p>
        </w:tc>
        <w:tc>
          <w:tcPr>
            <w:tcW w:w="1364" w:type="dxa"/>
            <w:noWrap w:val="0"/>
            <w:vAlign w:val="center"/>
          </w:tcPr>
          <w:p w14:paraId="20A559C1">
            <w:pPr>
              <w:adjustRightInd w:val="0"/>
              <w:snapToGrid w:val="0"/>
              <w:spacing w:line="440" w:lineRule="exact"/>
              <w:rPr>
                <w:rFonts w:ascii="宋体" w:hAnsi="宋体" w:cs="宋体"/>
                <w:szCs w:val="21"/>
                <w:highlight w:val="none"/>
              </w:rPr>
            </w:pPr>
          </w:p>
        </w:tc>
      </w:tr>
      <w:tr w14:paraId="141319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noWrap w:val="0"/>
            <w:vAlign w:val="center"/>
          </w:tcPr>
          <w:p w14:paraId="65EB7523">
            <w:pPr>
              <w:adjustRightInd w:val="0"/>
              <w:snapToGrid w:val="0"/>
              <w:spacing w:line="440" w:lineRule="exact"/>
              <w:rPr>
                <w:rFonts w:ascii="宋体" w:hAnsi="宋体" w:cs="宋体"/>
                <w:szCs w:val="21"/>
                <w:highlight w:val="none"/>
              </w:rPr>
            </w:pPr>
          </w:p>
        </w:tc>
        <w:tc>
          <w:tcPr>
            <w:tcW w:w="1746" w:type="dxa"/>
            <w:noWrap w:val="0"/>
            <w:vAlign w:val="center"/>
          </w:tcPr>
          <w:p w14:paraId="64852F6A">
            <w:pPr>
              <w:adjustRightInd w:val="0"/>
              <w:snapToGrid w:val="0"/>
              <w:spacing w:line="440" w:lineRule="exact"/>
              <w:rPr>
                <w:rFonts w:ascii="宋体" w:hAnsi="宋体" w:cs="宋体"/>
                <w:szCs w:val="21"/>
                <w:highlight w:val="none"/>
              </w:rPr>
            </w:pPr>
          </w:p>
        </w:tc>
        <w:tc>
          <w:tcPr>
            <w:tcW w:w="2208" w:type="dxa"/>
            <w:noWrap w:val="0"/>
            <w:vAlign w:val="center"/>
          </w:tcPr>
          <w:p w14:paraId="05A401DF">
            <w:pPr>
              <w:adjustRightInd w:val="0"/>
              <w:snapToGrid w:val="0"/>
              <w:spacing w:line="440" w:lineRule="exact"/>
              <w:rPr>
                <w:rFonts w:ascii="宋体" w:hAnsi="宋体" w:cs="宋体"/>
                <w:szCs w:val="21"/>
                <w:highlight w:val="none"/>
              </w:rPr>
            </w:pPr>
          </w:p>
        </w:tc>
        <w:tc>
          <w:tcPr>
            <w:tcW w:w="2435" w:type="dxa"/>
            <w:noWrap w:val="0"/>
            <w:vAlign w:val="center"/>
          </w:tcPr>
          <w:p w14:paraId="4C408E2E">
            <w:pPr>
              <w:adjustRightInd w:val="0"/>
              <w:snapToGrid w:val="0"/>
              <w:spacing w:line="440" w:lineRule="exact"/>
              <w:rPr>
                <w:rFonts w:ascii="宋体" w:hAnsi="宋体" w:cs="宋体"/>
                <w:szCs w:val="21"/>
                <w:highlight w:val="none"/>
              </w:rPr>
            </w:pPr>
          </w:p>
        </w:tc>
        <w:tc>
          <w:tcPr>
            <w:tcW w:w="1364" w:type="dxa"/>
            <w:noWrap w:val="0"/>
            <w:vAlign w:val="center"/>
          </w:tcPr>
          <w:p w14:paraId="106DD844">
            <w:pPr>
              <w:adjustRightInd w:val="0"/>
              <w:snapToGrid w:val="0"/>
              <w:spacing w:line="440" w:lineRule="exact"/>
              <w:rPr>
                <w:rFonts w:ascii="宋体" w:hAnsi="宋体" w:cs="宋体"/>
                <w:szCs w:val="21"/>
                <w:highlight w:val="none"/>
              </w:rPr>
            </w:pPr>
          </w:p>
        </w:tc>
      </w:tr>
      <w:tr w14:paraId="7D57AC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noWrap w:val="0"/>
            <w:vAlign w:val="center"/>
          </w:tcPr>
          <w:p w14:paraId="469CC1A4">
            <w:pPr>
              <w:adjustRightInd w:val="0"/>
              <w:snapToGrid w:val="0"/>
              <w:spacing w:line="440" w:lineRule="exact"/>
              <w:rPr>
                <w:rFonts w:ascii="宋体" w:hAnsi="宋体" w:cs="宋体"/>
                <w:szCs w:val="21"/>
                <w:highlight w:val="none"/>
              </w:rPr>
            </w:pPr>
          </w:p>
        </w:tc>
        <w:tc>
          <w:tcPr>
            <w:tcW w:w="1746" w:type="dxa"/>
            <w:noWrap w:val="0"/>
            <w:vAlign w:val="center"/>
          </w:tcPr>
          <w:p w14:paraId="52E07586">
            <w:pPr>
              <w:adjustRightInd w:val="0"/>
              <w:snapToGrid w:val="0"/>
              <w:spacing w:line="440" w:lineRule="exact"/>
              <w:rPr>
                <w:rFonts w:ascii="宋体" w:hAnsi="宋体" w:cs="宋体"/>
                <w:szCs w:val="21"/>
                <w:highlight w:val="none"/>
              </w:rPr>
            </w:pPr>
          </w:p>
        </w:tc>
        <w:tc>
          <w:tcPr>
            <w:tcW w:w="2208" w:type="dxa"/>
            <w:noWrap w:val="0"/>
            <w:vAlign w:val="center"/>
          </w:tcPr>
          <w:p w14:paraId="69AE8808">
            <w:pPr>
              <w:adjustRightInd w:val="0"/>
              <w:snapToGrid w:val="0"/>
              <w:spacing w:line="440" w:lineRule="exact"/>
              <w:rPr>
                <w:rFonts w:ascii="宋体" w:hAnsi="宋体" w:cs="宋体"/>
                <w:szCs w:val="21"/>
                <w:highlight w:val="none"/>
              </w:rPr>
            </w:pPr>
          </w:p>
        </w:tc>
        <w:tc>
          <w:tcPr>
            <w:tcW w:w="2435" w:type="dxa"/>
            <w:noWrap w:val="0"/>
            <w:vAlign w:val="center"/>
          </w:tcPr>
          <w:p w14:paraId="71EB3107">
            <w:pPr>
              <w:adjustRightInd w:val="0"/>
              <w:snapToGrid w:val="0"/>
              <w:spacing w:line="440" w:lineRule="exact"/>
              <w:rPr>
                <w:rFonts w:ascii="宋体" w:hAnsi="宋体" w:cs="宋体"/>
                <w:szCs w:val="21"/>
                <w:highlight w:val="none"/>
              </w:rPr>
            </w:pPr>
          </w:p>
        </w:tc>
        <w:tc>
          <w:tcPr>
            <w:tcW w:w="1364" w:type="dxa"/>
            <w:noWrap w:val="0"/>
            <w:vAlign w:val="center"/>
          </w:tcPr>
          <w:p w14:paraId="75BC39A9">
            <w:pPr>
              <w:adjustRightInd w:val="0"/>
              <w:snapToGrid w:val="0"/>
              <w:spacing w:line="440" w:lineRule="exact"/>
              <w:rPr>
                <w:rFonts w:ascii="宋体" w:hAnsi="宋体" w:cs="宋体"/>
                <w:szCs w:val="21"/>
                <w:highlight w:val="none"/>
              </w:rPr>
            </w:pPr>
          </w:p>
        </w:tc>
      </w:tr>
      <w:tr w14:paraId="17F5F8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noWrap w:val="0"/>
            <w:vAlign w:val="center"/>
          </w:tcPr>
          <w:p w14:paraId="12C275A0">
            <w:pPr>
              <w:adjustRightInd w:val="0"/>
              <w:snapToGrid w:val="0"/>
              <w:spacing w:line="440" w:lineRule="exact"/>
              <w:rPr>
                <w:rFonts w:ascii="宋体" w:hAnsi="宋体" w:cs="宋体"/>
                <w:szCs w:val="21"/>
                <w:highlight w:val="none"/>
              </w:rPr>
            </w:pPr>
          </w:p>
        </w:tc>
        <w:tc>
          <w:tcPr>
            <w:tcW w:w="1746" w:type="dxa"/>
            <w:noWrap w:val="0"/>
            <w:vAlign w:val="center"/>
          </w:tcPr>
          <w:p w14:paraId="354C4D0A">
            <w:pPr>
              <w:adjustRightInd w:val="0"/>
              <w:snapToGrid w:val="0"/>
              <w:spacing w:line="440" w:lineRule="exact"/>
              <w:rPr>
                <w:rFonts w:ascii="宋体" w:hAnsi="宋体" w:cs="宋体"/>
                <w:szCs w:val="21"/>
                <w:highlight w:val="none"/>
              </w:rPr>
            </w:pPr>
          </w:p>
        </w:tc>
        <w:tc>
          <w:tcPr>
            <w:tcW w:w="2208" w:type="dxa"/>
            <w:noWrap w:val="0"/>
            <w:vAlign w:val="center"/>
          </w:tcPr>
          <w:p w14:paraId="0B6EEA5B">
            <w:pPr>
              <w:adjustRightInd w:val="0"/>
              <w:snapToGrid w:val="0"/>
              <w:spacing w:line="440" w:lineRule="exact"/>
              <w:rPr>
                <w:rFonts w:ascii="宋体" w:hAnsi="宋体" w:cs="宋体"/>
                <w:szCs w:val="21"/>
                <w:highlight w:val="none"/>
              </w:rPr>
            </w:pPr>
          </w:p>
        </w:tc>
        <w:tc>
          <w:tcPr>
            <w:tcW w:w="2435" w:type="dxa"/>
            <w:noWrap w:val="0"/>
            <w:vAlign w:val="center"/>
          </w:tcPr>
          <w:p w14:paraId="6204EE99">
            <w:pPr>
              <w:adjustRightInd w:val="0"/>
              <w:snapToGrid w:val="0"/>
              <w:spacing w:line="440" w:lineRule="exact"/>
              <w:rPr>
                <w:rFonts w:ascii="宋体" w:hAnsi="宋体" w:cs="宋体"/>
                <w:szCs w:val="21"/>
                <w:highlight w:val="none"/>
              </w:rPr>
            </w:pPr>
          </w:p>
        </w:tc>
        <w:tc>
          <w:tcPr>
            <w:tcW w:w="1364" w:type="dxa"/>
            <w:noWrap w:val="0"/>
            <w:vAlign w:val="center"/>
          </w:tcPr>
          <w:p w14:paraId="797D1F8D">
            <w:pPr>
              <w:adjustRightInd w:val="0"/>
              <w:snapToGrid w:val="0"/>
              <w:spacing w:line="440" w:lineRule="exact"/>
              <w:rPr>
                <w:rFonts w:ascii="宋体" w:hAnsi="宋体" w:cs="宋体"/>
                <w:szCs w:val="21"/>
                <w:highlight w:val="none"/>
              </w:rPr>
            </w:pPr>
          </w:p>
        </w:tc>
      </w:tr>
    </w:tbl>
    <w:p w14:paraId="5E90663C">
      <w:pPr>
        <w:spacing w:line="360" w:lineRule="exact"/>
        <w:ind w:firstLine="315" w:firstLineChars="150"/>
        <w:rPr>
          <w:rFonts w:ascii="宋体" w:hAnsi="宋体"/>
          <w:b/>
          <w:bCs/>
          <w:szCs w:val="21"/>
          <w:highlight w:val="none"/>
        </w:rPr>
      </w:pPr>
      <w:r>
        <w:rPr>
          <w:rFonts w:hint="eastAsia" w:ascii="宋体" w:hAnsi="宋体"/>
          <w:szCs w:val="21"/>
          <w:highlight w:val="none"/>
        </w:rPr>
        <w:t>注</w:t>
      </w:r>
      <w:r>
        <w:rPr>
          <w:rFonts w:ascii="宋体" w:hAnsi="宋体"/>
          <w:szCs w:val="21"/>
          <w:highlight w:val="none"/>
        </w:rPr>
        <w:t>：</w:t>
      </w:r>
    </w:p>
    <w:p w14:paraId="52A2970E">
      <w:pPr>
        <w:adjustRightInd w:val="0"/>
        <w:snapToGrid w:val="0"/>
        <w:spacing w:line="440" w:lineRule="exact"/>
        <w:ind w:firstLine="420" w:firstLineChars="200"/>
        <w:rPr>
          <w:rFonts w:hint="eastAsia" w:asciiTheme="minorEastAsia" w:hAnsiTheme="minorEastAsia" w:eastAsiaTheme="minorEastAsia"/>
          <w:highlight w:val="none"/>
        </w:rPr>
      </w:pPr>
      <w:r>
        <w:rPr>
          <w:rFonts w:hint="eastAsia" w:asciiTheme="minorEastAsia" w:hAnsiTheme="minorEastAsia" w:eastAsiaTheme="minorEastAsia"/>
          <w:highlight w:val="none"/>
          <w:lang w:val="en-US" w:eastAsia="zh-CN"/>
        </w:rPr>
        <w:t>1.</w:t>
      </w:r>
      <w:r>
        <w:rPr>
          <w:rFonts w:hint="eastAsia" w:asciiTheme="minorEastAsia" w:hAnsiTheme="minorEastAsia" w:eastAsiaTheme="minorEastAsia"/>
          <w:highlight w:val="none"/>
        </w:rPr>
        <w:t>如对</w:t>
      </w:r>
      <w:r>
        <w:rPr>
          <w:rFonts w:hint="eastAsia" w:cs="宋体" w:asciiTheme="minorEastAsia" w:hAnsiTheme="minorEastAsia" w:eastAsiaTheme="minorEastAsia"/>
          <w:szCs w:val="21"/>
          <w:highlight w:val="none"/>
        </w:rPr>
        <w:t>技术规范条款</w:t>
      </w:r>
      <w:r>
        <w:rPr>
          <w:rFonts w:hint="eastAsia" w:asciiTheme="minorEastAsia" w:hAnsiTheme="minorEastAsia" w:eastAsiaTheme="minorEastAsia"/>
          <w:highlight w:val="none"/>
        </w:rPr>
        <w:t>无任何偏离，投标人仅需在本偏离表中填写“无偏离”即可。当本表为空时，视为投标文件对技术条款全部满足，无偏离。</w:t>
      </w:r>
    </w:p>
    <w:p w14:paraId="741A3669">
      <w:pPr>
        <w:pStyle w:val="56"/>
        <w:keepNext w:val="0"/>
        <w:keepLines w:val="0"/>
        <w:pageBreakBefore w:val="0"/>
        <w:widowControl w:val="0"/>
        <w:numPr>
          <w:ilvl w:val="0"/>
          <w:numId w:val="0"/>
        </w:numPr>
        <w:kinsoku/>
        <w:wordWrap/>
        <w:overflowPunct/>
        <w:topLinePunct w:val="0"/>
        <w:autoSpaceDE/>
        <w:autoSpaceDN/>
        <w:bidi w:val="0"/>
        <w:adjustRightInd w:val="0"/>
        <w:snapToGrid w:val="0"/>
        <w:spacing w:line="440" w:lineRule="exact"/>
        <w:ind w:leftChars="0" w:firstLine="420" w:firstLineChars="200"/>
        <w:textAlignment w:val="auto"/>
        <w:rPr>
          <w:rFonts w:asciiTheme="minorEastAsia" w:hAnsiTheme="minorEastAsia" w:eastAsiaTheme="minorEastAsia"/>
          <w:highlight w:val="none"/>
        </w:rPr>
      </w:pPr>
      <w:r>
        <w:rPr>
          <w:rFonts w:hint="eastAsia" w:asciiTheme="minorEastAsia" w:hAnsiTheme="minorEastAsia" w:eastAsiaTheme="minorEastAsia"/>
          <w:highlight w:val="none"/>
          <w:lang w:val="en-US" w:eastAsia="zh-CN"/>
        </w:rPr>
        <w:t>2.</w:t>
      </w:r>
      <w:r>
        <w:rPr>
          <w:rFonts w:hint="eastAsia" w:asciiTheme="minorEastAsia" w:hAnsiTheme="minorEastAsia" w:eastAsiaTheme="minorEastAsia"/>
          <w:highlight w:val="none"/>
        </w:rPr>
        <w:t>如对</w:t>
      </w:r>
      <w:r>
        <w:rPr>
          <w:rFonts w:hint="eastAsia" w:cs="宋体" w:asciiTheme="minorEastAsia" w:hAnsiTheme="minorEastAsia" w:eastAsiaTheme="minorEastAsia"/>
          <w:szCs w:val="21"/>
          <w:highlight w:val="none"/>
        </w:rPr>
        <w:t>技术规范</w:t>
      </w:r>
      <w:r>
        <w:rPr>
          <w:rFonts w:hint="eastAsia" w:asciiTheme="minorEastAsia" w:hAnsiTheme="minorEastAsia" w:eastAsiaTheme="minorEastAsia"/>
          <w:highlight w:val="none"/>
        </w:rPr>
        <w:t>条款存在偏离，投标人需对</w:t>
      </w:r>
      <w:r>
        <w:rPr>
          <w:rFonts w:hint="eastAsia" w:cs="宋体" w:asciiTheme="minorEastAsia" w:hAnsiTheme="minorEastAsia" w:eastAsiaTheme="minorEastAsia"/>
          <w:szCs w:val="21"/>
          <w:highlight w:val="none"/>
        </w:rPr>
        <w:t>技术规范</w:t>
      </w:r>
      <w:r>
        <w:rPr>
          <w:rFonts w:hint="eastAsia" w:asciiTheme="minorEastAsia" w:hAnsiTheme="minorEastAsia" w:eastAsiaTheme="minorEastAsia"/>
          <w:highlight w:val="none"/>
        </w:rPr>
        <w:t>条款存在的偏离逐条做出说明。</w:t>
      </w:r>
    </w:p>
    <w:p w14:paraId="6D1FC266">
      <w:pPr>
        <w:adjustRightInd w:val="0"/>
        <w:snapToGrid w:val="0"/>
        <w:spacing w:line="440" w:lineRule="exact"/>
        <w:ind w:firstLine="420" w:firstLineChars="200"/>
        <w:rPr>
          <w:rFonts w:hint="eastAsia" w:asciiTheme="minorEastAsia" w:hAnsiTheme="minorEastAsia" w:eastAsiaTheme="minorEastAsia"/>
          <w:highlight w:val="none"/>
        </w:rPr>
      </w:pPr>
    </w:p>
    <w:p w14:paraId="5CD2F83B">
      <w:pPr>
        <w:spacing w:line="440" w:lineRule="exact"/>
        <w:ind w:firstLine="1134" w:firstLineChars="540"/>
        <w:jc w:val="right"/>
        <w:rPr>
          <w:rFonts w:hint="eastAsia" w:ascii="宋体" w:hAnsi="宋体"/>
          <w:szCs w:val="21"/>
          <w:highlight w:val="none"/>
        </w:rPr>
      </w:pPr>
    </w:p>
    <w:p w14:paraId="48DC62A2">
      <w:pPr>
        <w:spacing w:line="440" w:lineRule="exact"/>
        <w:ind w:firstLine="1134" w:firstLineChars="540"/>
        <w:jc w:val="center"/>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p>
    <w:p w14:paraId="30FB67FD">
      <w:pPr>
        <w:widowControl/>
        <w:tabs>
          <w:tab w:val="left" w:pos="3018"/>
          <w:tab w:val="left" w:pos="6260"/>
        </w:tabs>
        <w:ind w:firstLine="2692" w:firstLineChars="1282"/>
        <w:jc w:val="right"/>
        <w:rPr>
          <w:rFonts w:ascii="宋体" w:hAnsi="宋体" w:cs="Arial"/>
          <w:bCs/>
          <w:szCs w:val="21"/>
          <w:highlight w:val="none"/>
        </w:rPr>
      </w:pPr>
    </w:p>
    <w:p w14:paraId="3DAC2DA4">
      <w:pPr>
        <w:jc w:val="right"/>
        <w:rPr>
          <w:rFonts w:ascii="宋体" w:hAnsi="宋体"/>
          <w:highlight w:val="none"/>
        </w:rPr>
      </w:pPr>
      <w:r>
        <w:rPr>
          <w:rFonts w:hint="eastAsia" w:ascii="宋体" w:hAnsi="宋体" w:cs="Arial"/>
          <w:bCs/>
          <w:szCs w:val="21"/>
          <w:highlight w:val="none"/>
        </w:rPr>
        <w:t>日期：XX年 XX月XX日</w:t>
      </w:r>
    </w:p>
    <w:p w14:paraId="3ACE204A">
      <w:pPr>
        <w:rPr>
          <w:highlight w:val="none"/>
        </w:rPr>
      </w:pPr>
    </w:p>
    <w:p w14:paraId="08AFC3EB">
      <w:pPr>
        <w:rPr>
          <w:rFonts w:ascii="宋体" w:hAnsi="宋体"/>
          <w:highlight w:val="none"/>
        </w:rPr>
      </w:pPr>
    </w:p>
    <w:p w14:paraId="29FCA0E7">
      <w:pPr>
        <w:rPr>
          <w:rFonts w:ascii="宋体" w:hAnsi="宋体"/>
          <w:highlight w:val="none"/>
        </w:rPr>
      </w:pPr>
    </w:p>
    <w:p w14:paraId="5BC35FFB">
      <w:pPr>
        <w:rPr>
          <w:rFonts w:ascii="宋体" w:hAnsi="宋体"/>
          <w:highlight w:val="none"/>
        </w:rPr>
      </w:pPr>
    </w:p>
    <w:p w14:paraId="254C8CFD">
      <w:pPr>
        <w:rPr>
          <w:rFonts w:ascii="宋体" w:hAnsi="宋体"/>
          <w:highlight w:val="none"/>
        </w:rPr>
      </w:pPr>
    </w:p>
    <w:p w14:paraId="5B1FB3E3">
      <w:pPr>
        <w:pStyle w:val="32"/>
        <w:rPr>
          <w:highlight w:val="none"/>
        </w:rPr>
      </w:pPr>
    </w:p>
    <w:p w14:paraId="04AD6A4D">
      <w:pPr>
        <w:pStyle w:val="40"/>
        <w:numPr>
          <w:ilvl w:val="0"/>
          <w:numId w:val="0"/>
        </w:numPr>
        <w:tabs>
          <w:tab w:val="left" w:pos="588"/>
        </w:tabs>
        <w:snapToGrid w:val="0"/>
        <w:spacing w:before="120" w:after="120" w:line="440" w:lineRule="exact"/>
        <w:ind w:leftChars="0"/>
        <w:jc w:val="left"/>
        <w:rPr>
          <w:rFonts w:hint="eastAsia" w:ascii="宋体" w:hAnsi="宋体"/>
          <w:sz w:val="24"/>
          <w:szCs w:val="24"/>
          <w:highlight w:val="none"/>
          <w:lang w:val="en-US" w:eastAsia="zh-CN"/>
        </w:rPr>
        <w:sectPr>
          <w:pgSz w:w="11906" w:h="16838"/>
          <w:pgMar w:top="1418" w:right="1800" w:bottom="1440" w:left="1800" w:header="851" w:footer="992" w:gutter="0"/>
          <w:cols w:space="720" w:num="1"/>
          <w:docGrid w:type="lines" w:linePitch="312" w:charSpace="0"/>
        </w:sectPr>
      </w:pPr>
    </w:p>
    <w:p w14:paraId="0B66D061">
      <w:pPr>
        <w:pStyle w:val="40"/>
        <w:numPr>
          <w:ilvl w:val="0"/>
          <w:numId w:val="57"/>
        </w:numPr>
        <w:tabs>
          <w:tab w:val="left" w:pos="588"/>
        </w:tabs>
        <w:snapToGrid w:val="0"/>
        <w:spacing w:before="120" w:after="120" w:line="440" w:lineRule="exact"/>
        <w:jc w:val="left"/>
        <w:rPr>
          <w:highlight w:val="none"/>
        </w:rPr>
      </w:pPr>
      <w:bookmarkStart w:id="1166" w:name="_Toc32671"/>
      <w:r>
        <w:rPr>
          <w:rFonts w:hint="eastAsia" w:ascii="宋体" w:hAnsi="宋体" w:eastAsia="宋体"/>
          <w:sz w:val="24"/>
          <w:szCs w:val="24"/>
          <w:highlight w:val="none"/>
          <w:lang w:val="en-US" w:eastAsia="zh-CN"/>
        </w:rPr>
        <w:t>项目建议书</w:t>
      </w:r>
      <w:bookmarkEnd w:id="1166"/>
    </w:p>
    <w:p w14:paraId="55FC56E0">
      <w:pPr>
        <w:rPr>
          <w:rFonts w:hint="eastAsia" w:ascii="宋体" w:hAnsi="宋体"/>
          <w:highlight w:val="none"/>
        </w:rPr>
      </w:pPr>
      <w:r>
        <w:rPr>
          <w:rFonts w:hint="eastAsia" w:ascii="宋体" w:hAnsi="宋体"/>
          <w:highlight w:val="none"/>
        </w:rPr>
        <w:t>总体技术方案</w:t>
      </w:r>
    </w:p>
    <w:p w14:paraId="5307114A">
      <w:pPr>
        <w:rPr>
          <w:rFonts w:hint="eastAsia" w:ascii="宋体" w:hAnsi="宋体"/>
          <w:highlight w:val="none"/>
        </w:rPr>
      </w:pPr>
      <w:r>
        <w:rPr>
          <w:rFonts w:hint="eastAsia" w:ascii="宋体" w:hAnsi="宋体"/>
          <w:highlight w:val="none"/>
        </w:rPr>
        <w:t>服务支撑方案</w:t>
      </w:r>
    </w:p>
    <w:p w14:paraId="14DA63DB">
      <w:pPr>
        <w:rPr>
          <w:rFonts w:hint="eastAsia" w:ascii="宋体" w:hAnsi="宋体"/>
          <w:highlight w:val="none"/>
        </w:rPr>
      </w:pPr>
      <w:r>
        <w:rPr>
          <w:rFonts w:hint="eastAsia" w:ascii="宋体" w:hAnsi="宋体"/>
          <w:highlight w:val="none"/>
        </w:rPr>
        <w:t>两级数据质检重传</w:t>
      </w:r>
    </w:p>
    <w:p w14:paraId="4962F4D4">
      <w:pPr>
        <w:rPr>
          <w:rFonts w:hint="eastAsia" w:ascii="宋体" w:hAnsi="宋体"/>
          <w:highlight w:val="none"/>
        </w:rPr>
      </w:pPr>
      <w:r>
        <w:rPr>
          <w:rFonts w:hint="eastAsia" w:ascii="宋体" w:hAnsi="宋体"/>
          <w:highlight w:val="none"/>
        </w:rPr>
        <w:t>全场景统一指令库</w:t>
      </w:r>
    </w:p>
    <w:p w14:paraId="1A0FD023">
      <w:pPr>
        <w:rPr>
          <w:rFonts w:hint="eastAsia" w:ascii="宋体" w:hAnsi="宋体"/>
          <w:highlight w:val="none"/>
        </w:rPr>
      </w:pPr>
      <w:r>
        <w:rPr>
          <w:rFonts w:hint="eastAsia" w:ascii="宋体" w:hAnsi="宋体"/>
          <w:highlight w:val="none"/>
        </w:rPr>
        <w:t>集约能力设计台</w:t>
      </w:r>
    </w:p>
    <w:p w14:paraId="00CEF5F9">
      <w:pPr>
        <w:rPr>
          <w:rFonts w:hint="eastAsia" w:ascii="宋体" w:hAnsi="宋体"/>
          <w:highlight w:val="none"/>
        </w:rPr>
      </w:pPr>
      <w:r>
        <w:rPr>
          <w:rFonts w:hint="eastAsia" w:ascii="宋体" w:hAnsi="宋体"/>
          <w:highlight w:val="none"/>
        </w:rPr>
        <w:t>网元孪生工作台</w:t>
      </w:r>
    </w:p>
    <w:p w14:paraId="73F29C2F">
      <w:pPr>
        <w:rPr>
          <w:rFonts w:hint="eastAsia" w:ascii="宋体" w:hAnsi="宋体"/>
          <w:highlight w:val="none"/>
        </w:rPr>
      </w:pPr>
      <w:r>
        <w:rPr>
          <w:rFonts w:hint="eastAsia" w:ascii="宋体" w:hAnsi="宋体"/>
          <w:highlight w:val="none"/>
        </w:rPr>
        <w:t>逻辑资源数据采集</w:t>
      </w:r>
    </w:p>
    <w:p w14:paraId="404852D7">
      <w:pPr>
        <w:rPr>
          <w:rFonts w:hint="eastAsia" w:ascii="宋体" w:hAnsi="宋体"/>
          <w:highlight w:val="none"/>
        </w:rPr>
      </w:pPr>
      <w:r>
        <w:rPr>
          <w:rFonts w:hint="eastAsia" w:ascii="宋体" w:hAnsi="宋体"/>
          <w:highlight w:val="none"/>
        </w:rPr>
        <w:t>网元生命周期管理</w:t>
      </w:r>
    </w:p>
    <w:p w14:paraId="19BE6156">
      <w:pPr>
        <w:rPr>
          <w:rFonts w:hint="eastAsia" w:ascii="宋体" w:hAnsi="宋体"/>
          <w:highlight w:val="none"/>
        </w:rPr>
      </w:pPr>
      <w:r>
        <w:rPr>
          <w:rFonts w:hint="eastAsia" w:ascii="宋体" w:hAnsi="宋体"/>
          <w:highlight w:val="none"/>
        </w:rPr>
        <w:t>系统运行监控提升</w:t>
      </w:r>
    </w:p>
    <w:p w14:paraId="2E603576">
      <w:pPr>
        <w:rPr>
          <w:rFonts w:hint="eastAsia" w:ascii="宋体" w:hAnsi="宋体"/>
          <w:highlight w:val="none"/>
        </w:rPr>
      </w:pPr>
      <w:r>
        <w:rPr>
          <w:rFonts w:hint="eastAsia" w:ascii="宋体" w:hAnsi="宋体"/>
          <w:highlight w:val="none"/>
        </w:rPr>
        <w:t>集团翼支付业务开通</w:t>
      </w:r>
    </w:p>
    <w:p w14:paraId="6B782B39">
      <w:pPr>
        <w:rPr>
          <w:rFonts w:hint="eastAsia" w:ascii="宋体" w:hAnsi="宋体"/>
          <w:highlight w:val="none"/>
        </w:rPr>
      </w:pPr>
      <w:r>
        <w:rPr>
          <w:rFonts w:hint="eastAsia" w:ascii="宋体" w:hAnsi="宋体"/>
          <w:highlight w:val="none"/>
        </w:rPr>
        <w:t>拟投入本项目团队</w:t>
      </w:r>
    </w:p>
    <w:p w14:paraId="7F327376">
      <w:pPr>
        <w:rPr>
          <w:rFonts w:hint="eastAsia" w:ascii="宋体" w:hAnsi="宋体"/>
          <w:highlight w:val="none"/>
        </w:rPr>
      </w:pPr>
      <w:r>
        <w:rPr>
          <w:rFonts w:hint="eastAsia" w:ascii="宋体" w:hAnsi="宋体"/>
          <w:highlight w:val="none"/>
        </w:rPr>
        <w:t>质量保障方案</w:t>
      </w:r>
    </w:p>
    <w:p w14:paraId="11E870D5">
      <w:pPr>
        <w:rPr>
          <w:rFonts w:hint="eastAsia" w:ascii="宋体" w:hAnsi="宋体"/>
          <w:highlight w:val="none"/>
        </w:rPr>
      </w:pPr>
      <w:r>
        <w:rPr>
          <w:rFonts w:hint="eastAsia" w:ascii="宋体" w:hAnsi="宋体"/>
          <w:highlight w:val="none"/>
        </w:rPr>
        <w:t>软件开发安全建议方案</w:t>
      </w:r>
    </w:p>
    <w:p w14:paraId="35544605">
      <w:pPr>
        <w:rPr>
          <w:rFonts w:hint="eastAsia" w:eastAsia="宋体"/>
          <w:highlight w:val="none"/>
          <w:lang w:eastAsia="zh-CN"/>
        </w:rPr>
      </w:pPr>
      <w:r>
        <w:rPr>
          <w:rFonts w:hint="eastAsia" w:ascii="宋体" w:hAnsi="宋体"/>
          <w:highlight w:val="none"/>
        </w:rPr>
        <w:t>工程进度</w:t>
      </w:r>
      <w:r>
        <w:rPr>
          <w:rFonts w:hint="eastAsia" w:ascii="宋体" w:hAnsi="宋体"/>
          <w:highlight w:val="none"/>
          <w:lang w:val="en-US" w:eastAsia="zh-CN"/>
        </w:rPr>
        <w:t>承诺</w:t>
      </w:r>
    </w:p>
    <w:p w14:paraId="595C9589">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67" w:name="_Toc38008102"/>
      <w:bookmarkStart w:id="1168" w:name="_Toc1106"/>
      <w:bookmarkStart w:id="1169" w:name="_Toc475472692"/>
      <w:r>
        <w:rPr>
          <w:rFonts w:hint="eastAsia" w:ascii="宋体" w:hAnsi="宋体"/>
          <w:sz w:val="24"/>
          <w:szCs w:val="24"/>
          <w:highlight w:val="none"/>
          <w:lang w:val="en-US" w:eastAsia="zh-CN"/>
        </w:rPr>
        <w:t>招标文件</w:t>
      </w:r>
      <w:r>
        <w:rPr>
          <w:rFonts w:hint="eastAsia" w:ascii="宋体" w:hAnsi="宋体"/>
          <w:sz w:val="24"/>
          <w:szCs w:val="24"/>
          <w:highlight w:val="none"/>
        </w:rPr>
        <w:t>中明确要求投标人提供的其他相关文件</w:t>
      </w:r>
      <w:bookmarkEnd w:id="1167"/>
      <w:bookmarkEnd w:id="1168"/>
      <w:bookmarkEnd w:id="1169"/>
    </w:p>
    <w:p w14:paraId="6F7186FC">
      <w:pPr>
        <w:rPr>
          <w:rFonts w:ascii="宋体" w:hAnsi="宋体"/>
          <w:highlight w:val="none"/>
        </w:rPr>
      </w:pPr>
    </w:p>
    <w:p w14:paraId="33DABA91">
      <w:pPr>
        <w:rPr>
          <w:rFonts w:ascii="宋体" w:hAnsi="宋体"/>
          <w:highlight w:val="none"/>
        </w:rPr>
      </w:pPr>
    </w:p>
    <w:p w14:paraId="37801A86">
      <w:pPr>
        <w:rPr>
          <w:rFonts w:ascii="宋体" w:hAnsi="宋体"/>
          <w:highlight w:val="none"/>
        </w:rPr>
      </w:pPr>
    </w:p>
    <w:p w14:paraId="2033C819">
      <w:pPr>
        <w:rPr>
          <w:rFonts w:ascii="宋体" w:hAnsi="宋体"/>
          <w:szCs w:val="21"/>
          <w:highlight w:val="none"/>
        </w:rPr>
      </w:pPr>
    </w:p>
    <w:p w14:paraId="58943604">
      <w:pPr>
        <w:ind w:left="424" w:hanging="424" w:hangingChars="202"/>
        <w:rPr>
          <w:rFonts w:ascii="宋体" w:hAnsi="宋体"/>
          <w:highlight w:val="none"/>
        </w:rPr>
        <w:sectPr>
          <w:pgSz w:w="11906" w:h="16838"/>
          <w:pgMar w:top="1440" w:right="1797" w:bottom="1440" w:left="1797" w:header="851" w:footer="992" w:gutter="0"/>
          <w:pgNumType w:fmt="decimal"/>
          <w:cols w:space="425" w:num="1"/>
          <w:docGrid w:type="lines" w:linePitch="312" w:charSpace="0"/>
        </w:sectPr>
      </w:pPr>
    </w:p>
    <w:p w14:paraId="680E8E0B">
      <w:pPr>
        <w:pStyle w:val="40"/>
        <w:tabs>
          <w:tab w:val="left" w:pos="588"/>
        </w:tabs>
        <w:snapToGrid w:val="0"/>
        <w:spacing w:before="120" w:after="120" w:line="440" w:lineRule="exact"/>
        <w:jc w:val="left"/>
        <w:rPr>
          <w:rFonts w:ascii="宋体" w:hAnsi="宋体"/>
          <w:sz w:val="24"/>
          <w:szCs w:val="24"/>
          <w:highlight w:val="none"/>
        </w:rPr>
      </w:pPr>
      <w:bookmarkStart w:id="1170" w:name="_Toc21796"/>
      <w:bookmarkStart w:id="1171" w:name="_Toc38008103"/>
      <w:bookmarkStart w:id="1172" w:name="_Toc475472693"/>
      <w:r>
        <w:rPr>
          <w:rFonts w:hint="eastAsia" w:ascii="宋体" w:hAnsi="宋体"/>
          <w:sz w:val="24"/>
          <w:szCs w:val="24"/>
          <w:highlight w:val="none"/>
        </w:rPr>
        <w:t>第三分册 报价文件</w:t>
      </w:r>
      <w:bookmarkEnd w:id="1170"/>
      <w:bookmarkEnd w:id="1171"/>
    </w:p>
    <w:p w14:paraId="33930E36">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73" w:name="_Toc32158"/>
      <w:bookmarkStart w:id="1174" w:name="_Toc38008104"/>
      <w:r>
        <w:rPr>
          <w:rFonts w:hint="eastAsia" w:ascii="宋体" w:hAnsi="宋体"/>
          <w:sz w:val="24"/>
          <w:szCs w:val="24"/>
          <w:highlight w:val="none"/>
        </w:rPr>
        <w:t>报价文件封面</w:t>
      </w:r>
      <w:bookmarkEnd w:id="1172"/>
      <w:bookmarkEnd w:id="1173"/>
      <w:bookmarkEnd w:id="1174"/>
    </w:p>
    <w:p w14:paraId="59DD8DB3">
      <w:pPr>
        <w:spacing w:after="120" w:line="360" w:lineRule="atLeast"/>
        <w:jc w:val="center"/>
        <w:rPr>
          <w:rFonts w:ascii="宋体" w:hAnsi="宋体" w:cs="宋体"/>
          <w:sz w:val="32"/>
          <w:szCs w:val="32"/>
          <w:highlight w:val="none"/>
          <w:u w:val="single"/>
        </w:rPr>
      </w:pPr>
    </w:p>
    <w:p w14:paraId="12639BD3">
      <w:pPr>
        <w:spacing w:after="120" w:line="360" w:lineRule="atLeast"/>
        <w:jc w:val="center"/>
        <w:rPr>
          <w:rFonts w:ascii="宋体" w:hAnsi="宋体" w:cs="宋体"/>
          <w:sz w:val="32"/>
          <w:szCs w:val="32"/>
          <w:highlight w:val="none"/>
          <w:u w:val="single"/>
        </w:rPr>
      </w:pPr>
    </w:p>
    <w:p w14:paraId="35ABA74C">
      <w:pPr>
        <w:spacing w:after="120" w:line="360" w:lineRule="atLeast"/>
        <w:jc w:val="center"/>
        <w:rPr>
          <w:rFonts w:ascii="宋体" w:hAnsi="宋体" w:cs="宋体"/>
          <w:b/>
          <w:sz w:val="30"/>
          <w:szCs w:val="30"/>
          <w:highlight w:val="none"/>
        </w:rPr>
      </w:pPr>
      <w:r>
        <w:rPr>
          <w:rFonts w:hint="eastAsia" w:ascii="宋体" w:hAnsi="宋体"/>
          <w:sz w:val="28"/>
          <w:szCs w:val="28"/>
          <w:highlight w:val="none"/>
        </w:rPr>
        <w:t>（项目名称）招标</w:t>
      </w:r>
    </w:p>
    <w:p w14:paraId="416CE8BE">
      <w:pPr>
        <w:jc w:val="center"/>
        <w:rPr>
          <w:rFonts w:ascii="宋体" w:hAnsi="宋体" w:cs="宋体"/>
          <w:sz w:val="28"/>
          <w:szCs w:val="28"/>
          <w:highlight w:val="none"/>
        </w:rPr>
      </w:pPr>
    </w:p>
    <w:p w14:paraId="32756891">
      <w:pPr>
        <w:jc w:val="center"/>
        <w:rPr>
          <w:rFonts w:ascii="宋体" w:hAnsi="宋体" w:cs="宋体"/>
          <w:szCs w:val="21"/>
          <w:highlight w:val="none"/>
        </w:rPr>
      </w:pPr>
    </w:p>
    <w:p w14:paraId="42BADCBF">
      <w:pPr>
        <w:jc w:val="center"/>
        <w:rPr>
          <w:rFonts w:ascii="宋体" w:hAnsi="宋体" w:cs="宋体"/>
          <w:szCs w:val="21"/>
          <w:highlight w:val="none"/>
        </w:rPr>
      </w:pPr>
    </w:p>
    <w:p w14:paraId="493A35FE">
      <w:pPr>
        <w:jc w:val="center"/>
        <w:rPr>
          <w:rFonts w:ascii="宋体" w:hAnsi="宋体" w:cs="宋体"/>
          <w:szCs w:val="21"/>
          <w:highlight w:val="none"/>
        </w:rPr>
      </w:pPr>
    </w:p>
    <w:p w14:paraId="7BA51352">
      <w:pPr>
        <w:spacing w:after="120"/>
        <w:jc w:val="center"/>
        <w:rPr>
          <w:rFonts w:ascii="宋体" w:hAnsi="宋体" w:cs="宋体"/>
          <w:b/>
          <w:sz w:val="36"/>
          <w:szCs w:val="36"/>
          <w:highlight w:val="none"/>
        </w:rPr>
      </w:pPr>
      <w:r>
        <w:rPr>
          <w:rFonts w:hint="eastAsia" w:ascii="宋体" w:hAnsi="宋体" w:cs="宋体"/>
          <w:b/>
          <w:sz w:val="36"/>
          <w:szCs w:val="36"/>
          <w:highlight w:val="none"/>
        </w:rPr>
        <w:t>投标文件【报价文件】部分</w:t>
      </w:r>
    </w:p>
    <w:p w14:paraId="3230D966">
      <w:pPr>
        <w:spacing w:after="120"/>
        <w:jc w:val="center"/>
        <w:rPr>
          <w:rFonts w:ascii="宋体" w:hAnsi="宋体" w:cs="宋体"/>
          <w:b/>
          <w:sz w:val="32"/>
          <w:szCs w:val="32"/>
          <w:highlight w:val="none"/>
        </w:rPr>
      </w:pPr>
    </w:p>
    <w:p w14:paraId="5E1DAFC5">
      <w:pPr>
        <w:spacing w:after="120"/>
        <w:jc w:val="center"/>
        <w:rPr>
          <w:rFonts w:ascii="宋体" w:hAnsi="宋体" w:cs="宋体"/>
          <w:b/>
          <w:sz w:val="32"/>
          <w:szCs w:val="32"/>
          <w:highlight w:val="none"/>
        </w:rPr>
      </w:pPr>
    </w:p>
    <w:p w14:paraId="3CEBFFCD">
      <w:pPr>
        <w:spacing w:after="120"/>
        <w:jc w:val="center"/>
        <w:rPr>
          <w:rFonts w:ascii="宋体" w:hAnsi="宋体" w:cs="宋体"/>
          <w:b/>
          <w:sz w:val="32"/>
          <w:szCs w:val="32"/>
          <w:highlight w:val="none"/>
        </w:rPr>
      </w:pPr>
    </w:p>
    <w:p w14:paraId="41E10130">
      <w:pPr>
        <w:spacing w:after="120"/>
        <w:jc w:val="center"/>
        <w:rPr>
          <w:rFonts w:ascii="宋体" w:hAnsi="宋体" w:cs="宋体"/>
          <w:b/>
          <w:sz w:val="32"/>
          <w:szCs w:val="32"/>
          <w:highlight w:val="none"/>
        </w:rPr>
      </w:pPr>
    </w:p>
    <w:p w14:paraId="57FB3A8B">
      <w:pPr>
        <w:spacing w:after="120"/>
        <w:jc w:val="center"/>
        <w:rPr>
          <w:rFonts w:ascii="宋体" w:hAnsi="宋体" w:cs="宋体"/>
          <w:b/>
          <w:sz w:val="32"/>
          <w:szCs w:val="32"/>
          <w:highlight w:val="none"/>
        </w:rPr>
      </w:pPr>
    </w:p>
    <w:p w14:paraId="29A0213E">
      <w:pPr>
        <w:spacing w:after="120"/>
        <w:jc w:val="center"/>
        <w:rPr>
          <w:rFonts w:ascii="宋体" w:hAnsi="宋体" w:cs="宋体"/>
          <w:b/>
          <w:sz w:val="32"/>
          <w:szCs w:val="32"/>
          <w:highlight w:val="none"/>
        </w:rPr>
      </w:pPr>
    </w:p>
    <w:p w14:paraId="64CB0782">
      <w:pPr>
        <w:spacing w:line="440" w:lineRule="exact"/>
        <w:ind w:firstLine="566" w:firstLineChars="236"/>
        <w:rPr>
          <w:rFonts w:ascii="宋体" w:hAnsi="宋体"/>
          <w:sz w:val="24"/>
          <w:szCs w:val="21"/>
          <w:highlight w:val="none"/>
        </w:rPr>
      </w:pPr>
      <w:r>
        <w:rPr>
          <w:rFonts w:hint="eastAsia" w:ascii="宋体" w:hAnsi="宋体"/>
          <w:sz w:val="24"/>
          <w:szCs w:val="21"/>
          <w:highlight w:val="none"/>
        </w:rPr>
        <w:t>投标人名称：</w:t>
      </w:r>
      <w:r>
        <w:rPr>
          <w:rFonts w:hint="eastAsia" w:ascii="宋体" w:hAnsi="宋体"/>
          <w:sz w:val="24"/>
          <w:szCs w:val="21"/>
          <w:highlight w:val="none"/>
          <w:u w:val="single"/>
        </w:rPr>
        <w:t>　　　　　　　　</w:t>
      </w:r>
    </w:p>
    <w:p w14:paraId="2990E959">
      <w:pPr>
        <w:spacing w:line="440" w:lineRule="exact"/>
        <w:ind w:firstLine="566" w:firstLineChars="236"/>
        <w:rPr>
          <w:rFonts w:ascii="宋体" w:hAnsi="宋体"/>
          <w:sz w:val="24"/>
          <w:szCs w:val="21"/>
          <w:highlight w:val="none"/>
        </w:rPr>
      </w:pPr>
    </w:p>
    <w:p w14:paraId="2F6CDA2C">
      <w:pPr>
        <w:adjustRightInd w:val="0"/>
        <w:snapToGrid w:val="0"/>
        <w:spacing w:after="120" w:line="440" w:lineRule="exact"/>
        <w:ind w:firstLine="1200" w:firstLineChars="500"/>
        <w:jc w:val="left"/>
        <w:rPr>
          <w:rFonts w:ascii="宋体" w:hAnsi="宋体" w:cs="宋体"/>
          <w:sz w:val="24"/>
          <w:highlight w:val="none"/>
        </w:rPr>
      </w:pPr>
    </w:p>
    <w:p w14:paraId="1831D91B">
      <w:pPr>
        <w:adjustRightInd w:val="0"/>
        <w:snapToGrid w:val="0"/>
        <w:spacing w:line="440" w:lineRule="exact"/>
        <w:jc w:val="center"/>
        <w:rPr>
          <w:rFonts w:ascii="宋体" w:hAnsi="宋体"/>
          <w:highlight w:val="none"/>
        </w:rPr>
      </w:pPr>
      <w:r>
        <w:rPr>
          <w:rFonts w:hint="eastAsia" w:ascii="宋体" w:hAnsi="宋体" w:cs="宋体"/>
          <w:i/>
          <w:iCs/>
          <w:sz w:val="24"/>
          <w:highlight w:val="none"/>
          <w:u w:val="single"/>
          <w:lang w:val="en-US" w:eastAsia="zh-CN"/>
        </w:rPr>
        <w:t xml:space="preserve">      </w:t>
      </w:r>
      <w:r>
        <w:rPr>
          <w:rFonts w:hint="eastAsia" w:ascii="宋体" w:hAnsi="宋体" w:cs="宋体"/>
          <w:sz w:val="24"/>
          <w:highlight w:val="none"/>
        </w:rPr>
        <w:t>年</w:t>
      </w:r>
      <w:r>
        <w:rPr>
          <w:rFonts w:hint="eastAsia" w:ascii="宋体" w:hAnsi="宋体" w:cs="宋体"/>
          <w:sz w:val="24"/>
          <w:highlight w:val="none"/>
          <w:u w:val="single"/>
          <w:lang w:val="en-US" w:eastAsia="zh-CN"/>
        </w:rPr>
        <w:t xml:space="preserve">    </w:t>
      </w:r>
      <w:r>
        <w:rPr>
          <w:rFonts w:hint="eastAsia" w:ascii="宋体" w:hAnsi="宋体" w:cs="宋体"/>
          <w:sz w:val="24"/>
          <w:highlight w:val="none"/>
        </w:rPr>
        <w:t>月</w:t>
      </w:r>
      <w:r>
        <w:rPr>
          <w:rFonts w:hint="eastAsia" w:ascii="宋体" w:hAnsi="宋体" w:cs="宋体"/>
          <w:sz w:val="24"/>
          <w:highlight w:val="none"/>
          <w:u w:val="single"/>
          <w:lang w:val="en-US" w:eastAsia="zh-CN"/>
        </w:rPr>
        <w:t xml:space="preserve">      </w:t>
      </w:r>
      <w:r>
        <w:rPr>
          <w:rFonts w:hint="eastAsia" w:ascii="宋体" w:hAnsi="宋体" w:cs="宋体"/>
          <w:sz w:val="24"/>
          <w:highlight w:val="none"/>
        </w:rPr>
        <w:t>日</w:t>
      </w:r>
    </w:p>
    <w:p w14:paraId="79A6FE23">
      <w:pPr>
        <w:pStyle w:val="40"/>
        <w:tabs>
          <w:tab w:val="left" w:pos="588"/>
        </w:tabs>
        <w:snapToGrid w:val="0"/>
        <w:spacing w:before="120" w:after="120" w:line="440" w:lineRule="exact"/>
        <w:ind w:left="425"/>
        <w:jc w:val="left"/>
        <w:outlineLvl w:val="9"/>
        <w:rPr>
          <w:rFonts w:ascii="宋体" w:hAnsi="宋体"/>
          <w:sz w:val="24"/>
          <w:szCs w:val="24"/>
          <w:highlight w:val="none"/>
        </w:rPr>
      </w:pPr>
    </w:p>
    <w:p w14:paraId="31AD50B9">
      <w:pPr>
        <w:pStyle w:val="40"/>
        <w:numPr>
          <w:ilvl w:val="0"/>
          <w:numId w:val="57"/>
        </w:numPr>
        <w:tabs>
          <w:tab w:val="left" w:pos="588"/>
        </w:tabs>
        <w:snapToGrid w:val="0"/>
        <w:spacing w:before="120" w:after="120" w:line="440" w:lineRule="exact"/>
        <w:jc w:val="left"/>
        <w:rPr>
          <w:rFonts w:ascii="宋体" w:hAnsi="宋体"/>
          <w:sz w:val="24"/>
          <w:szCs w:val="24"/>
          <w:highlight w:val="none"/>
        </w:rPr>
        <w:sectPr>
          <w:pgSz w:w="11906" w:h="16838"/>
          <w:pgMar w:top="1418" w:right="1800" w:bottom="1440" w:left="1800" w:header="851" w:footer="992" w:gutter="0"/>
          <w:pgNumType w:fmt="decimal"/>
          <w:cols w:space="720" w:num="1"/>
          <w:docGrid w:type="lines" w:linePitch="312" w:charSpace="0"/>
        </w:sectPr>
      </w:pPr>
      <w:bookmarkStart w:id="1175" w:name="_Toc447265349"/>
      <w:bookmarkStart w:id="1176" w:name="_Toc475472694"/>
      <w:bookmarkStart w:id="1177" w:name="_Toc447265635"/>
      <w:bookmarkStart w:id="1178" w:name="_Toc38008105"/>
    </w:p>
    <w:p w14:paraId="5956D514">
      <w:pPr>
        <w:pStyle w:val="40"/>
        <w:numPr>
          <w:ilvl w:val="0"/>
          <w:numId w:val="57"/>
        </w:numPr>
        <w:tabs>
          <w:tab w:val="left" w:pos="588"/>
        </w:tabs>
        <w:snapToGrid w:val="0"/>
        <w:spacing w:before="120" w:after="120" w:line="440" w:lineRule="exact"/>
        <w:jc w:val="left"/>
        <w:rPr>
          <w:rFonts w:ascii="宋体" w:hAnsi="宋体"/>
          <w:sz w:val="24"/>
          <w:szCs w:val="24"/>
          <w:highlight w:val="none"/>
        </w:rPr>
      </w:pPr>
      <w:bookmarkStart w:id="1179" w:name="_Toc32028"/>
      <w:r>
        <w:rPr>
          <w:rFonts w:hint="eastAsia" w:ascii="宋体" w:hAnsi="宋体"/>
          <w:sz w:val="24"/>
          <w:szCs w:val="24"/>
          <w:highlight w:val="none"/>
        </w:rPr>
        <w:t>投标一览表</w:t>
      </w:r>
      <w:bookmarkEnd w:id="1175"/>
      <w:bookmarkEnd w:id="1176"/>
      <w:bookmarkEnd w:id="1177"/>
      <w:bookmarkEnd w:id="1178"/>
      <w:bookmarkEnd w:id="1179"/>
    </w:p>
    <w:p w14:paraId="2FA9A77B">
      <w:pPr>
        <w:jc w:val="center"/>
        <w:rPr>
          <w:rFonts w:ascii="宋体" w:hAnsi="宋体" w:cs="宋体"/>
          <w:b/>
          <w:sz w:val="24"/>
          <w:highlight w:val="none"/>
        </w:rPr>
      </w:pPr>
      <w:r>
        <w:rPr>
          <w:rFonts w:hint="eastAsia" w:ascii="宋体" w:hAnsi="宋体" w:cs="宋体"/>
          <w:b/>
          <w:sz w:val="24"/>
          <w:highlight w:val="none"/>
        </w:rPr>
        <w:t>投标一览表</w:t>
      </w:r>
    </w:p>
    <w:p w14:paraId="4B888656">
      <w:pPr>
        <w:widowControl/>
        <w:rPr>
          <w:rFonts w:ascii="宋体" w:hAnsi="宋体" w:cs="宋体"/>
          <w:szCs w:val="21"/>
          <w:highlight w:val="none"/>
        </w:rPr>
      </w:pPr>
    </w:p>
    <w:p w14:paraId="69DBB7C9">
      <w:pPr>
        <w:snapToGrid w:val="0"/>
        <w:spacing w:line="440" w:lineRule="exact"/>
        <w:rPr>
          <w:rFonts w:hint="eastAsia" w:ascii="宋体" w:hAnsi="宋体" w:cs="宋体"/>
          <w:szCs w:val="21"/>
          <w:highlight w:val="none"/>
          <w:u w:val="single"/>
          <w:lang w:val="en-US" w:eastAsia="zh-CN"/>
        </w:rPr>
      </w:pPr>
      <w:bookmarkStart w:id="1180" w:name="_Toc475472695"/>
      <w:bookmarkStart w:id="1181" w:name="_Toc38008106"/>
      <w:r>
        <w:rPr>
          <w:rFonts w:hint="eastAsia" w:ascii="宋体" w:hAnsi="宋体" w:cs="宋体"/>
          <w:szCs w:val="21"/>
          <w:highlight w:val="none"/>
        </w:rPr>
        <w:t>项目</w:t>
      </w:r>
      <w:r>
        <w:rPr>
          <w:rFonts w:ascii="宋体" w:hAnsi="宋体" w:cs="宋体"/>
          <w:szCs w:val="21"/>
          <w:highlight w:val="none"/>
        </w:rPr>
        <w:t>名称：</w:t>
      </w:r>
      <w:r>
        <w:rPr>
          <w:rFonts w:ascii="宋体" w:hAnsi="宋体" w:cs="宋体"/>
          <w:szCs w:val="21"/>
          <w:highlight w:val="none"/>
          <w:u w:val="single"/>
        </w:rPr>
        <w:t xml:space="preserve">       </w:t>
      </w:r>
      <w:r>
        <w:rPr>
          <w:rFonts w:hint="eastAsia" w:ascii="宋体" w:hAnsi="宋体" w:cs="宋体"/>
          <w:szCs w:val="21"/>
          <w:highlight w:val="none"/>
          <w:u w:val="single"/>
          <w:lang w:val="en-US" w:eastAsia="zh-CN"/>
        </w:rPr>
        <w:t xml:space="preserve">   </w:t>
      </w:r>
    </w:p>
    <w:p w14:paraId="15E19769">
      <w:pPr>
        <w:snapToGrid w:val="0"/>
        <w:spacing w:line="440" w:lineRule="exact"/>
        <w:rPr>
          <w:rFonts w:ascii="宋体" w:hAnsi="宋体" w:cs="宋体"/>
          <w:szCs w:val="21"/>
          <w:highlight w:val="none"/>
          <w:u w:val="single"/>
        </w:rPr>
      </w:pPr>
      <w:r>
        <w:rPr>
          <w:rFonts w:ascii="宋体" w:hAnsi="宋体" w:cs="宋体"/>
          <w:szCs w:val="21"/>
          <w:highlight w:val="none"/>
        </w:rPr>
        <w:t>招标编号：</w:t>
      </w:r>
      <w:r>
        <w:rPr>
          <w:rFonts w:ascii="宋体" w:hAnsi="宋体" w:cs="宋体"/>
          <w:szCs w:val="21"/>
          <w:highlight w:val="none"/>
          <w:u w:val="single"/>
        </w:rPr>
        <w:t xml:space="preserve">          </w:t>
      </w:r>
    </w:p>
    <w:p w14:paraId="373D459B">
      <w:pPr>
        <w:snapToGrid w:val="0"/>
        <w:spacing w:line="440" w:lineRule="exact"/>
        <w:rPr>
          <w:rFonts w:ascii="宋体" w:hAnsi="宋体" w:cs="宋体"/>
          <w:szCs w:val="21"/>
          <w:highlight w:val="none"/>
        </w:rPr>
      </w:pPr>
      <w:r>
        <w:rPr>
          <w:rFonts w:hint="eastAsia" w:ascii="宋体" w:hAnsi="宋体" w:cs="宋体"/>
          <w:szCs w:val="21"/>
          <w:highlight w:val="none"/>
        </w:rPr>
        <w:t>货币单位：元人民币</w:t>
      </w:r>
    </w:p>
    <w:tbl>
      <w:tblPr>
        <w:tblStyle w:val="42"/>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1"/>
        <w:gridCol w:w="1827"/>
        <w:gridCol w:w="1371"/>
        <w:gridCol w:w="1981"/>
      </w:tblGrid>
      <w:tr w14:paraId="7E77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jc w:val="center"/>
        </w:trPr>
        <w:tc>
          <w:tcPr>
            <w:tcW w:w="3021" w:type="dxa"/>
            <w:vAlign w:val="center"/>
          </w:tcPr>
          <w:p w14:paraId="0875DB2B">
            <w:pPr>
              <w:snapToGrid w:val="0"/>
              <w:spacing w:line="440" w:lineRule="exact"/>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投标人名称</w:t>
            </w:r>
          </w:p>
        </w:tc>
        <w:tc>
          <w:tcPr>
            <w:tcW w:w="1827" w:type="dxa"/>
            <w:vAlign w:val="center"/>
          </w:tcPr>
          <w:p w14:paraId="3C9877F9">
            <w:pPr>
              <w:snapToGrid w:val="0"/>
              <w:spacing w:line="440" w:lineRule="exact"/>
              <w:jc w:val="center"/>
              <w:rPr>
                <w:rFonts w:asciiTheme="minorEastAsia" w:hAnsiTheme="minorEastAsia" w:eastAsiaTheme="minorEastAsia"/>
                <w:bCs/>
                <w:szCs w:val="21"/>
                <w:highlight w:val="none"/>
              </w:rPr>
            </w:pPr>
            <w:r>
              <w:rPr>
                <w:rFonts w:hint="eastAsia" w:ascii="宋体" w:hAnsi="宋体" w:cs="宋体"/>
                <w:szCs w:val="21"/>
                <w:highlight w:val="none"/>
              </w:rPr>
              <w:t>不含税</w:t>
            </w:r>
            <w:r>
              <w:rPr>
                <w:rFonts w:hint="eastAsia" w:ascii="宋体" w:hAnsi="宋体" w:cs="宋体"/>
                <w:szCs w:val="21"/>
                <w:highlight w:val="none"/>
                <w:lang w:val="en-US" w:eastAsia="zh-CN"/>
              </w:rPr>
              <w:t>报</w:t>
            </w:r>
            <w:r>
              <w:rPr>
                <w:rFonts w:hint="eastAsia" w:ascii="宋体" w:hAnsi="宋体" w:cs="宋体"/>
                <w:szCs w:val="21"/>
                <w:highlight w:val="none"/>
              </w:rPr>
              <w:t>价（元）①</w:t>
            </w:r>
          </w:p>
        </w:tc>
        <w:tc>
          <w:tcPr>
            <w:tcW w:w="1371" w:type="dxa"/>
            <w:vAlign w:val="center"/>
          </w:tcPr>
          <w:p w14:paraId="1F727537">
            <w:pPr>
              <w:snapToGrid w:val="0"/>
              <w:spacing w:line="240" w:lineRule="auto"/>
              <w:jc w:val="center"/>
              <w:rPr>
                <w:rFonts w:ascii="宋体" w:hAnsi="宋体" w:cs="宋体"/>
                <w:szCs w:val="21"/>
                <w:highlight w:val="none"/>
              </w:rPr>
            </w:pPr>
            <w:r>
              <w:rPr>
                <w:rFonts w:hint="eastAsia" w:ascii="宋体" w:hAnsi="宋体" w:cs="宋体"/>
                <w:szCs w:val="21"/>
                <w:highlight w:val="none"/>
              </w:rPr>
              <w:t>增值税税率（%）</w:t>
            </w:r>
          </w:p>
          <w:p w14:paraId="45EE1CA1">
            <w:pPr>
              <w:snapToGrid w:val="0"/>
              <w:spacing w:line="240" w:lineRule="auto"/>
              <w:jc w:val="center"/>
              <w:rPr>
                <w:rFonts w:asciiTheme="minorEastAsia" w:hAnsiTheme="minorEastAsia" w:eastAsiaTheme="minorEastAsia"/>
                <w:bCs/>
                <w:szCs w:val="21"/>
                <w:highlight w:val="none"/>
              </w:rPr>
            </w:pPr>
            <w:r>
              <w:rPr>
                <w:rFonts w:hint="eastAsia" w:ascii="宋体" w:hAnsi="宋体" w:cs="宋体"/>
                <w:szCs w:val="21"/>
                <w:highlight w:val="none"/>
              </w:rPr>
              <w:t>②</w:t>
            </w:r>
          </w:p>
        </w:tc>
        <w:tc>
          <w:tcPr>
            <w:tcW w:w="1981" w:type="dxa"/>
            <w:vAlign w:val="top"/>
          </w:tcPr>
          <w:p w14:paraId="6E711918">
            <w:pPr>
              <w:snapToGrid w:val="0"/>
              <w:spacing w:line="440" w:lineRule="exact"/>
              <w:jc w:val="center"/>
              <w:rPr>
                <w:rFonts w:ascii="宋体" w:hAnsi="宋体" w:cs="宋体"/>
                <w:szCs w:val="21"/>
                <w:highlight w:val="none"/>
              </w:rPr>
            </w:pPr>
            <w:r>
              <w:rPr>
                <w:rFonts w:hint="eastAsia" w:ascii="宋体" w:hAnsi="宋体" w:cs="宋体"/>
                <w:szCs w:val="21"/>
                <w:highlight w:val="none"/>
              </w:rPr>
              <w:t>含税</w:t>
            </w:r>
            <w:r>
              <w:rPr>
                <w:rFonts w:hint="eastAsia" w:ascii="宋体" w:hAnsi="宋体" w:cs="宋体"/>
                <w:szCs w:val="21"/>
                <w:highlight w:val="none"/>
                <w:lang w:val="en-US" w:eastAsia="zh-CN"/>
              </w:rPr>
              <w:t>报</w:t>
            </w:r>
            <w:r>
              <w:rPr>
                <w:rFonts w:hint="eastAsia" w:ascii="宋体" w:hAnsi="宋体" w:cs="宋体"/>
                <w:szCs w:val="21"/>
                <w:highlight w:val="none"/>
              </w:rPr>
              <w:t>价（元）</w:t>
            </w:r>
          </w:p>
          <w:p w14:paraId="6702AC1E">
            <w:pPr>
              <w:pStyle w:val="56"/>
              <w:numPr>
                <w:ilvl w:val="0"/>
                <w:numId w:val="67"/>
              </w:numPr>
              <w:snapToGrid w:val="0"/>
              <w:spacing w:line="440" w:lineRule="exact"/>
              <w:ind w:left="360" w:leftChars="0" w:hanging="360" w:firstLineChars="0"/>
              <w:jc w:val="center"/>
              <w:rPr>
                <w:rFonts w:asciiTheme="minorEastAsia" w:hAnsiTheme="minorEastAsia" w:eastAsiaTheme="minorEastAsia"/>
                <w:bCs/>
                <w:szCs w:val="21"/>
                <w:highlight w:val="none"/>
              </w:rPr>
            </w:pPr>
            <w:r>
              <w:rPr>
                <w:rFonts w:hint="eastAsia" w:ascii="宋体" w:hAnsi="宋体" w:cs="宋体"/>
                <w:szCs w:val="21"/>
                <w:highlight w:val="none"/>
              </w:rPr>
              <w:t>*（1+②）</w:t>
            </w:r>
          </w:p>
        </w:tc>
      </w:tr>
      <w:tr w14:paraId="04F8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0" w:hRule="atLeast"/>
          <w:jc w:val="center"/>
        </w:trPr>
        <w:tc>
          <w:tcPr>
            <w:tcW w:w="3021" w:type="dxa"/>
            <w:vAlign w:val="center"/>
          </w:tcPr>
          <w:p w14:paraId="3731317C">
            <w:pPr>
              <w:snapToGrid w:val="0"/>
              <w:spacing w:line="276" w:lineRule="auto"/>
              <w:rPr>
                <w:rFonts w:ascii="宋体" w:hAnsi="宋体" w:cs="宋体"/>
                <w:szCs w:val="21"/>
                <w:highlight w:val="none"/>
              </w:rPr>
            </w:pPr>
          </w:p>
        </w:tc>
        <w:tc>
          <w:tcPr>
            <w:tcW w:w="1827" w:type="dxa"/>
            <w:vAlign w:val="center"/>
          </w:tcPr>
          <w:p w14:paraId="05E469CD">
            <w:pPr>
              <w:jc w:val="center"/>
              <w:rPr>
                <w:rFonts w:asciiTheme="minorEastAsia" w:hAnsiTheme="minorEastAsia" w:eastAsiaTheme="minorEastAsia"/>
                <w:bCs/>
                <w:szCs w:val="21"/>
                <w:highlight w:val="none"/>
              </w:rPr>
            </w:pPr>
          </w:p>
        </w:tc>
        <w:tc>
          <w:tcPr>
            <w:tcW w:w="1371" w:type="dxa"/>
            <w:vAlign w:val="center"/>
          </w:tcPr>
          <w:p w14:paraId="62FC6460">
            <w:pPr>
              <w:jc w:val="center"/>
              <w:rPr>
                <w:rFonts w:asciiTheme="minorEastAsia" w:hAnsiTheme="minorEastAsia" w:eastAsiaTheme="minorEastAsia"/>
                <w:bCs/>
                <w:szCs w:val="21"/>
                <w:highlight w:val="none"/>
              </w:rPr>
            </w:pPr>
          </w:p>
        </w:tc>
        <w:tc>
          <w:tcPr>
            <w:tcW w:w="1981" w:type="dxa"/>
            <w:vAlign w:val="center"/>
          </w:tcPr>
          <w:p w14:paraId="53BD5185">
            <w:pPr>
              <w:jc w:val="center"/>
              <w:rPr>
                <w:rFonts w:asciiTheme="minorEastAsia" w:hAnsiTheme="minorEastAsia" w:eastAsiaTheme="minorEastAsia"/>
                <w:bCs/>
                <w:szCs w:val="21"/>
                <w:highlight w:val="none"/>
              </w:rPr>
            </w:pPr>
          </w:p>
        </w:tc>
      </w:tr>
    </w:tbl>
    <w:p w14:paraId="6C84F3D4">
      <w:pPr>
        <w:spacing w:line="440" w:lineRule="exact"/>
        <w:ind w:firstLine="0" w:firstLineChars="0"/>
        <w:jc w:val="left"/>
        <w:rPr>
          <w:rFonts w:hint="eastAsia" w:ascii="宋体" w:hAnsi="宋体" w:cs="宋体"/>
          <w:sz w:val="20"/>
          <w:szCs w:val="20"/>
          <w:highlight w:val="none"/>
        </w:rPr>
      </w:pPr>
      <w:r>
        <w:rPr>
          <w:rFonts w:hint="eastAsia" w:ascii="宋体" w:hAnsi="宋体" w:cs="宋体"/>
          <w:sz w:val="20"/>
          <w:szCs w:val="20"/>
          <w:highlight w:val="none"/>
        </w:rPr>
        <w:t>注：</w:t>
      </w:r>
    </w:p>
    <w:p w14:paraId="5738AC55">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rPr>
        <w:t>1、报价须包含完成采购人要求的与本项目工作相关的所产生的费用；</w:t>
      </w:r>
    </w:p>
    <w:p w14:paraId="7E8760F1">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rPr>
        <w:t>2、</w:t>
      </w:r>
      <w:r>
        <w:rPr>
          <w:rFonts w:hint="eastAsia" w:ascii="宋体" w:hAnsi="宋体" w:cs="宋体"/>
          <w:sz w:val="20"/>
          <w:szCs w:val="20"/>
          <w:highlight w:val="none"/>
          <w:lang w:eastAsia="zh-CN"/>
        </w:rPr>
        <w:t>投标</w:t>
      </w:r>
      <w:r>
        <w:rPr>
          <w:rFonts w:hint="eastAsia" w:ascii="宋体" w:hAnsi="宋体" w:cs="宋体"/>
          <w:sz w:val="20"/>
          <w:szCs w:val="20"/>
          <w:highlight w:val="none"/>
        </w:rPr>
        <w:t>人</w:t>
      </w:r>
      <w:r>
        <w:rPr>
          <w:rFonts w:hint="eastAsia" w:ascii="宋体" w:hAnsi="宋体" w:cs="宋体"/>
          <w:sz w:val="20"/>
          <w:szCs w:val="20"/>
          <w:highlight w:val="none"/>
          <w:lang w:eastAsia="zh-CN"/>
        </w:rPr>
        <w:t>投标</w:t>
      </w:r>
      <w:r>
        <w:rPr>
          <w:rFonts w:hint="eastAsia" w:ascii="宋体" w:hAnsi="宋体" w:cs="宋体"/>
          <w:sz w:val="20"/>
          <w:szCs w:val="20"/>
          <w:highlight w:val="none"/>
        </w:rPr>
        <w:t>报价一律以人民币报价，不含税总报价、含税总报价四舍五入保留2位小数；</w:t>
      </w:r>
    </w:p>
    <w:p w14:paraId="0B03A06E">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rPr>
        <w:t>3、根据国家营改增工作要求，本次采购一般纳税人的增值税税率应为“6%”，如</w:t>
      </w:r>
      <w:r>
        <w:rPr>
          <w:rFonts w:hint="eastAsia" w:ascii="宋体" w:hAnsi="宋体" w:cs="宋体"/>
          <w:sz w:val="20"/>
          <w:szCs w:val="20"/>
          <w:highlight w:val="none"/>
          <w:lang w:eastAsia="zh-CN"/>
        </w:rPr>
        <w:t>投标</w:t>
      </w:r>
      <w:r>
        <w:rPr>
          <w:rFonts w:hint="eastAsia" w:ascii="宋体" w:hAnsi="宋体" w:cs="宋体"/>
          <w:sz w:val="20"/>
          <w:szCs w:val="20"/>
          <w:highlight w:val="none"/>
        </w:rPr>
        <w:t>人填报的税率为3%的应为“小规模纳税人”；</w:t>
      </w:r>
    </w:p>
    <w:p w14:paraId="76EDB8F0">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rPr>
        <w:t>4、</w:t>
      </w:r>
      <w:r>
        <w:rPr>
          <w:rFonts w:hint="eastAsia" w:ascii="宋体" w:hAnsi="宋体" w:cs="宋体"/>
          <w:sz w:val="20"/>
          <w:szCs w:val="20"/>
          <w:highlight w:val="none"/>
          <w:lang w:eastAsia="zh-CN"/>
        </w:rPr>
        <w:t>投标</w:t>
      </w:r>
      <w:r>
        <w:rPr>
          <w:rFonts w:hint="eastAsia" w:ascii="宋体" w:hAnsi="宋体" w:cs="宋体"/>
          <w:sz w:val="20"/>
          <w:szCs w:val="20"/>
          <w:highlight w:val="none"/>
        </w:rPr>
        <w:t>人必须按报价要求和规定格式填写此表，不得自行修改、缺省或删减</w:t>
      </w:r>
      <w:r>
        <w:rPr>
          <w:rFonts w:hint="eastAsia" w:ascii="宋体" w:hAnsi="宋体" w:cs="宋体"/>
          <w:sz w:val="20"/>
          <w:szCs w:val="20"/>
          <w:highlight w:val="none"/>
          <w:lang w:eastAsia="zh-CN"/>
        </w:rPr>
        <w:t>投标</w:t>
      </w:r>
      <w:r>
        <w:rPr>
          <w:rFonts w:hint="eastAsia" w:ascii="宋体" w:hAnsi="宋体" w:cs="宋体"/>
          <w:sz w:val="20"/>
          <w:szCs w:val="20"/>
          <w:highlight w:val="none"/>
        </w:rPr>
        <w:t>一览表、分项报价表中(如有)的内容及格式，否则按无效</w:t>
      </w:r>
      <w:r>
        <w:rPr>
          <w:rFonts w:hint="eastAsia" w:ascii="宋体" w:hAnsi="宋体" w:cs="宋体"/>
          <w:sz w:val="20"/>
          <w:szCs w:val="20"/>
          <w:highlight w:val="none"/>
          <w:lang w:eastAsia="zh-CN"/>
        </w:rPr>
        <w:t>投标</w:t>
      </w:r>
      <w:r>
        <w:rPr>
          <w:rFonts w:hint="eastAsia" w:ascii="宋体" w:hAnsi="宋体" w:cs="宋体"/>
          <w:sz w:val="20"/>
          <w:szCs w:val="20"/>
          <w:highlight w:val="none"/>
        </w:rPr>
        <w:t>处理。</w:t>
      </w:r>
    </w:p>
    <w:p w14:paraId="50572EA4">
      <w:pPr>
        <w:keepNext w:val="0"/>
        <w:keepLines w:val="0"/>
        <w:pageBreakBefore w:val="0"/>
        <w:widowControl w:val="0"/>
        <w:kinsoku/>
        <w:wordWrap/>
        <w:overflowPunct/>
        <w:topLinePunct w:val="0"/>
        <w:autoSpaceDE/>
        <w:autoSpaceDN/>
        <w:bidi w:val="0"/>
        <w:adjustRightInd/>
        <w:snapToGrid/>
        <w:spacing w:line="240" w:lineRule="exact"/>
        <w:ind w:firstLine="0" w:firstLineChars="0"/>
        <w:jc w:val="left"/>
        <w:textAlignment w:val="auto"/>
        <w:rPr>
          <w:rFonts w:hint="eastAsia" w:ascii="宋体" w:hAnsi="宋体" w:eastAsia="宋体" w:cs="宋体"/>
          <w:b/>
          <w:bCs/>
          <w:sz w:val="20"/>
          <w:szCs w:val="20"/>
          <w:highlight w:val="none"/>
          <w:lang w:eastAsia="zh-CN"/>
        </w:rPr>
      </w:pPr>
      <w:r>
        <w:rPr>
          <w:rFonts w:hint="eastAsia" w:ascii="宋体" w:hAnsi="宋体" w:cs="宋体"/>
          <w:sz w:val="20"/>
          <w:szCs w:val="20"/>
          <w:highlight w:val="none"/>
          <w:lang w:val="en-US" w:eastAsia="zh-CN"/>
        </w:rPr>
        <w:t>5</w:t>
      </w:r>
      <w:r>
        <w:rPr>
          <w:rFonts w:hint="eastAsia" w:ascii="宋体" w:hAnsi="宋体" w:cs="宋体"/>
          <w:sz w:val="20"/>
          <w:szCs w:val="20"/>
          <w:highlight w:val="none"/>
        </w:rPr>
        <w:t>、★</w:t>
      </w:r>
      <w:r>
        <w:rPr>
          <w:rFonts w:hint="eastAsia" w:ascii="宋体" w:hAnsi="宋体" w:cs="宋体"/>
          <w:b/>
          <w:bCs/>
          <w:sz w:val="20"/>
          <w:szCs w:val="20"/>
          <w:highlight w:val="none"/>
        </w:rPr>
        <w:t>本项目设置最高投标限价，最高投标不含税报价限价为</w:t>
      </w:r>
      <w:r>
        <w:rPr>
          <w:rFonts w:hint="eastAsia" w:ascii="宋体" w:hAnsi="宋体" w:cs="宋体"/>
          <w:b/>
          <w:bCs/>
          <w:sz w:val="20"/>
          <w:szCs w:val="20"/>
          <w:highlight w:val="none"/>
          <w:lang w:val="en-US" w:eastAsia="zh-CN"/>
        </w:rPr>
        <w:t>405.68</w:t>
      </w:r>
      <w:r>
        <w:rPr>
          <w:rFonts w:hint="eastAsia" w:ascii="宋体" w:hAnsi="宋体" w:cs="宋体"/>
          <w:b/>
          <w:bCs/>
          <w:sz w:val="20"/>
          <w:szCs w:val="20"/>
          <w:highlight w:val="none"/>
        </w:rPr>
        <w:t>万元，超过最高限价的投标文件将被予以否决</w:t>
      </w:r>
      <w:r>
        <w:rPr>
          <w:rFonts w:hint="eastAsia" w:ascii="宋体" w:hAnsi="宋体" w:cs="宋体"/>
          <w:b/>
          <w:bCs/>
          <w:sz w:val="20"/>
          <w:szCs w:val="20"/>
          <w:highlight w:val="none"/>
          <w:lang w:eastAsia="zh-CN"/>
        </w:rPr>
        <w:t>。</w:t>
      </w:r>
    </w:p>
    <w:p w14:paraId="42014CA7">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lang w:val="en-US" w:eastAsia="zh-CN"/>
        </w:rPr>
        <w:t>6</w:t>
      </w:r>
      <w:r>
        <w:rPr>
          <w:rFonts w:hint="eastAsia" w:ascii="宋体" w:hAnsi="宋体" w:cs="宋体"/>
          <w:sz w:val="20"/>
          <w:szCs w:val="20"/>
          <w:highlight w:val="none"/>
        </w:rPr>
        <w:t>、含税报价金额与根据不含税报价计算出的结果不一致的，以不含税报价金额为准修正含税报价；</w:t>
      </w:r>
    </w:p>
    <w:p w14:paraId="43C16759">
      <w:pPr>
        <w:spacing w:line="240" w:lineRule="auto"/>
        <w:ind w:firstLine="0" w:firstLineChars="0"/>
        <w:jc w:val="left"/>
        <w:rPr>
          <w:rFonts w:hint="eastAsia" w:ascii="宋体" w:hAnsi="宋体" w:cs="宋体"/>
          <w:sz w:val="20"/>
          <w:szCs w:val="20"/>
          <w:highlight w:val="none"/>
        </w:rPr>
      </w:pPr>
      <w:r>
        <w:rPr>
          <w:rFonts w:hint="eastAsia" w:ascii="宋体" w:hAnsi="宋体" w:cs="宋体"/>
          <w:sz w:val="20"/>
          <w:szCs w:val="20"/>
          <w:highlight w:val="none"/>
          <w:lang w:val="en-US" w:eastAsia="zh-CN"/>
        </w:rPr>
        <w:t>7、</w:t>
      </w:r>
      <w:r>
        <w:rPr>
          <w:rFonts w:hint="eastAsia" w:ascii="宋体" w:hAnsi="宋体" w:cs="宋体"/>
          <w:sz w:val="20"/>
          <w:szCs w:val="20"/>
          <w:highlight w:val="none"/>
        </w:rPr>
        <w:t>录入中国电信电子招投标交易平台系统中价格、税率须和电子投标文件中投标一览表价格、税率保持一致，如不一致，且不满足报价修正条款的，以录入中国电信电子招投标交易平台系统价格和税率为准（即以唱价为准）。</w:t>
      </w:r>
    </w:p>
    <w:p w14:paraId="657B80C0">
      <w:pPr>
        <w:spacing w:line="440" w:lineRule="exact"/>
        <w:ind w:firstLine="0" w:firstLineChars="0"/>
        <w:jc w:val="center"/>
        <w:rPr>
          <w:rFonts w:ascii="宋体" w:hAnsi="宋体"/>
          <w:szCs w:val="21"/>
          <w:highlight w:val="none"/>
        </w:rPr>
      </w:pPr>
      <w:r>
        <w:rPr>
          <w:rFonts w:hint="eastAsia" w:ascii="宋体" w:hAnsi="宋体"/>
          <w:szCs w:val="21"/>
          <w:highlight w:val="none"/>
        </w:rPr>
        <w:t>投标人名称：</w:t>
      </w:r>
      <w:r>
        <w:rPr>
          <w:rFonts w:hint="eastAsia" w:ascii="宋体" w:hAnsi="宋体"/>
          <w:szCs w:val="21"/>
          <w:highlight w:val="none"/>
          <w:u w:val="single"/>
        </w:rPr>
        <w:t>　　　　　　　　</w:t>
      </w:r>
    </w:p>
    <w:p w14:paraId="1A761329">
      <w:pPr>
        <w:spacing w:line="440" w:lineRule="exact"/>
        <w:ind w:firstLine="0" w:firstLineChars="0"/>
        <w:jc w:val="right"/>
        <w:rPr>
          <w:rFonts w:ascii="宋体" w:hAnsi="宋体"/>
          <w:szCs w:val="21"/>
          <w:highlight w:val="none"/>
        </w:rPr>
      </w:pPr>
      <w:r>
        <w:rPr>
          <w:rFonts w:hint="eastAsia" w:ascii="宋体" w:hAnsi="宋体"/>
          <w:szCs w:val="21"/>
          <w:highlight w:val="none"/>
          <w:u w:val="single"/>
        </w:rPr>
        <w:t xml:space="preserve">      </w:t>
      </w:r>
      <w:r>
        <w:rPr>
          <w:rFonts w:ascii="宋体" w:hAnsi="宋体"/>
          <w:szCs w:val="21"/>
          <w:highlight w:val="none"/>
          <w:u w:val="single"/>
        </w:rPr>
        <w:t xml:space="preserve"> </w:t>
      </w:r>
      <w:r>
        <w:rPr>
          <w:rFonts w:hint="eastAsia" w:ascii="宋体" w:hAnsi="宋体"/>
          <w:szCs w:val="21"/>
          <w:highlight w:val="none"/>
          <w:u w:val="single"/>
        </w:rPr>
        <w:t xml:space="preserve"> </w:t>
      </w:r>
    </w:p>
    <w:p w14:paraId="27E6ACBF">
      <w:pPr>
        <w:numPr>
          <w:ilvl w:val="0"/>
          <w:numId w:val="0"/>
        </w:numPr>
        <w:topLinePunct/>
        <w:spacing w:line="440" w:lineRule="exact"/>
        <w:ind w:left="-424" w:leftChars="-202" w:firstLine="0" w:firstLineChars="0"/>
        <w:jc w:val="right"/>
        <w:rPr>
          <w:rFonts w:hint="eastAsia" w:ascii="宋体" w:hAnsi="宋体" w:eastAsia="宋体" w:cs="宋体"/>
          <w:szCs w:val="21"/>
          <w:highlight w:val="none"/>
          <w:lang w:eastAsia="zh-CN"/>
        </w:rPr>
      </w:pPr>
      <w:r>
        <w:rPr>
          <w:rFonts w:hint="eastAsia" w:ascii="宋体" w:hAnsi="宋体"/>
          <w:szCs w:val="21"/>
          <w:highlight w:val="none"/>
        </w:rPr>
        <w:t>日期：XX年 XX月XX日</w:t>
      </w:r>
    </w:p>
    <w:bookmarkEnd w:id="1180"/>
    <w:bookmarkEnd w:id="1181"/>
    <w:p w14:paraId="1B5F73ED">
      <w:pPr>
        <w:widowControl/>
        <w:jc w:val="left"/>
        <w:rPr>
          <w:rFonts w:ascii="宋体" w:hAnsi="宋体" w:cs="宋体"/>
          <w:szCs w:val="21"/>
          <w:highlight w:val="none"/>
        </w:rPr>
        <w:sectPr>
          <w:pgSz w:w="11906" w:h="16838"/>
          <w:pgMar w:top="1418" w:right="1800" w:bottom="1440" w:left="1800" w:header="851" w:footer="992" w:gutter="0"/>
          <w:pgNumType w:fmt="decimal"/>
          <w:cols w:space="720" w:num="1"/>
          <w:docGrid w:type="lines" w:linePitch="312" w:charSpace="0"/>
        </w:sectPr>
      </w:pPr>
      <w:r>
        <w:rPr>
          <w:rFonts w:ascii="宋体" w:hAnsi="宋体" w:cs="宋体"/>
          <w:szCs w:val="21"/>
          <w:highlight w:val="none"/>
        </w:rPr>
        <w:br w:type="page"/>
      </w:r>
    </w:p>
    <w:p w14:paraId="50F84068">
      <w:pPr>
        <w:pStyle w:val="40"/>
        <w:numPr>
          <w:ilvl w:val="0"/>
          <w:numId w:val="57"/>
        </w:numPr>
        <w:tabs>
          <w:tab w:val="left" w:pos="588"/>
        </w:tabs>
        <w:snapToGrid w:val="0"/>
        <w:spacing w:before="120" w:after="120" w:line="440" w:lineRule="exact"/>
        <w:jc w:val="left"/>
        <w:rPr>
          <w:rFonts w:hint="eastAsia" w:ascii="宋体" w:hAnsi="宋体"/>
          <w:sz w:val="24"/>
          <w:szCs w:val="24"/>
          <w:highlight w:val="none"/>
        </w:rPr>
      </w:pPr>
      <w:bookmarkStart w:id="1182" w:name="_Toc29831"/>
      <w:r>
        <w:rPr>
          <w:rFonts w:hint="eastAsia" w:ascii="宋体" w:hAnsi="宋体"/>
          <w:sz w:val="24"/>
          <w:szCs w:val="24"/>
          <w:highlight w:val="none"/>
          <w:lang w:val="en-US" w:eastAsia="zh-CN"/>
        </w:rPr>
        <w:t>分项报价表</w:t>
      </w:r>
      <w:bookmarkEnd w:id="1182"/>
    </w:p>
    <w:p w14:paraId="1B4ECDB4">
      <w:pPr>
        <w:widowControl/>
        <w:jc w:val="left"/>
        <w:rPr>
          <w:highlight w:val="none"/>
        </w:rPr>
      </w:pPr>
      <w:r>
        <w:rPr>
          <w:rFonts w:hint="eastAsia"/>
          <w:kern w:val="0"/>
          <w:sz w:val="24"/>
          <w:highlight w:val="none"/>
          <w:lang w:val="en-US" w:eastAsia="zh-CN"/>
        </w:rPr>
        <w:t>投标人</w:t>
      </w:r>
      <w:r>
        <w:rPr>
          <w:rFonts w:hint="eastAsia"/>
          <w:kern w:val="0"/>
          <w:sz w:val="24"/>
          <w:highlight w:val="none"/>
        </w:rPr>
        <w:t>根据技术规范书的要求自行编制分项报价表，说明每个模块清单的报价。</w:t>
      </w:r>
    </w:p>
    <w:p w14:paraId="549CA2DC">
      <w:pPr>
        <w:widowControl/>
        <w:jc w:val="left"/>
        <w:rPr>
          <w:rFonts w:ascii="宋体" w:hAnsi="宋体" w:cs="宋体"/>
          <w:szCs w:val="21"/>
          <w:highlight w:val="none"/>
        </w:rPr>
        <w:sectPr>
          <w:pgSz w:w="11906" w:h="16838"/>
          <w:pgMar w:top="1418" w:right="1800" w:bottom="1440" w:left="1800" w:header="851" w:footer="992" w:gutter="0"/>
          <w:pgNumType w:fmt="decimal"/>
          <w:cols w:space="720" w:num="1"/>
          <w:docGrid w:type="lines" w:linePitch="312" w:charSpace="0"/>
        </w:sectPr>
      </w:pPr>
      <w:r>
        <w:rPr>
          <w:rFonts w:ascii="宋体" w:hAnsi="宋体" w:cs="宋体"/>
          <w:szCs w:val="21"/>
          <w:highlight w:val="none"/>
        </w:rPr>
        <w:br w:type="page"/>
      </w:r>
    </w:p>
    <w:p w14:paraId="488707BF">
      <w:pPr>
        <w:pStyle w:val="55"/>
        <w:spacing w:before="240" w:after="120"/>
        <w:rPr>
          <w:rFonts w:cs="宋体" w:asciiTheme="minorEastAsia" w:hAnsiTheme="minorEastAsia" w:eastAsiaTheme="minorEastAsia"/>
          <w:b/>
          <w:bCs w:val="0"/>
          <w:kern w:val="0"/>
          <w:sz w:val="28"/>
          <w:szCs w:val="28"/>
          <w:highlight w:val="none"/>
        </w:rPr>
      </w:pPr>
      <w:bookmarkStart w:id="1183" w:name="_Toc3950"/>
      <w:bookmarkStart w:id="1184" w:name="_Toc120692436"/>
      <w:r>
        <w:rPr>
          <w:rFonts w:hint="eastAsia" w:cs="宋体" w:asciiTheme="minorEastAsia" w:hAnsiTheme="minorEastAsia" w:eastAsiaTheme="minorEastAsia"/>
          <w:b/>
          <w:bCs w:val="0"/>
          <w:kern w:val="0"/>
          <w:sz w:val="28"/>
          <w:szCs w:val="28"/>
          <w:highlight w:val="none"/>
        </w:rPr>
        <w:t>第七章  其他</w:t>
      </w:r>
      <w:bookmarkEnd w:id="1183"/>
      <w:bookmarkEnd w:id="1184"/>
    </w:p>
    <w:p w14:paraId="6469B451">
      <w:pPr>
        <w:rPr>
          <w:rFonts w:asciiTheme="minorEastAsia" w:hAnsiTheme="minorEastAsia" w:eastAsiaTheme="minorEastAsia"/>
          <w:highlight w:val="none"/>
        </w:rPr>
      </w:pPr>
    </w:p>
    <w:p w14:paraId="4654A11F">
      <w:pPr>
        <w:pStyle w:val="40"/>
        <w:snapToGrid w:val="0"/>
        <w:spacing w:before="0" w:after="0" w:line="360" w:lineRule="auto"/>
        <w:ind w:right="84" w:rightChars="40"/>
        <w:rPr>
          <w:rFonts w:asciiTheme="minorEastAsia" w:hAnsiTheme="minorEastAsia" w:eastAsiaTheme="minorEastAsia"/>
          <w:sz w:val="28"/>
          <w:szCs w:val="28"/>
          <w:highlight w:val="none"/>
        </w:rPr>
      </w:pPr>
      <w:bookmarkStart w:id="1185" w:name="_Toc120692437"/>
      <w:bookmarkStart w:id="1186" w:name="_Toc7986"/>
      <w:bookmarkStart w:id="1187" w:name="_Toc29556649"/>
      <w:r>
        <w:rPr>
          <w:rFonts w:hint="eastAsia" w:asciiTheme="minorEastAsia" w:hAnsiTheme="minorEastAsia" w:eastAsiaTheme="minorEastAsia"/>
          <w:sz w:val="28"/>
          <w:szCs w:val="28"/>
          <w:highlight w:val="none"/>
        </w:rPr>
        <w:t>中国电信供应商不良行为管理规则</w:t>
      </w:r>
      <w:bookmarkEnd w:id="1185"/>
      <w:bookmarkEnd w:id="1186"/>
    </w:p>
    <w:bookmarkEnd w:id="1187"/>
    <w:p w14:paraId="68DB41DF">
      <w:pPr>
        <w:wordWrap w:val="0"/>
        <w:snapToGrid w:val="0"/>
        <w:spacing w:line="360" w:lineRule="auto"/>
        <w:ind w:firstLine="424" w:firstLineChars="202"/>
        <w:jc w:val="left"/>
        <w:rPr>
          <w:highlight w:val="none"/>
        </w:rPr>
      </w:pPr>
      <w:r>
        <w:rPr>
          <w:rFonts w:hint="eastAsia" w:asciiTheme="minorEastAsia" w:hAnsiTheme="minorEastAsia" w:eastAsiaTheme="minorEastAsia"/>
          <w:szCs w:val="21"/>
          <w:highlight w:val="none"/>
        </w:rPr>
        <w:t>本项目将按照最新的《中国电信供应商不良行为管理规则》</w:t>
      </w:r>
      <w:r>
        <w:rPr>
          <w:rFonts w:hint="eastAsia" w:asciiTheme="minorEastAsia" w:hAnsiTheme="minorEastAsia" w:eastAsiaTheme="minorEastAsia"/>
          <w:szCs w:val="21"/>
          <w:highlight w:val="none"/>
          <w:lang w:val="en-US" w:eastAsia="zh-CN"/>
        </w:rPr>
        <w:t>执行</w:t>
      </w:r>
      <w:r>
        <w:rPr>
          <w:rFonts w:hint="eastAsia" w:asciiTheme="minorEastAsia" w:hAnsiTheme="minorEastAsia" w:eastAsiaTheme="minorEastAsia"/>
          <w:szCs w:val="21"/>
          <w:highlight w:val="none"/>
        </w:rPr>
        <w:t>供应商不良行为处理结果，请务必登录</w:t>
      </w:r>
      <w:r>
        <w:rPr>
          <w:highlight w:val="none"/>
        </w:rPr>
        <w:t>中国电信阳光采购网</w:t>
      </w:r>
      <w:r>
        <w:rPr>
          <w:rFonts w:hint="eastAsia" w:asciiTheme="minorEastAsia" w:hAnsiTheme="minorEastAsia" w:eastAsiaTheme="minorEastAsia" w:cstheme="minorEastAsia"/>
          <w:highlight w:val="none"/>
        </w:rPr>
        <w:t>（https://caigou.chinatelecom.com.cn）</w:t>
      </w:r>
      <w:r>
        <w:rPr>
          <w:rFonts w:hint="eastAsia" w:asciiTheme="minorEastAsia" w:hAnsiTheme="minorEastAsia" w:eastAsiaTheme="minorEastAsia"/>
          <w:szCs w:val="21"/>
          <w:highlight w:val="none"/>
        </w:rPr>
        <w:t>查阅《中国电信供应商不良行为管理规则》。</w:t>
      </w:r>
    </w:p>
    <w:p w14:paraId="173C241B">
      <w:pPr>
        <w:jc w:val="left"/>
        <w:rPr>
          <w:sz w:val="28"/>
          <w:szCs w:val="28"/>
          <w:highlight w:val="none"/>
        </w:rPr>
      </w:pPr>
    </w:p>
    <w:sectPr>
      <w:pgSz w:w="11906" w:h="16838"/>
      <w:pgMar w:top="1418"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28"/>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swiss"/>
    <w:pitch w:val="default"/>
    <w:sig w:usb0="FFFFFFFF" w:usb1="E9FFFFFF" w:usb2="0000003F" w:usb3="00000000" w:csb0="603F01FF" w:csb1="FFFF0000"/>
  </w:font>
  <w:font w:name="Arial Narrow">
    <w:panose1 w:val="020B0606020202030204"/>
    <w:charset w:val="00"/>
    <w:family w:val="swiss"/>
    <w:pitch w:val="default"/>
    <w:sig w:usb0="00000287" w:usb1="00000800" w:usb2="00000000" w:usb3="00000000" w:csb0="2000009F" w:csb1="DFD70000"/>
  </w:font>
  <w:font w:name="Wingdings 2">
    <w:panose1 w:val="05020102010507070707"/>
    <w:charset w:val="00"/>
    <w:family w:val="auto"/>
    <w:pitch w:val="default"/>
    <w:sig w:usb0="00000000" w:usb1="00000000" w:usb2="00000000" w:usb3="00000000" w:csb0="80000000" w:csb1="00000000"/>
  </w:font>
  <w:font w:name="Helvetica">
    <w:altName w:val="Arial"/>
    <w:panose1 w:val="020B0504020202020204"/>
    <w:charset w:val="00"/>
    <w:family w:val="swiss"/>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方正小标宋简体">
    <w:altName w:val="Arial Unicode MS"/>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C51F3">
    <w:pPr>
      <w:pStyle w:val="30"/>
      <w:jc w:val="cente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5B367">
                          <w:pPr>
                            <w:pStyle w:val="3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C65B367">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13D15">
    <w:pPr>
      <w:pStyle w:val="3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31C4E">
                          <w:pPr>
                            <w:pStyle w:val="3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D231C4E">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80749">
    <w:pPr>
      <w:pStyle w:val="3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2F38C9">
                          <w:pPr>
                            <w:pStyle w:val="3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52F38C9">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6AB26">
    <w:pPr>
      <w:pStyle w:val="30"/>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8E366">
                          <w:pPr>
                            <w:pStyle w:val="3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32C8E366">
                    <w:pPr>
                      <w:pStyle w:val="3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C052C">
    <w:pPr>
      <w:pStyle w:val="30"/>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7EC67">
                          <w:pPr>
                            <w:pStyle w:val="3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1A7EC67">
                    <w:pPr>
                      <w:pStyle w:val="3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E26EC">
    <w:pPr>
      <w:pStyle w:val="30"/>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264D7">
                          <w:pPr>
                            <w:pStyle w:val="30"/>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F8264D7">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2F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7B38D">
    <w:pPr>
      <w:pStyle w:val="31"/>
    </w:pPr>
    <w:r>
      <w:pict>
        <v:shape id="PowerPlusWaterMarkObject247554532" o:spid="_x0000_s2050" o:spt="136" type="#_x0000_t136" style="position:absolute;left:0pt;height:53.2pt;width:532.2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3413E">
    <w:pPr>
      <w:pStyle w:val="31"/>
      <w:jc w:val="right"/>
      <w:rPr>
        <w:rFonts w:ascii="宋体" w:hAnsi="宋体"/>
      </w:rPr>
    </w:pPr>
    <w:r>
      <w:pict>
        <v:shape id="PowerPlusWaterMarkObject247554531" o:spid="_x0000_s2049" o:spt="136" type="#_x0000_t136" style="position:absolute;left:0pt;height:53.2pt;width:532.2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r>
      <w:rPr>
        <w:rFonts w:hint="eastAsia" w:ascii="宋体" w:hAnsi="宋体"/>
      </w:rPr>
      <w:t>V5.0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932"/>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E22BA">
    <w:pPr>
      <w:pStyle w:val="31"/>
    </w:pPr>
    <w:r>
      <w:pict>
        <v:shape id="PowerPlusWaterMarkObject247554535" o:spid="_x0000_s2053" o:spt="136" type="#_x0000_t136" style="position:absolute;left:0pt;height:53.2pt;width:532.2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5C251">
    <w:pPr>
      <w:pStyle w:val="31"/>
    </w:pPr>
    <w:r>
      <w:pict>
        <v:shape id="PowerPlusWaterMarkObject247554534" o:spid="_x0000_s2052" o:spt="136" type="#_x0000_t136" style="position:absolute;left:0pt;height:53.2pt;width:532.2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5C3E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A3319">
    <w:pPr>
      <w:pStyle w:val="31"/>
    </w:pPr>
    <w:r>
      <w:pict>
        <v:shape id="PowerPlusWaterMarkObject247554538" o:spid="_x0000_s2056" o:spt="136" type="#_x0000_t136" style="position:absolute;left:0pt;height:53.2pt;width:532.2pt;mso-position-horizontal:center;mso-position-horizontal-relative:margin;mso-position-vertical:center;mso-position-vertical-relative:margin;rotation:20643840f;z-index:-251652096;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ABFF6">
    <w:pPr>
      <w:pStyle w:val="31"/>
    </w:pPr>
    <w:r>
      <w:pict>
        <v:shape id="PowerPlusWaterMarkObject247554537" o:spid="_x0000_s2055" o:spt="136" type="#_x0000_t136" style="position:absolute;left:0pt;height:53.2pt;width:532.2pt;mso-position-horizontal:center;mso-position-horizontal-relative:margin;mso-position-vertical:center;mso-position-vertical-relative:margin;rotation:20643840f;z-index:-251653120;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4926D"/>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16417">
    <w:pPr>
      <w:pStyle w:val="31"/>
    </w:pPr>
    <w:r>
      <w:pict>
        <v:shape id="PowerPlusWaterMarkObject247554541" o:spid="_x0000_s2059" o:spt="136" type="#_x0000_t136" style="position:absolute;left:0pt;height:53.2pt;width:532.2pt;mso-position-horizontal:center;mso-position-horizontal-relative:margin;mso-position-vertical:center;mso-position-vertical-relative:margin;rotation:20643840f;z-index:-251650048;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422F1">
    <w:r>
      <w:pict>
        <v:shape id="PowerPlusWaterMarkObject247554540" o:spid="_x0000_s2058" o:spt="136" type="#_x0000_t136" style="position:absolute;left:0pt;height:53.2pt;width:532.2pt;mso-position-horizontal:center;mso-position-horizontal-relative:margin;mso-position-vertical:center;mso-position-vertical-relative:margin;rotation:20643840f;z-index:-251651072;mso-width-relative:page;mso-height-relative:page;" fillcolor="#C0C0C0" filled="t" stroked="f" coordsize="21600,21600" o:allowincell="f">
          <v:path/>
          <v:fill on="t" opacity="32768f" focussize="0,0"/>
          <v:stroke on="f"/>
          <v:imagedata o:title=""/>
          <o:lock v:ext="edit"/>
          <v:textpath on="t" fitshape="t" fitpath="t" trim="f" xscale="f" string="湖北信通通信有限公司" style="font-family:宋体;font-size:1pt;v-text-align:center;"/>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CDBC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17601"/>
    <w:multiLevelType w:val="multilevel"/>
    <w:tmpl w:val="8471760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8687D0FB"/>
    <w:multiLevelType w:val="singleLevel"/>
    <w:tmpl w:val="8687D0FB"/>
    <w:lvl w:ilvl="0" w:tentative="0">
      <w:start w:val="5"/>
      <w:numFmt w:val="chineseCounting"/>
      <w:suff w:val="space"/>
      <w:lvlText w:val="第%1章"/>
      <w:lvlJc w:val="left"/>
      <w:rPr>
        <w:rFonts w:hint="eastAsia"/>
      </w:rPr>
    </w:lvl>
  </w:abstractNum>
  <w:abstractNum w:abstractNumId="2">
    <w:nsid w:val="972084A4"/>
    <w:multiLevelType w:val="singleLevel"/>
    <w:tmpl w:val="972084A4"/>
    <w:lvl w:ilvl="0" w:tentative="0">
      <w:start w:val="2"/>
      <w:numFmt w:val="decimal"/>
      <w:suff w:val="nothing"/>
      <w:lvlText w:val="%1）"/>
      <w:lvlJc w:val="left"/>
    </w:lvl>
  </w:abstractNum>
  <w:abstractNum w:abstractNumId="3">
    <w:nsid w:val="A824B9CF"/>
    <w:multiLevelType w:val="multilevel"/>
    <w:tmpl w:val="A824B9CF"/>
    <w:lvl w:ilvl="0" w:tentative="0">
      <w:start w:val="1"/>
      <w:numFmt w:val="decimal"/>
      <w:lvlText w:val="%1."/>
      <w:lvlJc w:val="left"/>
      <w:pPr>
        <w:ind w:left="425" w:hanging="425"/>
      </w:pPr>
      <w:rPr>
        <w:rFonts w:hint="eastAsia"/>
        <w:b w:val="0"/>
      </w:rPr>
    </w:lvl>
    <w:lvl w:ilvl="1" w:tentative="0">
      <w:start w:val="1"/>
      <w:numFmt w:val="decimal"/>
      <w:lvlText w:val="%1.%2"/>
      <w:lvlJc w:val="left"/>
      <w:pPr>
        <w:ind w:left="992" w:hanging="567"/>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B6020FB7"/>
    <w:multiLevelType w:val="singleLevel"/>
    <w:tmpl w:val="B6020FB7"/>
    <w:lvl w:ilvl="0" w:tentative="0">
      <w:start w:val="1"/>
      <w:numFmt w:val="decimal"/>
      <w:lvlText w:val="%1."/>
      <w:lvlJc w:val="left"/>
      <w:pPr>
        <w:tabs>
          <w:tab w:val="left" w:pos="312"/>
        </w:tabs>
      </w:pPr>
    </w:lvl>
  </w:abstractNum>
  <w:abstractNum w:abstractNumId="5">
    <w:nsid w:val="00000045"/>
    <w:multiLevelType w:val="multilevel"/>
    <w:tmpl w:val="00000045"/>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171746E"/>
    <w:multiLevelType w:val="multilevel"/>
    <w:tmpl w:val="0171746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03CF3AEF"/>
    <w:multiLevelType w:val="multilevel"/>
    <w:tmpl w:val="03CF3A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5CC020D"/>
    <w:multiLevelType w:val="multilevel"/>
    <w:tmpl w:val="05CC020D"/>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9">
    <w:nsid w:val="0C1E0E69"/>
    <w:multiLevelType w:val="multilevel"/>
    <w:tmpl w:val="0C1E0E69"/>
    <w:lvl w:ilvl="0" w:tentative="0">
      <w:start w:val="1"/>
      <w:numFmt w:val="decimal"/>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0DA526D7"/>
    <w:multiLevelType w:val="multilevel"/>
    <w:tmpl w:val="0DA526D7"/>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1">
    <w:nsid w:val="10205CF6"/>
    <w:multiLevelType w:val="multilevel"/>
    <w:tmpl w:val="10205CF6"/>
    <w:lvl w:ilvl="0" w:tentative="0">
      <w:start w:val="1"/>
      <w:numFmt w:val="decimal"/>
      <w:lvlText w:val="%1."/>
      <w:lvlJc w:val="left"/>
      <w:pPr>
        <w:ind w:left="360" w:hanging="360"/>
      </w:pPr>
      <w:rPr>
        <w:rFonts w:hint="default" w:ascii="宋体" w:hAnsi="宋体" w:eastAsia="宋体"/>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11B6227"/>
    <w:multiLevelType w:val="multilevel"/>
    <w:tmpl w:val="111B622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115B7682"/>
    <w:multiLevelType w:val="multilevel"/>
    <w:tmpl w:val="115B768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13F5481D"/>
    <w:multiLevelType w:val="multilevel"/>
    <w:tmpl w:val="13F5481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154A6C66"/>
    <w:multiLevelType w:val="multilevel"/>
    <w:tmpl w:val="154A6C6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B386CB8"/>
    <w:multiLevelType w:val="multilevel"/>
    <w:tmpl w:val="1B386C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bullet"/>
      <w:lvlText w:val=""/>
      <w:lvlJc w:val="left"/>
      <w:pPr>
        <w:ind w:left="1680" w:hanging="420"/>
      </w:pPr>
      <w:rPr>
        <w:rFonts w:hint="default" w:ascii="Wingdings" w:hAnsi="Wingdings"/>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CBB71D3"/>
    <w:multiLevelType w:val="multilevel"/>
    <w:tmpl w:val="1CBB71D3"/>
    <w:lvl w:ilvl="0" w:tentative="0">
      <w:start w:val="1"/>
      <w:numFmt w:val="upperRoman"/>
      <w:suff w:val="nothing"/>
      <w:lvlText w:val="%1　"/>
      <w:lvlJc w:val="left"/>
      <w:pPr>
        <w:ind w:left="432" w:hanging="432"/>
      </w:pPr>
      <w:rPr>
        <w:rFonts w:hint="eastAsia"/>
        <w:sz w:val="32"/>
      </w:rPr>
    </w:lvl>
    <w:lvl w:ilvl="1" w:tentative="0">
      <w:start w:val="1"/>
      <w:numFmt w:val="chineseCountingThousand"/>
      <w:suff w:val="nothing"/>
      <w:lvlText w:val="%2、"/>
      <w:lvlJc w:val="left"/>
      <w:pPr>
        <w:ind w:left="576" w:hanging="576"/>
      </w:pPr>
      <w:rPr>
        <w:rFonts w:hint="eastAsia" w:ascii="宋体" w:eastAsia="宋体"/>
        <w:sz w:val="30"/>
      </w:rPr>
    </w:lvl>
    <w:lvl w:ilvl="2" w:tentative="0">
      <w:start w:val="1"/>
      <w:numFmt w:val="decimal"/>
      <w:isLgl/>
      <w:suff w:val="nothing"/>
      <w:lvlText w:val="%2.%3　"/>
      <w:lvlJc w:val="left"/>
      <w:pPr>
        <w:ind w:left="720" w:hanging="720"/>
      </w:pPr>
      <w:rPr>
        <w:rFonts w:hint="eastAsia" w:ascii="宋体" w:eastAsia="宋体"/>
        <w:sz w:val="28"/>
      </w:rPr>
    </w:lvl>
    <w:lvl w:ilvl="3" w:tentative="0">
      <w:start w:val="1"/>
      <w:numFmt w:val="decimal"/>
      <w:isLgl/>
      <w:suff w:val="nothing"/>
      <w:lvlText w:val="%2.%3.%4　"/>
      <w:lvlJc w:val="left"/>
      <w:pPr>
        <w:ind w:left="-4235" w:hanging="864"/>
      </w:pPr>
      <w:rPr>
        <w:rFonts w:hint="eastAsia" w:ascii="宋体" w:eastAsia="宋体"/>
        <w:sz w:val="24"/>
      </w:rPr>
    </w:lvl>
    <w:lvl w:ilvl="4" w:tentative="0">
      <w:start w:val="1"/>
      <w:numFmt w:val="chineseCountingThousand"/>
      <w:suff w:val="nothing"/>
      <w:lvlText w:val="（%5）"/>
      <w:lvlJc w:val="left"/>
      <w:pPr>
        <w:ind w:left="1008" w:hanging="1008"/>
      </w:pPr>
      <w:rPr>
        <w:rFonts w:hint="eastAsia" w:ascii="宋体" w:eastAsia="宋体"/>
      </w:rPr>
    </w:lvl>
    <w:lvl w:ilvl="5" w:tentative="0">
      <w:start w:val="1"/>
      <w:numFmt w:val="decimal"/>
      <w:suff w:val="nothing"/>
      <w:lvlText w:val="（%6）"/>
      <w:lvlJc w:val="left"/>
      <w:pPr>
        <w:ind w:left="1152" w:hanging="1152"/>
      </w:pPr>
      <w:rPr>
        <w:rFonts w:hint="eastAsia" w:ascii="宋体" w:eastAsia="宋体"/>
        <w:sz w:val="24"/>
      </w:rPr>
    </w:lvl>
    <w:lvl w:ilvl="6" w:tentative="0">
      <w:start w:val="1"/>
      <w:numFmt w:val="upperLetter"/>
      <w:suff w:val="nothing"/>
      <w:lvlText w:val="%7、"/>
      <w:lvlJc w:val="left"/>
      <w:pPr>
        <w:ind w:left="1296" w:hanging="1296"/>
      </w:pPr>
      <w:rPr>
        <w:rFonts w:hint="eastAsia" w:ascii="宋体" w:eastAsia="宋体"/>
      </w:rPr>
    </w:lvl>
    <w:lvl w:ilvl="7" w:tentative="0">
      <w:start w:val="1"/>
      <w:numFmt w:val="lowerRoman"/>
      <w:suff w:val="nothing"/>
      <w:lvlText w:val="%8、"/>
      <w:lvlJc w:val="left"/>
      <w:pPr>
        <w:ind w:left="1440" w:hanging="1440"/>
      </w:pPr>
      <w:rPr>
        <w:rFonts w:hint="eastAsia" w:ascii="宋体" w:eastAsia="宋体"/>
      </w:rPr>
    </w:lvl>
    <w:lvl w:ilvl="8" w:tentative="0">
      <w:start w:val="1"/>
      <w:numFmt w:val="bullet"/>
      <w:lvlText w:val=""/>
      <w:lvlJc w:val="left"/>
      <w:pPr>
        <w:tabs>
          <w:tab w:val="left" w:pos="1584"/>
        </w:tabs>
        <w:ind w:left="1584" w:hanging="1584"/>
      </w:pPr>
      <w:rPr>
        <w:rFonts w:hint="default" w:ascii="Symbol" w:hAnsi="Symbol"/>
        <w:color w:val="auto"/>
      </w:rPr>
    </w:lvl>
  </w:abstractNum>
  <w:abstractNum w:abstractNumId="18">
    <w:nsid w:val="20A770E6"/>
    <w:multiLevelType w:val="multilevel"/>
    <w:tmpl w:val="20A770E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2053FCB"/>
    <w:multiLevelType w:val="multilevel"/>
    <w:tmpl w:val="22053F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bullet"/>
      <w:lvlText w:val=""/>
      <w:lvlJc w:val="left"/>
      <w:pPr>
        <w:ind w:left="1680" w:hanging="420"/>
      </w:pPr>
      <w:rPr>
        <w:rFonts w:hint="default" w:ascii="Wingdings" w:hAnsi="Wingdings"/>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31B0EAA"/>
    <w:multiLevelType w:val="multilevel"/>
    <w:tmpl w:val="231B0EA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55"/>
        </w:tabs>
        <w:ind w:left="855" w:hanging="435"/>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23582AE2"/>
    <w:multiLevelType w:val="multilevel"/>
    <w:tmpl w:val="23582AE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2">
    <w:nsid w:val="2900EDD3"/>
    <w:multiLevelType w:val="singleLevel"/>
    <w:tmpl w:val="2900EDD3"/>
    <w:lvl w:ilvl="0" w:tentative="0">
      <w:start w:val="1"/>
      <w:numFmt w:val="decimal"/>
      <w:suff w:val="nothing"/>
      <w:lvlText w:val="%1）"/>
      <w:lvlJc w:val="left"/>
    </w:lvl>
  </w:abstractNum>
  <w:abstractNum w:abstractNumId="23">
    <w:nsid w:val="295A1E58"/>
    <w:multiLevelType w:val="multilevel"/>
    <w:tmpl w:val="295A1E5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2A2F74D8"/>
    <w:multiLevelType w:val="multilevel"/>
    <w:tmpl w:val="2A2F74D8"/>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2C101E62"/>
    <w:multiLevelType w:val="multilevel"/>
    <w:tmpl w:val="2C101E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CB96BE2"/>
    <w:multiLevelType w:val="multilevel"/>
    <w:tmpl w:val="2CB96BE2"/>
    <w:lvl w:ilvl="0" w:tentative="0">
      <w:start w:val="1"/>
      <w:numFmt w:val="decimal"/>
      <w:lvlText w:val="%1."/>
      <w:lvlJc w:val="left"/>
      <w:pPr>
        <w:ind w:left="840" w:hanging="420"/>
      </w:pPr>
      <w:rPr>
        <w:rFonts w:hint="eastAsia"/>
        <w:b w:val="0"/>
        <w:i w:val="0"/>
        <w:sz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2CC00E11"/>
    <w:multiLevelType w:val="multilevel"/>
    <w:tmpl w:val="2CC00E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8">
    <w:nsid w:val="2DCD480E"/>
    <w:multiLevelType w:val="multilevel"/>
    <w:tmpl w:val="2DCD48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33213A6A"/>
    <w:multiLevelType w:val="multilevel"/>
    <w:tmpl w:val="33213A6A"/>
    <w:lvl w:ilvl="0" w:tentative="0">
      <w:start w:val="1"/>
      <w:numFmt w:val="bullet"/>
      <w:lvlText w:val=""/>
      <w:lvlJc w:val="left"/>
      <w:pPr>
        <w:tabs>
          <w:tab w:val="left" w:pos="846"/>
        </w:tabs>
        <w:ind w:left="846" w:hanging="420"/>
      </w:pPr>
      <w:rPr>
        <w:rFonts w:hint="default" w:ascii="Wingdings" w:hAnsi="Wingdings"/>
      </w:rPr>
    </w:lvl>
    <w:lvl w:ilvl="1" w:tentative="0">
      <w:start w:val="1"/>
      <w:numFmt w:val="bullet"/>
      <w:lvlText w:val=""/>
      <w:lvlJc w:val="left"/>
      <w:pPr>
        <w:tabs>
          <w:tab w:val="left" w:pos="2100"/>
        </w:tabs>
        <w:ind w:left="2100" w:hanging="420"/>
      </w:pPr>
      <w:rPr>
        <w:rFonts w:hint="default" w:ascii="Wingdings" w:hAnsi="Wingdings"/>
      </w:rPr>
    </w:lvl>
    <w:lvl w:ilvl="2" w:tentative="0">
      <w:start w:val="1"/>
      <w:numFmt w:val="bullet"/>
      <w:lvlText w:val=""/>
      <w:lvlJc w:val="left"/>
      <w:pPr>
        <w:tabs>
          <w:tab w:val="left" w:pos="2520"/>
        </w:tabs>
        <w:ind w:left="2520" w:hanging="420"/>
      </w:pPr>
      <w:rPr>
        <w:rFonts w:hint="default" w:ascii="Wingdings" w:hAnsi="Wingdings"/>
      </w:rPr>
    </w:lvl>
    <w:lvl w:ilvl="3" w:tentative="0">
      <w:start w:val="1"/>
      <w:numFmt w:val="bullet"/>
      <w:lvlText w:val=""/>
      <w:lvlJc w:val="left"/>
      <w:pPr>
        <w:tabs>
          <w:tab w:val="left" w:pos="2940"/>
        </w:tabs>
        <w:ind w:left="2940" w:hanging="420"/>
      </w:pPr>
      <w:rPr>
        <w:rFonts w:hint="default" w:ascii="Wingdings" w:hAnsi="Wingdings"/>
      </w:rPr>
    </w:lvl>
    <w:lvl w:ilvl="4" w:tentative="0">
      <w:start w:val="1"/>
      <w:numFmt w:val="bullet"/>
      <w:lvlText w:val=""/>
      <w:lvlJc w:val="left"/>
      <w:pPr>
        <w:tabs>
          <w:tab w:val="left" w:pos="3360"/>
        </w:tabs>
        <w:ind w:left="3360" w:hanging="420"/>
      </w:pPr>
      <w:rPr>
        <w:rFonts w:hint="default" w:ascii="Wingdings" w:hAnsi="Wingdings"/>
      </w:rPr>
    </w:lvl>
    <w:lvl w:ilvl="5" w:tentative="0">
      <w:start w:val="1"/>
      <w:numFmt w:val="bullet"/>
      <w:lvlText w:val=""/>
      <w:lvlJc w:val="left"/>
      <w:pPr>
        <w:tabs>
          <w:tab w:val="left" w:pos="3780"/>
        </w:tabs>
        <w:ind w:left="3780" w:hanging="420"/>
      </w:pPr>
      <w:rPr>
        <w:rFonts w:hint="default" w:ascii="Wingdings" w:hAnsi="Wingdings"/>
      </w:rPr>
    </w:lvl>
    <w:lvl w:ilvl="6" w:tentative="0">
      <w:start w:val="1"/>
      <w:numFmt w:val="bullet"/>
      <w:lvlText w:val=""/>
      <w:lvlJc w:val="left"/>
      <w:pPr>
        <w:tabs>
          <w:tab w:val="left" w:pos="4200"/>
        </w:tabs>
        <w:ind w:left="4200" w:hanging="420"/>
      </w:pPr>
      <w:rPr>
        <w:rFonts w:hint="default" w:ascii="Wingdings" w:hAnsi="Wingdings"/>
      </w:rPr>
    </w:lvl>
    <w:lvl w:ilvl="7" w:tentative="0">
      <w:start w:val="1"/>
      <w:numFmt w:val="bullet"/>
      <w:lvlText w:val=""/>
      <w:lvlJc w:val="left"/>
      <w:pPr>
        <w:tabs>
          <w:tab w:val="left" w:pos="4620"/>
        </w:tabs>
        <w:ind w:left="4620" w:hanging="420"/>
      </w:pPr>
      <w:rPr>
        <w:rFonts w:hint="default" w:ascii="Wingdings" w:hAnsi="Wingdings"/>
      </w:rPr>
    </w:lvl>
    <w:lvl w:ilvl="8" w:tentative="0">
      <w:start w:val="1"/>
      <w:numFmt w:val="bullet"/>
      <w:lvlText w:val=""/>
      <w:lvlJc w:val="left"/>
      <w:pPr>
        <w:tabs>
          <w:tab w:val="left" w:pos="5040"/>
        </w:tabs>
        <w:ind w:left="5040" w:hanging="420"/>
      </w:pPr>
      <w:rPr>
        <w:rFonts w:hint="default" w:ascii="Wingdings" w:hAnsi="Wingdings"/>
      </w:rPr>
    </w:lvl>
  </w:abstractNum>
  <w:abstractNum w:abstractNumId="30">
    <w:nsid w:val="35040E8B"/>
    <w:multiLevelType w:val="multilevel"/>
    <w:tmpl w:val="35040E8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370A32DB"/>
    <w:multiLevelType w:val="multilevel"/>
    <w:tmpl w:val="370A32DB"/>
    <w:lvl w:ilvl="0" w:tentative="0">
      <w:start w:val="1"/>
      <w:numFmt w:val="decimal"/>
      <w:lvlText w:val="%1)"/>
      <w:lvlJc w:val="left"/>
      <w:pPr>
        <w:tabs>
          <w:tab w:val="left" w:pos="840"/>
        </w:tabs>
        <w:ind w:left="840" w:hanging="420"/>
      </w:p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2">
    <w:nsid w:val="38C342BB"/>
    <w:multiLevelType w:val="multilevel"/>
    <w:tmpl w:val="38C342BB"/>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3">
    <w:nsid w:val="396D3B13"/>
    <w:multiLevelType w:val="multilevel"/>
    <w:tmpl w:val="396D3B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3CAD6DFF"/>
    <w:multiLevelType w:val="multilevel"/>
    <w:tmpl w:val="3CAD6DF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5">
    <w:nsid w:val="3E5D48FE"/>
    <w:multiLevelType w:val="multilevel"/>
    <w:tmpl w:val="3E5D48F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6">
    <w:nsid w:val="40C5772A"/>
    <w:multiLevelType w:val="multilevel"/>
    <w:tmpl w:val="40C5772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7">
    <w:nsid w:val="44CE4B83"/>
    <w:multiLevelType w:val="multilevel"/>
    <w:tmpl w:val="44CE4B83"/>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71F3B5E"/>
    <w:multiLevelType w:val="multilevel"/>
    <w:tmpl w:val="471F3B5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4AC775F4"/>
    <w:multiLevelType w:val="multilevel"/>
    <w:tmpl w:val="4AC775F4"/>
    <w:lvl w:ilvl="0" w:tentative="0">
      <w:start w:val="1"/>
      <w:numFmt w:val="decimal"/>
      <w:lvlText w:val="%1."/>
      <w:lvlJc w:val="left"/>
      <w:pPr>
        <w:ind w:left="425" w:hanging="425"/>
      </w:pPr>
      <w:rPr>
        <w:rFonts w:hint="eastAsia" w:ascii="宋体" w:hAnsi="宋体" w:eastAsia="宋体"/>
        <w:b/>
        <w:sz w:val="28"/>
      </w:rPr>
    </w:lvl>
    <w:lvl w:ilvl="1" w:tentative="0">
      <w:start w:val="1"/>
      <w:numFmt w:val="decimal"/>
      <w:lvlText w:val="%1.%2"/>
      <w:lvlJc w:val="left"/>
      <w:pPr>
        <w:ind w:left="850" w:hanging="425"/>
      </w:pPr>
      <w:rPr>
        <w:rFonts w:hint="eastAsia" w:eastAsia="宋体"/>
        <w:b/>
        <w:i w:val="0"/>
        <w:sz w:val="24"/>
      </w:rPr>
    </w:lvl>
    <w:lvl w:ilvl="2" w:tentative="0">
      <w:start w:val="1"/>
      <w:numFmt w:val="decimal"/>
      <w:lvlText w:val="%1.%2.%3"/>
      <w:lvlJc w:val="left"/>
      <w:pPr>
        <w:ind w:left="1275" w:hanging="425"/>
      </w:pPr>
      <w:rPr>
        <w:rFonts w:hint="eastAsia" w:eastAsia="宋体"/>
        <w:b w:val="0"/>
        <w:i w:val="0"/>
        <w:sz w:val="21"/>
      </w:rPr>
    </w:lvl>
    <w:lvl w:ilvl="3" w:tentative="0">
      <w:start w:val="1"/>
      <w:numFmt w:val="decimal"/>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40">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87"/>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1">
    <w:nsid w:val="518A6BA9"/>
    <w:multiLevelType w:val="multilevel"/>
    <w:tmpl w:val="518A6B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54127CEB"/>
    <w:multiLevelType w:val="multilevel"/>
    <w:tmpl w:val="54127CE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3">
    <w:nsid w:val="544649FA"/>
    <w:multiLevelType w:val="multilevel"/>
    <w:tmpl w:val="544649FA"/>
    <w:lvl w:ilvl="0" w:tentative="0">
      <w:start w:val="1"/>
      <w:numFmt w:val="decimal"/>
      <w:lvlText w:val="%1)"/>
      <w:lvlJc w:val="left"/>
      <w:pPr>
        <w:tabs>
          <w:tab w:val="left" w:pos="840"/>
        </w:tabs>
        <w:ind w:left="840" w:hanging="420"/>
      </w:p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4">
    <w:nsid w:val="555A314D"/>
    <w:multiLevelType w:val="multilevel"/>
    <w:tmpl w:val="555A314D"/>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56D85EA5"/>
    <w:multiLevelType w:val="multilevel"/>
    <w:tmpl w:val="56D85EA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573E7DC6"/>
    <w:multiLevelType w:val="multilevel"/>
    <w:tmpl w:val="573E7DC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5A6808DD"/>
    <w:multiLevelType w:val="multilevel"/>
    <w:tmpl w:val="5A6808D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8">
    <w:nsid w:val="5CE15FC6"/>
    <w:multiLevelType w:val="multilevel"/>
    <w:tmpl w:val="5CE15FC6"/>
    <w:lvl w:ilvl="0" w:tentative="0">
      <w:start w:val="1"/>
      <w:numFmt w:val="decimal"/>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9">
    <w:nsid w:val="5FF44172"/>
    <w:multiLevelType w:val="singleLevel"/>
    <w:tmpl w:val="5FF44172"/>
    <w:lvl w:ilvl="0" w:tentative="0">
      <w:start w:val="1"/>
      <w:numFmt w:val="decimal"/>
      <w:lvlText w:val="%1."/>
      <w:lvlJc w:val="left"/>
      <w:pPr>
        <w:tabs>
          <w:tab w:val="left" w:pos="732"/>
        </w:tabs>
        <w:ind w:left="420"/>
      </w:pPr>
    </w:lvl>
  </w:abstractNum>
  <w:abstractNum w:abstractNumId="50">
    <w:nsid w:val="62C020EB"/>
    <w:multiLevelType w:val="multilevel"/>
    <w:tmpl w:val="62C020EB"/>
    <w:lvl w:ilvl="0" w:tentative="0">
      <w:start w:val="1"/>
      <w:numFmt w:val="decimal"/>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7"/>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6327180C"/>
    <w:multiLevelType w:val="multilevel"/>
    <w:tmpl w:val="6327180C"/>
    <w:lvl w:ilvl="0" w:tentative="0">
      <w:start w:val="1"/>
      <w:numFmt w:val="bullet"/>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52">
    <w:nsid w:val="63DE7ADE"/>
    <w:multiLevelType w:val="multilevel"/>
    <w:tmpl w:val="63DE7ADE"/>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3">
    <w:nsid w:val="64FB4BFD"/>
    <w:multiLevelType w:val="multilevel"/>
    <w:tmpl w:val="64FB4BF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65EA1C3D"/>
    <w:multiLevelType w:val="multilevel"/>
    <w:tmpl w:val="65EA1C3D"/>
    <w:lvl w:ilvl="0" w:tentative="0">
      <w:start w:val="1"/>
      <w:numFmt w:val="decimal"/>
      <w:lvlText w:val="%1"/>
      <w:lvlJc w:val="left"/>
      <w:pPr>
        <w:ind w:left="420" w:hanging="420"/>
      </w:pPr>
      <w:rPr>
        <w:rFonts w:hint="default"/>
      </w:rPr>
    </w:lvl>
    <w:lvl w:ilvl="1" w:tentative="0">
      <w:start w:val="1"/>
      <w:numFmt w:val="decimal"/>
      <w:isLgl/>
      <w:lvlText w:val="8.%2"/>
      <w:lvlJc w:val="left"/>
      <w:pPr>
        <w:ind w:left="555" w:hanging="555"/>
      </w:pPr>
      <w:rPr>
        <w:rFonts w:hint="default"/>
      </w:rPr>
    </w:lvl>
    <w:lvl w:ilvl="2" w:tentative="0">
      <w:start w:val="1"/>
      <w:numFmt w:val="decimal"/>
      <w:isLgl/>
      <w:lvlText w:val="8.%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55">
    <w:nsid w:val="669D69EA"/>
    <w:multiLevelType w:val="multilevel"/>
    <w:tmpl w:val="669D69EA"/>
    <w:lvl w:ilvl="0" w:tentative="0">
      <w:start w:val="1"/>
      <w:numFmt w:val="decimal"/>
      <w:lvlText w:val="%1."/>
      <w:lvlJc w:val="left"/>
      <w:pPr>
        <w:ind w:left="840" w:hanging="420"/>
      </w:pPr>
      <w:rPr>
        <w:rFonts w:hint="eastAsia" w:eastAsia="仿宋_GB2312"/>
        <w:color w:val="auto"/>
        <w:sz w:val="28"/>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6">
    <w:nsid w:val="690C340D"/>
    <w:multiLevelType w:val="multilevel"/>
    <w:tmpl w:val="690C34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71BA4052"/>
    <w:multiLevelType w:val="multilevel"/>
    <w:tmpl w:val="71BA405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8">
    <w:nsid w:val="766F4DE6"/>
    <w:multiLevelType w:val="multilevel"/>
    <w:tmpl w:val="766F4DE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9">
    <w:nsid w:val="76E75FD1"/>
    <w:multiLevelType w:val="multilevel"/>
    <w:tmpl w:val="76E75FD1"/>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77413C4D"/>
    <w:multiLevelType w:val="multilevel"/>
    <w:tmpl w:val="77413C4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7F1E64D5"/>
    <w:multiLevelType w:val="multilevel"/>
    <w:tmpl w:val="7F1E64D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2">
    <w:nsid w:val="7F9F523A"/>
    <w:multiLevelType w:val="multilevel"/>
    <w:tmpl w:val="7F9F523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3">
    <w:nsid w:val="7FA36634"/>
    <w:multiLevelType w:val="multilevel"/>
    <w:tmpl w:val="7FA36634"/>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4">
    <w:nsid w:val="7FB80A69"/>
    <w:multiLevelType w:val="multilevel"/>
    <w:tmpl w:val="7FB80A6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0"/>
  </w:num>
  <w:num w:numId="2">
    <w:abstractNumId w:val="39"/>
  </w:num>
  <w:num w:numId="3">
    <w:abstractNumId w:val="15"/>
  </w:num>
  <w:num w:numId="4">
    <w:abstractNumId w:val="60"/>
  </w:num>
  <w:num w:numId="5">
    <w:abstractNumId w:val="53"/>
  </w:num>
  <w:num w:numId="6">
    <w:abstractNumId w:val="8"/>
  </w:num>
  <w:num w:numId="7">
    <w:abstractNumId w:val="63"/>
  </w:num>
  <w:num w:numId="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59"/>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num>
  <w:num w:numId="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8"/>
    <w:lvlOverride w:ilvl="0">
      <w:startOverride w:val="1"/>
    </w:lvlOverride>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lvlOverride w:ilvl="0">
      <w:startOverride w:val="1"/>
    </w:lvlOverride>
  </w:num>
  <w:num w:numId="21">
    <w:abstractNumId w:val="32"/>
  </w:num>
  <w:num w:numId="22">
    <w:abstractNumId w:val="31"/>
    <w:lvlOverride w:ilvl="0">
      <w:startOverride w:val="1"/>
    </w:lvlOverride>
  </w:num>
  <w:num w:numId="23">
    <w:abstractNumId w:val="51"/>
  </w:num>
  <w:num w:numId="24">
    <w:abstractNumId w:val="29"/>
  </w:num>
  <w:num w:numId="25">
    <w:abstractNumId w:val="27"/>
  </w:num>
  <w:num w:numId="26">
    <w:abstractNumId w:val="24"/>
  </w:num>
  <w:num w:numId="27">
    <w:abstractNumId w:val="64"/>
  </w:num>
  <w:num w:numId="28">
    <w:abstractNumId w:val="50"/>
  </w:num>
  <w:num w:numId="29">
    <w:abstractNumId w:val="56"/>
  </w:num>
  <w:num w:numId="30">
    <w:abstractNumId w:val="1"/>
  </w:num>
  <w:num w:numId="31">
    <w:abstractNumId w:val="17"/>
  </w:num>
  <w:num w:numId="32">
    <w:abstractNumId w:val="22"/>
  </w:num>
  <w:num w:numId="33">
    <w:abstractNumId w:val="2"/>
  </w:num>
  <w:num w:numId="34">
    <w:abstractNumId w:val="57"/>
  </w:num>
  <w:num w:numId="35">
    <w:abstractNumId w:val="47"/>
  </w:num>
  <w:num w:numId="36">
    <w:abstractNumId w:val="49"/>
  </w:num>
  <w:num w:numId="37">
    <w:abstractNumId w:val="42"/>
  </w:num>
  <w:num w:numId="38">
    <w:abstractNumId w:val="34"/>
  </w:num>
  <w:num w:numId="39">
    <w:abstractNumId w:val="58"/>
  </w:num>
  <w:num w:numId="40">
    <w:abstractNumId w:val="4"/>
  </w:num>
  <w:num w:numId="41">
    <w:abstractNumId w:val="19"/>
  </w:num>
  <w:num w:numId="42">
    <w:abstractNumId w:val="16"/>
  </w:num>
  <w:num w:numId="43">
    <w:abstractNumId w:val="14"/>
  </w:num>
  <w:num w:numId="44">
    <w:abstractNumId w:val="12"/>
  </w:num>
  <w:num w:numId="45">
    <w:abstractNumId w:val="35"/>
  </w:num>
  <w:num w:numId="46">
    <w:abstractNumId w:val="36"/>
  </w:num>
  <w:num w:numId="47">
    <w:abstractNumId w:val="61"/>
  </w:num>
  <w:num w:numId="48">
    <w:abstractNumId w:val="6"/>
  </w:num>
  <w:num w:numId="49">
    <w:abstractNumId w:val="62"/>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num>
  <w:num w:numId="53">
    <w:abstractNumId w:val="44"/>
  </w:num>
  <w:num w:numId="54">
    <w:abstractNumId w:val="18"/>
  </w:num>
  <w:num w:numId="55">
    <w:abstractNumId w:val="23"/>
  </w:num>
  <w:num w:numId="56">
    <w:abstractNumId w:val="20"/>
  </w:num>
  <w:num w:numId="57">
    <w:abstractNumId w:val="3"/>
  </w:num>
  <w:num w:numId="58">
    <w:abstractNumId w:val="55"/>
  </w:num>
  <w:num w:numId="59">
    <w:abstractNumId w:val="13"/>
  </w:num>
  <w:num w:numId="60">
    <w:abstractNumId w:val="26"/>
  </w:num>
  <w:num w:numId="61">
    <w:abstractNumId w:val="11"/>
  </w:num>
  <w:num w:numId="62">
    <w:abstractNumId w:val="30"/>
  </w:num>
  <w:num w:numId="63">
    <w:abstractNumId w:val="52"/>
  </w:num>
  <w:num w:numId="64">
    <w:abstractNumId w:val="33"/>
  </w:num>
  <w:num w:numId="65">
    <w:abstractNumId w:val="37"/>
  </w:num>
  <w:num w:numId="66">
    <w:abstractNumId w:val="5"/>
  </w:num>
  <w:num w:numId="6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0"/>
  <w:bordersDoNotSurroundFooter w:val="0"/>
  <w:hideSpellingErrors/>
  <w:hideGrammaticalErrors/>
  <w:documentProtection w:enforcement="0"/>
  <w:defaultTabStop w:val="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2NDY3NGMyZmJmMWZmNzk5NTE2MmJhZWI4MWI1MzkifQ=="/>
  </w:docVars>
  <w:rsids>
    <w:rsidRoot w:val="006D1E24"/>
    <w:rsid w:val="00001D14"/>
    <w:rsid w:val="00003FB3"/>
    <w:rsid w:val="00004907"/>
    <w:rsid w:val="000057B9"/>
    <w:rsid w:val="00005869"/>
    <w:rsid w:val="0000597B"/>
    <w:rsid w:val="00007588"/>
    <w:rsid w:val="000075A0"/>
    <w:rsid w:val="00010968"/>
    <w:rsid w:val="00011A09"/>
    <w:rsid w:val="00012B5E"/>
    <w:rsid w:val="00014A6B"/>
    <w:rsid w:val="0001593D"/>
    <w:rsid w:val="00015BF3"/>
    <w:rsid w:val="00015CF1"/>
    <w:rsid w:val="00016CB3"/>
    <w:rsid w:val="00016DEE"/>
    <w:rsid w:val="000202BD"/>
    <w:rsid w:val="00020D9C"/>
    <w:rsid w:val="0002129D"/>
    <w:rsid w:val="00021A11"/>
    <w:rsid w:val="00021AA4"/>
    <w:rsid w:val="0002398D"/>
    <w:rsid w:val="000246FF"/>
    <w:rsid w:val="00024789"/>
    <w:rsid w:val="00025960"/>
    <w:rsid w:val="00027253"/>
    <w:rsid w:val="000276E2"/>
    <w:rsid w:val="00027794"/>
    <w:rsid w:val="00030B3A"/>
    <w:rsid w:val="00032550"/>
    <w:rsid w:val="000333C1"/>
    <w:rsid w:val="00033ED9"/>
    <w:rsid w:val="000357F1"/>
    <w:rsid w:val="0003775A"/>
    <w:rsid w:val="00037E1F"/>
    <w:rsid w:val="00041272"/>
    <w:rsid w:val="0004206C"/>
    <w:rsid w:val="0004255D"/>
    <w:rsid w:val="00042E7E"/>
    <w:rsid w:val="000437ED"/>
    <w:rsid w:val="0004453D"/>
    <w:rsid w:val="000445C6"/>
    <w:rsid w:val="00044D32"/>
    <w:rsid w:val="000462F1"/>
    <w:rsid w:val="00047CB9"/>
    <w:rsid w:val="00047E9C"/>
    <w:rsid w:val="00051CBD"/>
    <w:rsid w:val="00052288"/>
    <w:rsid w:val="00052F71"/>
    <w:rsid w:val="00055DE2"/>
    <w:rsid w:val="000560BC"/>
    <w:rsid w:val="00057963"/>
    <w:rsid w:val="00061B23"/>
    <w:rsid w:val="00062473"/>
    <w:rsid w:val="00062A74"/>
    <w:rsid w:val="00062DCD"/>
    <w:rsid w:val="00063079"/>
    <w:rsid w:val="00063128"/>
    <w:rsid w:val="0006489D"/>
    <w:rsid w:val="00070CDD"/>
    <w:rsid w:val="00073027"/>
    <w:rsid w:val="00073E0B"/>
    <w:rsid w:val="00074915"/>
    <w:rsid w:val="0007547C"/>
    <w:rsid w:val="00075B62"/>
    <w:rsid w:val="000768CC"/>
    <w:rsid w:val="00077A51"/>
    <w:rsid w:val="00081BE6"/>
    <w:rsid w:val="00081C20"/>
    <w:rsid w:val="0008220C"/>
    <w:rsid w:val="00085530"/>
    <w:rsid w:val="000855BF"/>
    <w:rsid w:val="000862FE"/>
    <w:rsid w:val="00087053"/>
    <w:rsid w:val="0008747D"/>
    <w:rsid w:val="000901AA"/>
    <w:rsid w:val="00092670"/>
    <w:rsid w:val="0009287B"/>
    <w:rsid w:val="00094678"/>
    <w:rsid w:val="000950F9"/>
    <w:rsid w:val="00096BF6"/>
    <w:rsid w:val="000975BF"/>
    <w:rsid w:val="000A0EF5"/>
    <w:rsid w:val="000A1448"/>
    <w:rsid w:val="000A1D1F"/>
    <w:rsid w:val="000A1E34"/>
    <w:rsid w:val="000A2258"/>
    <w:rsid w:val="000A3AD8"/>
    <w:rsid w:val="000A3C0C"/>
    <w:rsid w:val="000A5778"/>
    <w:rsid w:val="000A6FD7"/>
    <w:rsid w:val="000A705A"/>
    <w:rsid w:val="000A71E6"/>
    <w:rsid w:val="000A7213"/>
    <w:rsid w:val="000A7F41"/>
    <w:rsid w:val="000B256E"/>
    <w:rsid w:val="000B53A1"/>
    <w:rsid w:val="000B55EC"/>
    <w:rsid w:val="000B67FE"/>
    <w:rsid w:val="000B6EB8"/>
    <w:rsid w:val="000B731B"/>
    <w:rsid w:val="000C063A"/>
    <w:rsid w:val="000C09BF"/>
    <w:rsid w:val="000C0A9D"/>
    <w:rsid w:val="000C0F5A"/>
    <w:rsid w:val="000C1E9B"/>
    <w:rsid w:val="000C228B"/>
    <w:rsid w:val="000C37EF"/>
    <w:rsid w:val="000C4244"/>
    <w:rsid w:val="000D090B"/>
    <w:rsid w:val="000D14BD"/>
    <w:rsid w:val="000D204A"/>
    <w:rsid w:val="000D2C2A"/>
    <w:rsid w:val="000D3834"/>
    <w:rsid w:val="000D4D81"/>
    <w:rsid w:val="000D5E77"/>
    <w:rsid w:val="000D6E7B"/>
    <w:rsid w:val="000E045B"/>
    <w:rsid w:val="000E1C06"/>
    <w:rsid w:val="000E1EDF"/>
    <w:rsid w:val="000E25C5"/>
    <w:rsid w:val="000E28EF"/>
    <w:rsid w:val="000E2CF1"/>
    <w:rsid w:val="000E2DD2"/>
    <w:rsid w:val="000E3E04"/>
    <w:rsid w:val="000E4B58"/>
    <w:rsid w:val="000E4D61"/>
    <w:rsid w:val="000E579C"/>
    <w:rsid w:val="000E5DCA"/>
    <w:rsid w:val="000E5F8C"/>
    <w:rsid w:val="000E65C0"/>
    <w:rsid w:val="000E68A1"/>
    <w:rsid w:val="000F1D30"/>
    <w:rsid w:val="000F2448"/>
    <w:rsid w:val="000F6AD7"/>
    <w:rsid w:val="000F6C5A"/>
    <w:rsid w:val="000F6D4B"/>
    <w:rsid w:val="00100E05"/>
    <w:rsid w:val="00102BE9"/>
    <w:rsid w:val="0010374A"/>
    <w:rsid w:val="00104246"/>
    <w:rsid w:val="001051DB"/>
    <w:rsid w:val="00107748"/>
    <w:rsid w:val="00107807"/>
    <w:rsid w:val="00107991"/>
    <w:rsid w:val="00107E05"/>
    <w:rsid w:val="00107F69"/>
    <w:rsid w:val="00110A63"/>
    <w:rsid w:val="001112C1"/>
    <w:rsid w:val="001162FB"/>
    <w:rsid w:val="00120CA5"/>
    <w:rsid w:val="00122DE5"/>
    <w:rsid w:val="0012392E"/>
    <w:rsid w:val="001241F1"/>
    <w:rsid w:val="0012524C"/>
    <w:rsid w:val="001258A8"/>
    <w:rsid w:val="00125A7A"/>
    <w:rsid w:val="00126370"/>
    <w:rsid w:val="00127F1F"/>
    <w:rsid w:val="001306E5"/>
    <w:rsid w:val="001315EB"/>
    <w:rsid w:val="00133588"/>
    <w:rsid w:val="001337DF"/>
    <w:rsid w:val="0013604E"/>
    <w:rsid w:val="00137021"/>
    <w:rsid w:val="001374C5"/>
    <w:rsid w:val="00140D89"/>
    <w:rsid w:val="00141291"/>
    <w:rsid w:val="001413DE"/>
    <w:rsid w:val="00141474"/>
    <w:rsid w:val="00141EC9"/>
    <w:rsid w:val="0014291A"/>
    <w:rsid w:val="001434C4"/>
    <w:rsid w:val="001438EB"/>
    <w:rsid w:val="00143DC1"/>
    <w:rsid w:val="00144944"/>
    <w:rsid w:val="001464EC"/>
    <w:rsid w:val="0014690F"/>
    <w:rsid w:val="001476AF"/>
    <w:rsid w:val="001521DF"/>
    <w:rsid w:val="00152C1A"/>
    <w:rsid w:val="0015477C"/>
    <w:rsid w:val="00154DB8"/>
    <w:rsid w:val="001558E8"/>
    <w:rsid w:val="001559C5"/>
    <w:rsid w:val="00156364"/>
    <w:rsid w:val="001567BD"/>
    <w:rsid w:val="00156AD9"/>
    <w:rsid w:val="0015713C"/>
    <w:rsid w:val="001603BD"/>
    <w:rsid w:val="00160E7C"/>
    <w:rsid w:val="00160F5A"/>
    <w:rsid w:val="0016204E"/>
    <w:rsid w:val="00162F41"/>
    <w:rsid w:val="0016398B"/>
    <w:rsid w:val="001653DA"/>
    <w:rsid w:val="00165875"/>
    <w:rsid w:val="00165C45"/>
    <w:rsid w:val="00166608"/>
    <w:rsid w:val="00167E66"/>
    <w:rsid w:val="00170340"/>
    <w:rsid w:val="00170713"/>
    <w:rsid w:val="001712B8"/>
    <w:rsid w:val="00172DC9"/>
    <w:rsid w:val="00173C41"/>
    <w:rsid w:val="00173C8F"/>
    <w:rsid w:val="00174F8F"/>
    <w:rsid w:val="00176123"/>
    <w:rsid w:val="00176386"/>
    <w:rsid w:val="00176B74"/>
    <w:rsid w:val="00180C55"/>
    <w:rsid w:val="00180FCE"/>
    <w:rsid w:val="00182766"/>
    <w:rsid w:val="001830EA"/>
    <w:rsid w:val="001845D4"/>
    <w:rsid w:val="001848F1"/>
    <w:rsid w:val="00184F2C"/>
    <w:rsid w:val="001851E3"/>
    <w:rsid w:val="00186411"/>
    <w:rsid w:val="00186424"/>
    <w:rsid w:val="0018646D"/>
    <w:rsid w:val="00190437"/>
    <w:rsid w:val="00191A7D"/>
    <w:rsid w:val="00193C2A"/>
    <w:rsid w:val="001945B8"/>
    <w:rsid w:val="00194691"/>
    <w:rsid w:val="00195240"/>
    <w:rsid w:val="00196397"/>
    <w:rsid w:val="00197B12"/>
    <w:rsid w:val="001A1B30"/>
    <w:rsid w:val="001A2791"/>
    <w:rsid w:val="001A714E"/>
    <w:rsid w:val="001A7B9F"/>
    <w:rsid w:val="001A7C37"/>
    <w:rsid w:val="001B0149"/>
    <w:rsid w:val="001B041E"/>
    <w:rsid w:val="001B0424"/>
    <w:rsid w:val="001B05F6"/>
    <w:rsid w:val="001B0D4B"/>
    <w:rsid w:val="001B1E47"/>
    <w:rsid w:val="001B2099"/>
    <w:rsid w:val="001B2883"/>
    <w:rsid w:val="001B2E18"/>
    <w:rsid w:val="001B3CFD"/>
    <w:rsid w:val="001B3DD5"/>
    <w:rsid w:val="001B3F0F"/>
    <w:rsid w:val="001B79BF"/>
    <w:rsid w:val="001C0B43"/>
    <w:rsid w:val="001C162C"/>
    <w:rsid w:val="001C1E3D"/>
    <w:rsid w:val="001C2649"/>
    <w:rsid w:val="001C2B03"/>
    <w:rsid w:val="001C2C69"/>
    <w:rsid w:val="001C3C89"/>
    <w:rsid w:val="001C3F5C"/>
    <w:rsid w:val="001C5464"/>
    <w:rsid w:val="001C560E"/>
    <w:rsid w:val="001C59FC"/>
    <w:rsid w:val="001C5D49"/>
    <w:rsid w:val="001C651B"/>
    <w:rsid w:val="001C6674"/>
    <w:rsid w:val="001C7EA9"/>
    <w:rsid w:val="001D0DDC"/>
    <w:rsid w:val="001D1275"/>
    <w:rsid w:val="001D1438"/>
    <w:rsid w:val="001D17BA"/>
    <w:rsid w:val="001D201F"/>
    <w:rsid w:val="001D2C1F"/>
    <w:rsid w:val="001D3A09"/>
    <w:rsid w:val="001D433D"/>
    <w:rsid w:val="001D618A"/>
    <w:rsid w:val="001D64E0"/>
    <w:rsid w:val="001D6D30"/>
    <w:rsid w:val="001E0048"/>
    <w:rsid w:val="001E0AF4"/>
    <w:rsid w:val="001E15DC"/>
    <w:rsid w:val="001E2A0A"/>
    <w:rsid w:val="001E324D"/>
    <w:rsid w:val="001E39E7"/>
    <w:rsid w:val="001E6112"/>
    <w:rsid w:val="001E7788"/>
    <w:rsid w:val="001E7991"/>
    <w:rsid w:val="001F145D"/>
    <w:rsid w:val="001F2F59"/>
    <w:rsid w:val="001F3539"/>
    <w:rsid w:val="001F3853"/>
    <w:rsid w:val="001F3FDC"/>
    <w:rsid w:val="001F5418"/>
    <w:rsid w:val="001F74E8"/>
    <w:rsid w:val="002010F2"/>
    <w:rsid w:val="002017B3"/>
    <w:rsid w:val="0020216F"/>
    <w:rsid w:val="0020431E"/>
    <w:rsid w:val="0020456B"/>
    <w:rsid w:val="00205C2E"/>
    <w:rsid w:val="00207B4E"/>
    <w:rsid w:val="00210392"/>
    <w:rsid w:val="002109CC"/>
    <w:rsid w:val="00210D4C"/>
    <w:rsid w:val="00213454"/>
    <w:rsid w:val="002149F3"/>
    <w:rsid w:val="0021636E"/>
    <w:rsid w:val="00216461"/>
    <w:rsid w:val="002177C0"/>
    <w:rsid w:val="00217911"/>
    <w:rsid w:val="002179C0"/>
    <w:rsid w:val="002200BC"/>
    <w:rsid w:val="0022246C"/>
    <w:rsid w:val="0022262F"/>
    <w:rsid w:val="00222817"/>
    <w:rsid w:val="002233EC"/>
    <w:rsid w:val="002250A6"/>
    <w:rsid w:val="002255BE"/>
    <w:rsid w:val="0023172D"/>
    <w:rsid w:val="0023206B"/>
    <w:rsid w:val="00232E61"/>
    <w:rsid w:val="002336F3"/>
    <w:rsid w:val="00234EA4"/>
    <w:rsid w:val="00235D5D"/>
    <w:rsid w:val="0023604B"/>
    <w:rsid w:val="00240D2D"/>
    <w:rsid w:val="002424AF"/>
    <w:rsid w:val="0024288D"/>
    <w:rsid w:val="00242FE7"/>
    <w:rsid w:val="002434D9"/>
    <w:rsid w:val="002439BE"/>
    <w:rsid w:val="00243FA4"/>
    <w:rsid w:val="0024569C"/>
    <w:rsid w:val="00246597"/>
    <w:rsid w:val="00247BC5"/>
    <w:rsid w:val="00250163"/>
    <w:rsid w:val="00250A85"/>
    <w:rsid w:val="002514C8"/>
    <w:rsid w:val="0025344E"/>
    <w:rsid w:val="00254C4F"/>
    <w:rsid w:val="00254DD5"/>
    <w:rsid w:val="00257772"/>
    <w:rsid w:val="00260CC4"/>
    <w:rsid w:val="002610AA"/>
    <w:rsid w:val="00261D39"/>
    <w:rsid w:val="00262517"/>
    <w:rsid w:val="00263504"/>
    <w:rsid w:val="00263A42"/>
    <w:rsid w:val="00263D8B"/>
    <w:rsid w:val="00264F8F"/>
    <w:rsid w:val="0026596A"/>
    <w:rsid w:val="00265D3C"/>
    <w:rsid w:val="0026626A"/>
    <w:rsid w:val="00266376"/>
    <w:rsid w:val="0026656B"/>
    <w:rsid w:val="00266F33"/>
    <w:rsid w:val="002677AA"/>
    <w:rsid w:val="0027044A"/>
    <w:rsid w:val="00271B1A"/>
    <w:rsid w:val="00272C88"/>
    <w:rsid w:val="00273253"/>
    <w:rsid w:val="00276068"/>
    <w:rsid w:val="00276C1D"/>
    <w:rsid w:val="00277184"/>
    <w:rsid w:val="00277C54"/>
    <w:rsid w:val="00280A92"/>
    <w:rsid w:val="00280E8F"/>
    <w:rsid w:val="00281520"/>
    <w:rsid w:val="0028282F"/>
    <w:rsid w:val="002829E2"/>
    <w:rsid w:val="00284F5F"/>
    <w:rsid w:val="002864CD"/>
    <w:rsid w:val="00287999"/>
    <w:rsid w:val="00287A8C"/>
    <w:rsid w:val="00290E4B"/>
    <w:rsid w:val="00291EFA"/>
    <w:rsid w:val="00294153"/>
    <w:rsid w:val="00295D81"/>
    <w:rsid w:val="00296112"/>
    <w:rsid w:val="0029705C"/>
    <w:rsid w:val="00297C27"/>
    <w:rsid w:val="002A0EA0"/>
    <w:rsid w:val="002A0F0A"/>
    <w:rsid w:val="002A305B"/>
    <w:rsid w:val="002A411E"/>
    <w:rsid w:val="002A5964"/>
    <w:rsid w:val="002A5F03"/>
    <w:rsid w:val="002A6E2F"/>
    <w:rsid w:val="002B0B9F"/>
    <w:rsid w:val="002B1672"/>
    <w:rsid w:val="002B292F"/>
    <w:rsid w:val="002B3064"/>
    <w:rsid w:val="002B4238"/>
    <w:rsid w:val="002B636F"/>
    <w:rsid w:val="002B6A65"/>
    <w:rsid w:val="002B6C61"/>
    <w:rsid w:val="002C01C6"/>
    <w:rsid w:val="002C06C9"/>
    <w:rsid w:val="002C17E2"/>
    <w:rsid w:val="002C21E8"/>
    <w:rsid w:val="002C2360"/>
    <w:rsid w:val="002C2734"/>
    <w:rsid w:val="002C3215"/>
    <w:rsid w:val="002C364D"/>
    <w:rsid w:val="002C3771"/>
    <w:rsid w:val="002C3D47"/>
    <w:rsid w:val="002C4699"/>
    <w:rsid w:val="002C46B7"/>
    <w:rsid w:val="002C6C4D"/>
    <w:rsid w:val="002D164B"/>
    <w:rsid w:val="002D16FC"/>
    <w:rsid w:val="002D1C4F"/>
    <w:rsid w:val="002D3C08"/>
    <w:rsid w:val="002D5059"/>
    <w:rsid w:val="002D557F"/>
    <w:rsid w:val="002D5862"/>
    <w:rsid w:val="002D67CA"/>
    <w:rsid w:val="002D6970"/>
    <w:rsid w:val="002D70B3"/>
    <w:rsid w:val="002D74A6"/>
    <w:rsid w:val="002D7600"/>
    <w:rsid w:val="002D794D"/>
    <w:rsid w:val="002E18B4"/>
    <w:rsid w:val="002E2A86"/>
    <w:rsid w:val="002E2C80"/>
    <w:rsid w:val="002E31E7"/>
    <w:rsid w:val="002E32AA"/>
    <w:rsid w:val="002E543A"/>
    <w:rsid w:val="002E635F"/>
    <w:rsid w:val="002E65D3"/>
    <w:rsid w:val="002E68DC"/>
    <w:rsid w:val="002E6A25"/>
    <w:rsid w:val="002E6B3F"/>
    <w:rsid w:val="002E71A2"/>
    <w:rsid w:val="002E782D"/>
    <w:rsid w:val="002E792F"/>
    <w:rsid w:val="002F037F"/>
    <w:rsid w:val="002F19DB"/>
    <w:rsid w:val="002F2670"/>
    <w:rsid w:val="002F4305"/>
    <w:rsid w:val="002F4560"/>
    <w:rsid w:val="002F67EF"/>
    <w:rsid w:val="003004E2"/>
    <w:rsid w:val="00300CCB"/>
    <w:rsid w:val="00302333"/>
    <w:rsid w:val="00302486"/>
    <w:rsid w:val="003069A6"/>
    <w:rsid w:val="00306EB1"/>
    <w:rsid w:val="00310005"/>
    <w:rsid w:val="00310C54"/>
    <w:rsid w:val="003116CF"/>
    <w:rsid w:val="00311EA8"/>
    <w:rsid w:val="00312426"/>
    <w:rsid w:val="00313C13"/>
    <w:rsid w:val="00314673"/>
    <w:rsid w:val="0031734A"/>
    <w:rsid w:val="00317B40"/>
    <w:rsid w:val="00320933"/>
    <w:rsid w:val="00320956"/>
    <w:rsid w:val="003211E6"/>
    <w:rsid w:val="00322D96"/>
    <w:rsid w:val="00324AB3"/>
    <w:rsid w:val="00325834"/>
    <w:rsid w:val="00325C11"/>
    <w:rsid w:val="0032602E"/>
    <w:rsid w:val="00331E14"/>
    <w:rsid w:val="003324BB"/>
    <w:rsid w:val="003330C2"/>
    <w:rsid w:val="00335493"/>
    <w:rsid w:val="00336072"/>
    <w:rsid w:val="00337135"/>
    <w:rsid w:val="00337612"/>
    <w:rsid w:val="00342C93"/>
    <w:rsid w:val="00342F0B"/>
    <w:rsid w:val="00347031"/>
    <w:rsid w:val="00347C15"/>
    <w:rsid w:val="00350628"/>
    <w:rsid w:val="003514EE"/>
    <w:rsid w:val="00352761"/>
    <w:rsid w:val="003551B4"/>
    <w:rsid w:val="00355398"/>
    <w:rsid w:val="0035559A"/>
    <w:rsid w:val="00356B01"/>
    <w:rsid w:val="003576E6"/>
    <w:rsid w:val="00357EF8"/>
    <w:rsid w:val="003620DF"/>
    <w:rsid w:val="003628BF"/>
    <w:rsid w:val="0036458A"/>
    <w:rsid w:val="00366A80"/>
    <w:rsid w:val="00366EEC"/>
    <w:rsid w:val="0036769F"/>
    <w:rsid w:val="00367944"/>
    <w:rsid w:val="00367E08"/>
    <w:rsid w:val="00370B51"/>
    <w:rsid w:val="003718C3"/>
    <w:rsid w:val="00372139"/>
    <w:rsid w:val="0037276D"/>
    <w:rsid w:val="003728E8"/>
    <w:rsid w:val="00372D5B"/>
    <w:rsid w:val="00373F68"/>
    <w:rsid w:val="0037478D"/>
    <w:rsid w:val="00375A09"/>
    <w:rsid w:val="003766B2"/>
    <w:rsid w:val="00381A65"/>
    <w:rsid w:val="00381BC0"/>
    <w:rsid w:val="00381F10"/>
    <w:rsid w:val="00385140"/>
    <w:rsid w:val="00386842"/>
    <w:rsid w:val="003869B6"/>
    <w:rsid w:val="00387DB2"/>
    <w:rsid w:val="0039040B"/>
    <w:rsid w:val="00391035"/>
    <w:rsid w:val="00392919"/>
    <w:rsid w:val="00394DFC"/>
    <w:rsid w:val="00396220"/>
    <w:rsid w:val="003970A0"/>
    <w:rsid w:val="00397BE2"/>
    <w:rsid w:val="003A0DEE"/>
    <w:rsid w:val="003A12E8"/>
    <w:rsid w:val="003A2C0F"/>
    <w:rsid w:val="003A3957"/>
    <w:rsid w:val="003A4DEB"/>
    <w:rsid w:val="003A500C"/>
    <w:rsid w:val="003A5BF7"/>
    <w:rsid w:val="003A5FC8"/>
    <w:rsid w:val="003A6245"/>
    <w:rsid w:val="003B02AA"/>
    <w:rsid w:val="003B1653"/>
    <w:rsid w:val="003B16A0"/>
    <w:rsid w:val="003B1BFF"/>
    <w:rsid w:val="003B34FF"/>
    <w:rsid w:val="003B3CC3"/>
    <w:rsid w:val="003B57AA"/>
    <w:rsid w:val="003B6288"/>
    <w:rsid w:val="003B654E"/>
    <w:rsid w:val="003C0EF7"/>
    <w:rsid w:val="003C1184"/>
    <w:rsid w:val="003C2131"/>
    <w:rsid w:val="003C2639"/>
    <w:rsid w:val="003C3666"/>
    <w:rsid w:val="003C3983"/>
    <w:rsid w:val="003C4099"/>
    <w:rsid w:val="003C74B2"/>
    <w:rsid w:val="003D2EE1"/>
    <w:rsid w:val="003D42E7"/>
    <w:rsid w:val="003D578B"/>
    <w:rsid w:val="003D7D57"/>
    <w:rsid w:val="003D7E9D"/>
    <w:rsid w:val="003E1BF6"/>
    <w:rsid w:val="003E42C6"/>
    <w:rsid w:val="003E4BD8"/>
    <w:rsid w:val="003E5236"/>
    <w:rsid w:val="003E52F2"/>
    <w:rsid w:val="003E5604"/>
    <w:rsid w:val="003E6406"/>
    <w:rsid w:val="003E6A09"/>
    <w:rsid w:val="003E6E42"/>
    <w:rsid w:val="003E709C"/>
    <w:rsid w:val="003E717C"/>
    <w:rsid w:val="003E7CA0"/>
    <w:rsid w:val="003F0C44"/>
    <w:rsid w:val="003F3580"/>
    <w:rsid w:val="003F360D"/>
    <w:rsid w:val="003F4E90"/>
    <w:rsid w:val="003F5459"/>
    <w:rsid w:val="003F5AED"/>
    <w:rsid w:val="003F5E5E"/>
    <w:rsid w:val="003F6DE6"/>
    <w:rsid w:val="003F6F4B"/>
    <w:rsid w:val="003F7856"/>
    <w:rsid w:val="00400B3E"/>
    <w:rsid w:val="0040109A"/>
    <w:rsid w:val="00401104"/>
    <w:rsid w:val="00401A3C"/>
    <w:rsid w:val="00403219"/>
    <w:rsid w:val="004062F8"/>
    <w:rsid w:val="00406833"/>
    <w:rsid w:val="0040745D"/>
    <w:rsid w:val="00407F26"/>
    <w:rsid w:val="00413265"/>
    <w:rsid w:val="00413770"/>
    <w:rsid w:val="004159C7"/>
    <w:rsid w:val="00416AF9"/>
    <w:rsid w:val="00422955"/>
    <w:rsid w:val="004229B2"/>
    <w:rsid w:val="00422D1C"/>
    <w:rsid w:val="00423302"/>
    <w:rsid w:val="00424CF0"/>
    <w:rsid w:val="00424EC0"/>
    <w:rsid w:val="00425096"/>
    <w:rsid w:val="00425128"/>
    <w:rsid w:val="00426094"/>
    <w:rsid w:val="00426B48"/>
    <w:rsid w:val="004305B8"/>
    <w:rsid w:val="00431173"/>
    <w:rsid w:val="00431EED"/>
    <w:rsid w:val="00432010"/>
    <w:rsid w:val="00434873"/>
    <w:rsid w:val="004359B6"/>
    <w:rsid w:val="00436072"/>
    <w:rsid w:val="004362FE"/>
    <w:rsid w:val="0043650B"/>
    <w:rsid w:val="00436FE1"/>
    <w:rsid w:val="00437817"/>
    <w:rsid w:val="00444ADD"/>
    <w:rsid w:val="004451C2"/>
    <w:rsid w:val="00445D76"/>
    <w:rsid w:val="00446220"/>
    <w:rsid w:val="004467DC"/>
    <w:rsid w:val="00446C3E"/>
    <w:rsid w:val="00452229"/>
    <w:rsid w:val="0045388A"/>
    <w:rsid w:val="004539CD"/>
    <w:rsid w:val="004545D0"/>
    <w:rsid w:val="004547AB"/>
    <w:rsid w:val="00454D2C"/>
    <w:rsid w:val="0045530D"/>
    <w:rsid w:val="004555EE"/>
    <w:rsid w:val="00456ADD"/>
    <w:rsid w:val="00456C5A"/>
    <w:rsid w:val="00456CE8"/>
    <w:rsid w:val="0045728D"/>
    <w:rsid w:val="004613BF"/>
    <w:rsid w:val="00463A3A"/>
    <w:rsid w:val="00463CF7"/>
    <w:rsid w:val="0046422B"/>
    <w:rsid w:val="00464CF3"/>
    <w:rsid w:val="00464D06"/>
    <w:rsid w:val="0046568F"/>
    <w:rsid w:val="00466026"/>
    <w:rsid w:val="0046735C"/>
    <w:rsid w:val="00467C8B"/>
    <w:rsid w:val="004706A5"/>
    <w:rsid w:val="00470BBF"/>
    <w:rsid w:val="00474A74"/>
    <w:rsid w:val="004817CC"/>
    <w:rsid w:val="0048232D"/>
    <w:rsid w:val="00483139"/>
    <w:rsid w:val="00484350"/>
    <w:rsid w:val="00484D35"/>
    <w:rsid w:val="00485FDC"/>
    <w:rsid w:val="00486C53"/>
    <w:rsid w:val="0048715D"/>
    <w:rsid w:val="004876D5"/>
    <w:rsid w:val="004908F9"/>
    <w:rsid w:val="004923F7"/>
    <w:rsid w:val="00492A9C"/>
    <w:rsid w:val="00492AB2"/>
    <w:rsid w:val="00493539"/>
    <w:rsid w:val="00493D14"/>
    <w:rsid w:val="00494DEE"/>
    <w:rsid w:val="004951C8"/>
    <w:rsid w:val="00497BB3"/>
    <w:rsid w:val="004A0251"/>
    <w:rsid w:val="004A046F"/>
    <w:rsid w:val="004A0902"/>
    <w:rsid w:val="004A09A6"/>
    <w:rsid w:val="004A14E5"/>
    <w:rsid w:val="004A1733"/>
    <w:rsid w:val="004A194C"/>
    <w:rsid w:val="004A23A1"/>
    <w:rsid w:val="004A24B1"/>
    <w:rsid w:val="004A4C51"/>
    <w:rsid w:val="004A5604"/>
    <w:rsid w:val="004A596D"/>
    <w:rsid w:val="004A59D9"/>
    <w:rsid w:val="004A6078"/>
    <w:rsid w:val="004A701D"/>
    <w:rsid w:val="004A7BD9"/>
    <w:rsid w:val="004A7D86"/>
    <w:rsid w:val="004A7F16"/>
    <w:rsid w:val="004B0624"/>
    <w:rsid w:val="004B0CAD"/>
    <w:rsid w:val="004B4E22"/>
    <w:rsid w:val="004B614C"/>
    <w:rsid w:val="004C0425"/>
    <w:rsid w:val="004C06B7"/>
    <w:rsid w:val="004C17E1"/>
    <w:rsid w:val="004C1CF8"/>
    <w:rsid w:val="004C3BF4"/>
    <w:rsid w:val="004C498B"/>
    <w:rsid w:val="004D013F"/>
    <w:rsid w:val="004D0596"/>
    <w:rsid w:val="004D07CA"/>
    <w:rsid w:val="004D0FA8"/>
    <w:rsid w:val="004D1731"/>
    <w:rsid w:val="004D22F4"/>
    <w:rsid w:val="004D27D7"/>
    <w:rsid w:val="004D3245"/>
    <w:rsid w:val="004D3F7F"/>
    <w:rsid w:val="004E0925"/>
    <w:rsid w:val="004E1970"/>
    <w:rsid w:val="004E1B6D"/>
    <w:rsid w:val="004E1D43"/>
    <w:rsid w:val="004E2339"/>
    <w:rsid w:val="004E24FF"/>
    <w:rsid w:val="004E3223"/>
    <w:rsid w:val="004E3E10"/>
    <w:rsid w:val="004E4708"/>
    <w:rsid w:val="004E4714"/>
    <w:rsid w:val="004E49BC"/>
    <w:rsid w:val="004E5C03"/>
    <w:rsid w:val="004E5F93"/>
    <w:rsid w:val="004E70C5"/>
    <w:rsid w:val="004E7D6B"/>
    <w:rsid w:val="004F0949"/>
    <w:rsid w:val="004F1CD9"/>
    <w:rsid w:val="004F4901"/>
    <w:rsid w:val="004F538E"/>
    <w:rsid w:val="00503B90"/>
    <w:rsid w:val="00504011"/>
    <w:rsid w:val="005079C9"/>
    <w:rsid w:val="00510268"/>
    <w:rsid w:val="00510982"/>
    <w:rsid w:val="005112A3"/>
    <w:rsid w:val="00511D96"/>
    <w:rsid w:val="00512735"/>
    <w:rsid w:val="00514261"/>
    <w:rsid w:val="00514617"/>
    <w:rsid w:val="00515EB1"/>
    <w:rsid w:val="00516EDF"/>
    <w:rsid w:val="00517237"/>
    <w:rsid w:val="00520559"/>
    <w:rsid w:val="00520659"/>
    <w:rsid w:val="00521172"/>
    <w:rsid w:val="005227F2"/>
    <w:rsid w:val="00523504"/>
    <w:rsid w:val="00523A2A"/>
    <w:rsid w:val="005242CA"/>
    <w:rsid w:val="005247A1"/>
    <w:rsid w:val="00524DDB"/>
    <w:rsid w:val="00525402"/>
    <w:rsid w:val="00530B70"/>
    <w:rsid w:val="00530CB7"/>
    <w:rsid w:val="00531093"/>
    <w:rsid w:val="005322AB"/>
    <w:rsid w:val="00533130"/>
    <w:rsid w:val="00534354"/>
    <w:rsid w:val="0053445B"/>
    <w:rsid w:val="00534666"/>
    <w:rsid w:val="005348FF"/>
    <w:rsid w:val="00535D4C"/>
    <w:rsid w:val="00542212"/>
    <w:rsid w:val="00542516"/>
    <w:rsid w:val="00543CA0"/>
    <w:rsid w:val="00543E79"/>
    <w:rsid w:val="00545F85"/>
    <w:rsid w:val="00546DC8"/>
    <w:rsid w:val="00546FB3"/>
    <w:rsid w:val="005473AE"/>
    <w:rsid w:val="00547C92"/>
    <w:rsid w:val="005514A7"/>
    <w:rsid w:val="00553505"/>
    <w:rsid w:val="005547C4"/>
    <w:rsid w:val="005548D5"/>
    <w:rsid w:val="00554BF2"/>
    <w:rsid w:val="005554FE"/>
    <w:rsid w:val="0055775A"/>
    <w:rsid w:val="005605AE"/>
    <w:rsid w:val="005624E9"/>
    <w:rsid w:val="0056313B"/>
    <w:rsid w:val="00564D16"/>
    <w:rsid w:val="00565324"/>
    <w:rsid w:val="00565790"/>
    <w:rsid w:val="0056663D"/>
    <w:rsid w:val="0056789E"/>
    <w:rsid w:val="00571BE7"/>
    <w:rsid w:val="00572028"/>
    <w:rsid w:val="00573490"/>
    <w:rsid w:val="00573876"/>
    <w:rsid w:val="00574FA4"/>
    <w:rsid w:val="00575101"/>
    <w:rsid w:val="00575FB9"/>
    <w:rsid w:val="00576906"/>
    <w:rsid w:val="00576A85"/>
    <w:rsid w:val="0057736F"/>
    <w:rsid w:val="0058074A"/>
    <w:rsid w:val="005809A2"/>
    <w:rsid w:val="00580D19"/>
    <w:rsid w:val="00581003"/>
    <w:rsid w:val="0058173A"/>
    <w:rsid w:val="005819BF"/>
    <w:rsid w:val="00581A41"/>
    <w:rsid w:val="00581A88"/>
    <w:rsid w:val="0058203B"/>
    <w:rsid w:val="00583ADB"/>
    <w:rsid w:val="00583FB6"/>
    <w:rsid w:val="00587874"/>
    <w:rsid w:val="00590013"/>
    <w:rsid w:val="00595349"/>
    <w:rsid w:val="005A0F69"/>
    <w:rsid w:val="005A13D3"/>
    <w:rsid w:val="005A1497"/>
    <w:rsid w:val="005A1C47"/>
    <w:rsid w:val="005A1FEB"/>
    <w:rsid w:val="005A457B"/>
    <w:rsid w:val="005A4A80"/>
    <w:rsid w:val="005A4F3C"/>
    <w:rsid w:val="005A5C85"/>
    <w:rsid w:val="005A6616"/>
    <w:rsid w:val="005B10BA"/>
    <w:rsid w:val="005B157C"/>
    <w:rsid w:val="005B1F45"/>
    <w:rsid w:val="005B200A"/>
    <w:rsid w:val="005B45CF"/>
    <w:rsid w:val="005B4876"/>
    <w:rsid w:val="005B51B6"/>
    <w:rsid w:val="005B59C8"/>
    <w:rsid w:val="005B6BB6"/>
    <w:rsid w:val="005C0710"/>
    <w:rsid w:val="005C3429"/>
    <w:rsid w:val="005C3992"/>
    <w:rsid w:val="005C4A12"/>
    <w:rsid w:val="005C5B43"/>
    <w:rsid w:val="005C743A"/>
    <w:rsid w:val="005C7CDE"/>
    <w:rsid w:val="005D05C1"/>
    <w:rsid w:val="005D1015"/>
    <w:rsid w:val="005D2321"/>
    <w:rsid w:val="005D26BE"/>
    <w:rsid w:val="005D4C85"/>
    <w:rsid w:val="005D4CF7"/>
    <w:rsid w:val="005D6187"/>
    <w:rsid w:val="005D6440"/>
    <w:rsid w:val="005D6AAD"/>
    <w:rsid w:val="005D6BDC"/>
    <w:rsid w:val="005D6EE0"/>
    <w:rsid w:val="005D6FA4"/>
    <w:rsid w:val="005E14E9"/>
    <w:rsid w:val="005E2223"/>
    <w:rsid w:val="005E2F6E"/>
    <w:rsid w:val="005E2FF9"/>
    <w:rsid w:val="005E5AE7"/>
    <w:rsid w:val="005E68C1"/>
    <w:rsid w:val="005E6B27"/>
    <w:rsid w:val="005E71D6"/>
    <w:rsid w:val="005E7C2F"/>
    <w:rsid w:val="005E7F32"/>
    <w:rsid w:val="005F06B2"/>
    <w:rsid w:val="005F153D"/>
    <w:rsid w:val="005F1A22"/>
    <w:rsid w:val="005F1BA7"/>
    <w:rsid w:val="005F216C"/>
    <w:rsid w:val="005F23ED"/>
    <w:rsid w:val="005F2F82"/>
    <w:rsid w:val="005F3889"/>
    <w:rsid w:val="005F42C7"/>
    <w:rsid w:val="005F4B13"/>
    <w:rsid w:val="005F4BAA"/>
    <w:rsid w:val="005F5614"/>
    <w:rsid w:val="005F58F6"/>
    <w:rsid w:val="005F6314"/>
    <w:rsid w:val="0060299F"/>
    <w:rsid w:val="006041B3"/>
    <w:rsid w:val="006042C3"/>
    <w:rsid w:val="00604320"/>
    <w:rsid w:val="00605194"/>
    <w:rsid w:val="006058B2"/>
    <w:rsid w:val="0060594D"/>
    <w:rsid w:val="00605C8D"/>
    <w:rsid w:val="00605FF8"/>
    <w:rsid w:val="00606456"/>
    <w:rsid w:val="00606580"/>
    <w:rsid w:val="00606B8B"/>
    <w:rsid w:val="006075EC"/>
    <w:rsid w:val="00610077"/>
    <w:rsid w:val="00610E5B"/>
    <w:rsid w:val="006115FF"/>
    <w:rsid w:val="00611CC4"/>
    <w:rsid w:val="00612A4F"/>
    <w:rsid w:val="00612B87"/>
    <w:rsid w:val="0061347B"/>
    <w:rsid w:val="00613D5A"/>
    <w:rsid w:val="006146A5"/>
    <w:rsid w:val="006148C6"/>
    <w:rsid w:val="00615E3B"/>
    <w:rsid w:val="00616743"/>
    <w:rsid w:val="00616E1D"/>
    <w:rsid w:val="00616F5E"/>
    <w:rsid w:val="006174BE"/>
    <w:rsid w:val="006201D6"/>
    <w:rsid w:val="00620EFD"/>
    <w:rsid w:val="00620FCD"/>
    <w:rsid w:val="0062129D"/>
    <w:rsid w:val="0062227C"/>
    <w:rsid w:val="006239FF"/>
    <w:rsid w:val="006256CE"/>
    <w:rsid w:val="006259A5"/>
    <w:rsid w:val="006300D3"/>
    <w:rsid w:val="006310C0"/>
    <w:rsid w:val="00631B00"/>
    <w:rsid w:val="00631CAC"/>
    <w:rsid w:val="006321E1"/>
    <w:rsid w:val="00632ADA"/>
    <w:rsid w:val="006336B2"/>
    <w:rsid w:val="00633D61"/>
    <w:rsid w:val="00633E3E"/>
    <w:rsid w:val="00634D47"/>
    <w:rsid w:val="006350C2"/>
    <w:rsid w:val="00635155"/>
    <w:rsid w:val="0063515E"/>
    <w:rsid w:val="00637451"/>
    <w:rsid w:val="00637896"/>
    <w:rsid w:val="00637FAB"/>
    <w:rsid w:val="00640175"/>
    <w:rsid w:val="006414E6"/>
    <w:rsid w:val="00641FBF"/>
    <w:rsid w:val="006420E8"/>
    <w:rsid w:val="00643401"/>
    <w:rsid w:val="0064737A"/>
    <w:rsid w:val="006479D9"/>
    <w:rsid w:val="00647B9C"/>
    <w:rsid w:val="006558F9"/>
    <w:rsid w:val="00656F1A"/>
    <w:rsid w:val="00657242"/>
    <w:rsid w:val="00660A19"/>
    <w:rsid w:val="00661073"/>
    <w:rsid w:val="00662741"/>
    <w:rsid w:val="00662F8A"/>
    <w:rsid w:val="006654C0"/>
    <w:rsid w:val="00666E08"/>
    <w:rsid w:val="00667E25"/>
    <w:rsid w:val="00667EEF"/>
    <w:rsid w:val="0067119F"/>
    <w:rsid w:val="00672243"/>
    <w:rsid w:val="006723C6"/>
    <w:rsid w:val="00675300"/>
    <w:rsid w:val="0067638A"/>
    <w:rsid w:val="00676A57"/>
    <w:rsid w:val="00677E41"/>
    <w:rsid w:val="00680700"/>
    <w:rsid w:val="00680D0B"/>
    <w:rsid w:val="006825FC"/>
    <w:rsid w:val="0068278C"/>
    <w:rsid w:val="00683ED3"/>
    <w:rsid w:val="00685206"/>
    <w:rsid w:val="0068537B"/>
    <w:rsid w:val="006868C0"/>
    <w:rsid w:val="00687BB7"/>
    <w:rsid w:val="00690C12"/>
    <w:rsid w:val="00690E1D"/>
    <w:rsid w:val="006912DA"/>
    <w:rsid w:val="00692DA8"/>
    <w:rsid w:val="00693415"/>
    <w:rsid w:val="00693838"/>
    <w:rsid w:val="00694AAE"/>
    <w:rsid w:val="00695BE5"/>
    <w:rsid w:val="0069643C"/>
    <w:rsid w:val="00697097"/>
    <w:rsid w:val="006979BF"/>
    <w:rsid w:val="00697E9A"/>
    <w:rsid w:val="006A26CF"/>
    <w:rsid w:val="006A281F"/>
    <w:rsid w:val="006A3C17"/>
    <w:rsid w:val="006A4920"/>
    <w:rsid w:val="006A61E8"/>
    <w:rsid w:val="006A7B52"/>
    <w:rsid w:val="006B404C"/>
    <w:rsid w:val="006B4649"/>
    <w:rsid w:val="006B5212"/>
    <w:rsid w:val="006B79D0"/>
    <w:rsid w:val="006B7EE6"/>
    <w:rsid w:val="006C0F11"/>
    <w:rsid w:val="006C213E"/>
    <w:rsid w:val="006C2339"/>
    <w:rsid w:val="006C327F"/>
    <w:rsid w:val="006C35BA"/>
    <w:rsid w:val="006C35DB"/>
    <w:rsid w:val="006C3739"/>
    <w:rsid w:val="006C37B1"/>
    <w:rsid w:val="006C3A0D"/>
    <w:rsid w:val="006C3DAC"/>
    <w:rsid w:val="006C432A"/>
    <w:rsid w:val="006C4D0E"/>
    <w:rsid w:val="006C57D3"/>
    <w:rsid w:val="006C6F1E"/>
    <w:rsid w:val="006C7204"/>
    <w:rsid w:val="006C7506"/>
    <w:rsid w:val="006D021D"/>
    <w:rsid w:val="006D041A"/>
    <w:rsid w:val="006D149F"/>
    <w:rsid w:val="006D1E24"/>
    <w:rsid w:val="006D2B09"/>
    <w:rsid w:val="006D3574"/>
    <w:rsid w:val="006D3759"/>
    <w:rsid w:val="006D3969"/>
    <w:rsid w:val="006D73B0"/>
    <w:rsid w:val="006E3C97"/>
    <w:rsid w:val="006E3CF4"/>
    <w:rsid w:val="006E4607"/>
    <w:rsid w:val="006E4787"/>
    <w:rsid w:val="006E4FF8"/>
    <w:rsid w:val="006E5E48"/>
    <w:rsid w:val="006E6CDA"/>
    <w:rsid w:val="006E7C96"/>
    <w:rsid w:val="006F14B0"/>
    <w:rsid w:val="006F2060"/>
    <w:rsid w:val="006F296F"/>
    <w:rsid w:val="006F702F"/>
    <w:rsid w:val="006F79E9"/>
    <w:rsid w:val="006F7C99"/>
    <w:rsid w:val="00701E8C"/>
    <w:rsid w:val="00702560"/>
    <w:rsid w:val="00704F0D"/>
    <w:rsid w:val="007066E0"/>
    <w:rsid w:val="00707506"/>
    <w:rsid w:val="007076CD"/>
    <w:rsid w:val="007116E4"/>
    <w:rsid w:val="00711852"/>
    <w:rsid w:val="00714CAB"/>
    <w:rsid w:val="00714DD9"/>
    <w:rsid w:val="00714F6F"/>
    <w:rsid w:val="00715952"/>
    <w:rsid w:val="007164F0"/>
    <w:rsid w:val="00720978"/>
    <w:rsid w:val="00721215"/>
    <w:rsid w:val="007218C3"/>
    <w:rsid w:val="0072333F"/>
    <w:rsid w:val="00723EF1"/>
    <w:rsid w:val="007240D6"/>
    <w:rsid w:val="007243F8"/>
    <w:rsid w:val="0072595E"/>
    <w:rsid w:val="00726C5A"/>
    <w:rsid w:val="00726C79"/>
    <w:rsid w:val="00726FEA"/>
    <w:rsid w:val="00727A04"/>
    <w:rsid w:val="007317A0"/>
    <w:rsid w:val="00732D8D"/>
    <w:rsid w:val="00733BE0"/>
    <w:rsid w:val="007341CF"/>
    <w:rsid w:val="0073456F"/>
    <w:rsid w:val="00743CFC"/>
    <w:rsid w:val="00743E0F"/>
    <w:rsid w:val="0074406A"/>
    <w:rsid w:val="00746A22"/>
    <w:rsid w:val="00746EE9"/>
    <w:rsid w:val="00750597"/>
    <w:rsid w:val="00750D13"/>
    <w:rsid w:val="00751618"/>
    <w:rsid w:val="00751AE2"/>
    <w:rsid w:val="00753151"/>
    <w:rsid w:val="00753505"/>
    <w:rsid w:val="00753960"/>
    <w:rsid w:val="0075594E"/>
    <w:rsid w:val="00755ED8"/>
    <w:rsid w:val="00756A6E"/>
    <w:rsid w:val="00757B89"/>
    <w:rsid w:val="00757E64"/>
    <w:rsid w:val="0076103F"/>
    <w:rsid w:val="007618AD"/>
    <w:rsid w:val="00761BA2"/>
    <w:rsid w:val="0076273A"/>
    <w:rsid w:val="00763061"/>
    <w:rsid w:val="007637FC"/>
    <w:rsid w:val="00764525"/>
    <w:rsid w:val="00766B60"/>
    <w:rsid w:val="00770409"/>
    <w:rsid w:val="007716B6"/>
    <w:rsid w:val="00771F86"/>
    <w:rsid w:val="007728A2"/>
    <w:rsid w:val="007744AD"/>
    <w:rsid w:val="00774828"/>
    <w:rsid w:val="00774C21"/>
    <w:rsid w:val="00775590"/>
    <w:rsid w:val="00775641"/>
    <w:rsid w:val="00777504"/>
    <w:rsid w:val="0078188A"/>
    <w:rsid w:val="007822E2"/>
    <w:rsid w:val="007825AF"/>
    <w:rsid w:val="00782A04"/>
    <w:rsid w:val="00782FEE"/>
    <w:rsid w:val="0078382B"/>
    <w:rsid w:val="007845FA"/>
    <w:rsid w:val="00784F97"/>
    <w:rsid w:val="007877D5"/>
    <w:rsid w:val="0079192A"/>
    <w:rsid w:val="00791AB2"/>
    <w:rsid w:val="00791CFD"/>
    <w:rsid w:val="007929B4"/>
    <w:rsid w:val="0079363F"/>
    <w:rsid w:val="00794614"/>
    <w:rsid w:val="007A0B87"/>
    <w:rsid w:val="007A1A6B"/>
    <w:rsid w:val="007A1A9F"/>
    <w:rsid w:val="007A361F"/>
    <w:rsid w:val="007A4AA7"/>
    <w:rsid w:val="007A4D87"/>
    <w:rsid w:val="007A5619"/>
    <w:rsid w:val="007A5F97"/>
    <w:rsid w:val="007A64DA"/>
    <w:rsid w:val="007A66C1"/>
    <w:rsid w:val="007A6AE8"/>
    <w:rsid w:val="007A75FE"/>
    <w:rsid w:val="007A78A8"/>
    <w:rsid w:val="007A7B62"/>
    <w:rsid w:val="007B02C1"/>
    <w:rsid w:val="007B0491"/>
    <w:rsid w:val="007B057B"/>
    <w:rsid w:val="007B2FB5"/>
    <w:rsid w:val="007B3149"/>
    <w:rsid w:val="007B317E"/>
    <w:rsid w:val="007B4CB3"/>
    <w:rsid w:val="007B5036"/>
    <w:rsid w:val="007B6419"/>
    <w:rsid w:val="007B6786"/>
    <w:rsid w:val="007B703A"/>
    <w:rsid w:val="007B7131"/>
    <w:rsid w:val="007C00CB"/>
    <w:rsid w:val="007C07A8"/>
    <w:rsid w:val="007C2585"/>
    <w:rsid w:val="007C3369"/>
    <w:rsid w:val="007C4225"/>
    <w:rsid w:val="007C42EC"/>
    <w:rsid w:val="007C4C1C"/>
    <w:rsid w:val="007C5044"/>
    <w:rsid w:val="007C65D7"/>
    <w:rsid w:val="007C7480"/>
    <w:rsid w:val="007D20BD"/>
    <w:rsid w:val="007D420D"/>
    <w:rsid w:val="007D4699"/>
    <w:rsid w:val="007D627B"/>
    <w:rsid w:val="007D772E"/>
    <w:rsid w:val="007E0769"/>
    <w:rsid w:val="007E528C"/>
    <w:rsid w:val="007E53BC"/>
    <w:rsid w:val="007E7E11"/>
    <w:rsid w:val="007F10B1"/>
    <w:rsid w:val="007F169F"/>
    <w:rsid w:val="007F306F"/>
    <w:rsid w:val="007F4C77"/>
    <w:rsid w:val="007F6996"/>
    <w:rsid w:val="0080007B"/>
    <w:rsid w:val="00800580"/>
    <w:rsid w:val="008009FF"/>
    <w:rsid w:val="0080185D"/>
    <w:rsid w:val="0080254C"/>
    <w:rsid w:val="00802716"/>
    <w:rsid w:val="0080277F"/>
    <w:rsid w:val="00803606"/>
    <w:rsid w:val="0080428E"/>
    <w:rsid w:val="008052A1"/>
    <w:rsid w:val="008060BB"/>
    <w:rsid w:val="0080646B"/>
    <w:rsid w:val="0080680E"/>
    <w:rsid w:val="0080721A"/>
    <w:rsid w:val="00810E84"/>
    <w:rsid w:val="00812E6B"/>
    <w:rsid w:val="00813E20"/>
    <w:rsid w:val="00813ECF"/>
    <w:rsid w:val="00814331"/>
    <w:rsid w:val="0081484E"/>
    <w:rsid w:val="00814D87"/>
    <w:rsid w:val="008163A1"/>
    <w:rsid w:val="00816614"/>
    <w:rsid w:val="00816620"/>
    <w:rsid w:val="00821C68"/>
    <w:rsid w:val="00822871"/>
    <w:rsid w:val="00824927"/>
    <w:rsid w:val="00825839"/>
    <w:rsid w:val="008264FB"/>
    <w:rsid w:val="0082728A"/>
    <w:rsid w:val="00830214"/>
    <w:rsid w:val="00830AA3"/>
    <w:rsid w:val="00830B76"/>
    <w:rsid w:val="00830CA3"/>
    <w:rsid w:val="00832641"/>
    <w:rsid w:val="008326DE"/>
    <w:rsid w:val="008328B7"/>
    <w:rsid w:val="0083474E"/>
    <w:rsid w:val="00837ECC"/>
    <w:rsid w:val="00841166"/>
    <w:rsid w:val="00841A62"/>
    <w:rsid w:val="0084207A"/>
    <w:rsid w:val="008424FC"/>
    <w:rsid w:val="00842856"/>
    <w:rsid w:val="00843D83"/>
    <w:rsid w:val="00846062"/>
    <w:rsid w:val="0084705D"/>
    <w:rsid w:val="00851069"/>
    <w:rsid w:val="00852484"/>
    <w:rsid w:val="00852CB2"/>
    <w:rsid w:val="00852D1A"/>
    <w:rsid w:val="00855FA8"/>
    <w:rsid w:val="00860C7B"/>
    <w:rsid w:val="00861F84"/>
    <w:rsid w:val="00863311"/>
    <w:rsid w:val="00863E1B"/>
    <w:rsid w:val="008655AD"/>
    <w:rsid w:val="00866FEA"/>
    <w:rsid w:val="00867961"/>
    <w:rsid w:val="008679CA"/>
    <w:rsid w:val="008705ED"/>
    <w:rsid w:val="00870C59"/>
    <w:rsid w:val="008722E5"/>
    <w:rsid w:val="00873903"/>
    <w:rsid w:val="00875204"/>
    <w:rsid w:val="00875D54"/>
    <w:rsid w:val="0087689A"/>
    <w:rsid w:val="008778A2"/>
    <w:rsid w:val="0088000D"/>
    <w:rsid w:val="00880674"/>
    <w:rsid w:val="00880BE2"/>
    <w:rsid w:val="00880DBE"/>
    <w:rsid w:val="00883791"/>
    <w:rsid w:val="008837BA"/>
    <w:rsid w:val="008849BF"/>
    <w:rsid w:val="00885AA6"/>
    <w:rsid w:val="00885ABF"/>
    <w:rsid w:val="00885DDC"/>
    <w:rsid w:val="0088616C"/>
    <w:rsid w:val="00886805"/>
    <w:rsid w:val="00887F75"/>
    <w:rsid w:val="008901DD"/>
    <w:rsid w:val="00890BCD"/>
    <w:rsid w:val="00892E00"/>
    <w:rsid w:val="00893678"/>
    <w:rsid w:val="00893B10"/>
    <w:rsid w:val="0089494D"/>
    <w:rsid w:val="0089678B"/>
    <w:rsid w:val="00897F9B"/>
    <w:rsid w:val="008A1733"/>
    <w:rsid w:val="008A4667"/>
    <w:rsid w:val="008A4DFD"/>
    <w:rsid w:val="008B14BF"/>
    <w:rsid w:val="008B2445"/>
    <w:rsid w:val="008B2F29"/>
    <w:rsid w:val="008B3CB1"/>
    <w:rsid w:val="008B6145"/>
    <w:rsid w:val="008B6EFA"/>
    <w:rsid w:val="008C178B"/>
    <w:rsid w:val="008C1BC7"/>
    <w:rsid w:val="008C2617"/>
    <w:rsid w:val="008C2A4D"/>
    <w:rsid w:val="008C3840"/>
    <w:rsid w:val="008C42E6"/>
    <w:rsid w:val="008C4B6B"/>
    <w:rsid w:val="008C4E7D"/>
    <w:rsid w:val="008C51A4"/>
    <w:rsid w:val="008D03E0"/>
    <w:rsid w:val="008D0E03"/>
    <w:rsid w:val="008D27B1"/>
    <w:rsid w:val="008D4F13"/>
    <w:rsid w:val="008E3BE6"/>
    <w:rsid w:val="008E4A4D"/>
    <w:rsid w:val="008E5122"/>
    <w:rsid w:val="008E532D"/>
    <w:rsid w:val="008E617E"/>
    <w:rsid w:val="008F19CE"/>
    <w:rsid w:val="008F4E02"/>
    <w:rsid w:val="008F56EC"/>
    <w:rsid w:val="008F5B84"/>
    <w:rsid w:val="0090023A"/>
    <w:rsid w:val="00900307"/>
    <w:rsid w:val="0090060E"/>
    <w:rsid w:val="00902408"/>
    <w:rsid w:val="0090455A"/>
    <w:rsid w:val="00905370"/>
    <w:rsid w:val="00906250"/>
    <w:rsid w:val="009077FF"/>
    <w:rsid w:val="00911BA0"/>
    <w:rsid w:val="00912EC1"/>
    <w:rsid w:val="00914033"/>
    <w:rsid w:val="00916E62"/>
    <w:rsid w:val="00917EC6"/>
    <w:rsid w:val="0092084A"/>
    <w:rsid w:val="00921A7D"/>
    <w:rsid w:val="00924B9A"/>
    <w:rsid w:val="00924E42"/>
    <w:rsid w:val="0092582F"/>
    <w:rsid w:val="00926EC8"/>
    <w:rsid w:val="0092765B"/>
    <w:rsid w:val="00927A63"/>
    <w:rsid w:val="0093020A"/>
    <w:rsid w:val="009304CD"/>
    <w:rsid w:val="009308AC"/>
    <w:rsid w:val="00931DEB"/>
    <w:rsid w:val="00932FA6"/>
    <w:rsid w:val="009364F5"/>
    <w:rsid w:val="00937277"/>
    <w:rsid w:val="00937F94"/>
    <w:rsid w:val="00940FB4"/>
    <w:rsid w:val="009416B1"/>
    <w:rsid w:val="009419A5"/>
    <w:rsid w:val="009426CC"/>
    <w:rsid w:val="00943A82"/>
    <w:rsid w:val="00945982"/>
    <w:rsid w:val="00945F08"/>
    <w:rsid w:val="0094774A"/>
    <w:rsid w:val="00947E5E"/>
    <w:rsid w:val="00951461"/>
    <w:rsid w:val="00951DE5"/>
    <w:rsid w:val="00952287"/>
    <w:rsid w:val="009528AF"/>
    <w:rsid w:val="00953E28"/>
    <w:rsid w:val="00955BEC"/>
    <w:rsid w:val="00957742"/>
    <w:rsid w:val="00962177"/>
    <w:rsid w:val="00963ED1"/>
    <w:rsid w:val="00964E27"/>
    <w:rsid w:val="0096527E"/>
    <w:rsid w:val="00965B53"/>
    <w:rsid w:val="00965DEC"/>
    <w:rsid w:val="00966853"/>
    <w:rsid w:val="00966B34"/>
    <w:rsid w:val="00967C8E"/>
    <w:rsid w:val="00971303"/>
    <w:rsid w:val="00974B38"/>
    <w:rsid w:val="00974FE6"/>
    <w:rsid w:val="00976D44"/>
    <w:rsid w:val="00977ED6"/>
    <w:rsid w:val="00980DBD"/>
    <w:rsid w:val="00980F02"/>
    <w:rsid w:val="00981150"/>
    <w:rsid w:val="00981EF2"/>
    <w:rsid w:val="00983180"/>
    <w:rsid w:val="00983556"/>
    <w:rsid w:val="00983604"/>
    <w:rsid w:val="00984F6F"/>
    <w:rsid w:val="0098572E"/>
    <w:rsid w:val="0098690A"/>
    <w:rsid w:val="00987137"/>
    <w:rsid w:val="009876B2"/>
    <w:rsid w:val="00987BC9"/>
    <w:rsid w:val="009903DB"/>
    <w:rsid w:val="00991447"/>
    <w:rsid w:val="009934E6"/>
    <w:rsid w:val="00993ED8"/>
    <w:rsid w:val="00994596"/>
    <w:rsid w:val="0099463C"/>
    <w:rsid w:val="00994D5D"/>
    <w:rsid w:val="00994D79"/>
    <w:rsid w:val="0099524C"/>
    <w:rsid w:val="00995DD2"/>
    <w:rsid w:val="009A0DAC"/>
    <w:rsid w:val="009A0EE5"/>
    <w:rsid w:val="009A176D"/>
    <w:rsid w:val="009A184D"/>
    <w:rsid w:val="009A2F08"/>
    <w:rsid w:val="009A479F"/>
    <w:rsid w:val="009A4D37"/>
    <w:rsid w:val="009A5DB0"/>
    <w:rsid w:val="009A7438"/>
    <w:rsid w:val="009B1E34"/>
    <w:rsid w:val="009B213E"/>
    <w:rsid w:val="009B239E"/>
    <w:rsid w:val="009B2AF9"/>
    <w:rsid w:val="009B3198"/>
    <w:rsid w:val="009B33ED"/>
    <w:rsid w:val="009B3539"/>
    <w:rsid w:val="009B5479"/>
    <w:rsid w:val="009B5C78"/>
    <w:rsid w:val="009B6748"/>
    <w:rsid w:val="009C0BC2"/>
    <w:rsid w:val="009C1319"/>
    <w:rsid w:val="009C1E4B"/>
    <w:rsid w:val="009C34CC"/>
    <w:rsid w:val="009C37E7"/>
    <w:rsid w:val="009C436E"/>
    <w:rsid w:val="009C6D2A"/>
    <w:rsid w:val="009D0B4E"/>
    <w:rsid w:val="009D1CC4"/>
    <w:rsid w:val="009D2154"/>
    <w:rsid w:val="009D289C"/>
    <w:rsid w:val="009D2B2D"/>
    <w:rsid w:val="009D3253"/>
    <w:rsid w:val="009D326A"/>
    <w:rsid w:val="009D4757"/>
    <w:rsid w:val="009D4A1E"/>
    <w:rsid w:val="009D4D93"/>
    <w:rsid w:val="009D5FDA"/>
    <w:rsid w:val="009D67FF"/>
    <w:rsid w:val="009D7270"/>
    <w:rsid w:val="009D7598"/>
    <w:rsid w:val="009E0668"/>
    <w:rsid w:val="009E083F"/>
    <w:rsid w:val="009E122C"/>
    <w:rsid w:val="009E274F"/>
    <w:rsid w:val="009E6B4E"/>
    <w:rsid w:val="009E7330"/>
    <w:rsid w:val="009E7FB1"/>
    <w:rsid w:val="009F08FF"/>
    <w:rsid w:val="009F0DDF"/>
    <w:rsid w:val="009F10A1"/>
    <w:rsid w:val="009F240E"/>
    <w:rsid w:val="009F2931"/>
    <w:rsid w:val="009F2DF8"/>
    <w:rsid w:val="009F34D1"/>
    <w:rsid w:val="009F40EB"/>
    <w:rsid w:val="009F4D6C"/>
    <w:rsid w:val="009F60E9"/>
    <w:rsid w:val="009F6275"/>
    <w:rsid w:val="009F6285"/>
    <w:rsid w:val="009F6B73"/>
    <w:rsid w:val="009F7F8B"/>
    <w:rsid w:val="009F7FB6"/>
    <w:rsid w:val="00A00023"/>
    <w:rsid w:val="00A00623"/>
    <w:rsid w:val="00A01093"/>
    <w:rsid w:val="00A03872"/>
    <w:rsid w:val="00A03EAC"/>
    <w:rsid w:val="00A0451D"/>
    <w:rsid w:val="00A0582E"/>
    <w:rsid w:val="00A05C83"/>
    <w:rsid w:val="00A06708"/>
    <w:rsid w:val="00A06878"/>
    <w:rsid w:val="00A06E5F"/>
    <w:rsid w:val="00A07361"/>
    <w:rsid w:val="00A0760D"/>
    <w:rsid w:val="00A07917"/>
    <w:rsid w:val="00A11824"/>
    <w:rsid w:val="00A12FB3"/>
    <w:rsid w:val="00A14013"/>
    <w:rsid w:val="00A146D0"/>
    <w:rsid w:val="00A14D2B"/>
    <w:rsid w:val="00A15649"/>
    <w:rsid w:val="00A16360"/>
    <w:rsid w:val="00A17508"/>
    <w:rsid w:val="00A175E9"/>
    <w:rsid w:val="00A17969"/>
    <w:rsid w:val="00A21041"/>
    <w:rsid w:val="00A216BD"/>
    <w:rsid w:val="00A21D17"/>
    <w:rsid w:val="00A232B4"/>
    <w:rsid w:val="00A238D7"/>
    <w:rsid w:val="00A240BB"/>
    <w:rsid w:val="00A24819"/>
    <w:rsid w:val="00A24B66"/>
    <w:rsid w:val="00A24B75"/>
    <w:rsid w:val="00A25E98"/>
    <w:rsid w:val="00A2705E"/>
    <w:rsid w:val="00A30FAC"/>
    <w:rsid w:val="00A3195D"/>
    <w:rsid w:val="00A31A42"/>
    <w:rsid w:val="00A339BF"/>
    <w:rsid w:val="00A3444D"/>
    <w:rsid w:val="00A35FAA"/>
    <w:rsid w:val="00A4051C"/>
    <w:rsid w:val="00A43497"/>
    <w:rsid w:val="00A447E1"/>
    <w:rsid w:val="00A44BCB"/>
    <w:rsid w:val="00A45888"/>
    <w:rsid w:val="00A46470"/>
    <w:rsid w:val="00A46DD8"/>
    <w:rsid w:val="00A479AB"/>
    <w:rsid w:val="00A50EB0"/>
    <w:rsid w:val="00A512FC"/>
    <w:rsid w:val="00A526BC"/>
    <w:rsid w:val="00A52BE4"/>
    <w:rsid w:val="00A5477D"/>
    <w:rsid w:val="00A56309"/>
    <w:rsid w:val="00A565A3"/>
    <w:rsid w:val="00A569D4"/>
    <w:rsid w:val="00A56F3C"/>
    <w:rsid w:val="00A613AC"/>
    <w:rsid w:val="00A61979"/>
    <w:rsid w:val="00A62665"/>
    <w:rsid w:val="00A6371D"/>
    <w:rsid w:val="00A63754"/>
    <w:rsid w:val="00A65011"/>
    <w:rsid w:val="00A6565C"/>
    <w:rsid w:val="00A66724"/>
    <w:rsid w:val="00A66FA9"/>
    <w:rsid w:val="00A70DC6"/>
    <w:rsid w:val="00A71DE1"/>
    <w:rsid w:val="00A739B0"/>
    <w:rsid w:val="00A73B0D"/>
    <w:rsid w:val="00A73B72"/>
    <w:rsid w:val="00A748C4"/>
    <w:rsid w:val="00A74ADB"/>
    <w:rsid w:val="00A75430"/>
    <w:rsid w:val="00A764FA"/>
    <w:rsid w:val="00A802C3"/>
    <w:rsid w:val="00A80D16"/>
    <w:rsid w:val="00A81304"/>
    <w:rsid w:val="00A813E1"/>
    <w:rsid w:val="00A82432"/>
    <w:rsid w:val="00A8248A"/>
    <w:rsid w:val="00A84359"/>
    <w:rsid w:val="00A84B9D"/>
    <w:rsid w:val="00A8604B"/>
    <w:rsid w:val="00A86199"/>
    <w:rsid w:val="00A86B2C"/>
    <w:rsid w:val="00A91B2B"/>
    <w:rsid w:val="00A925C1"/>
    <w:rsid w:val="00A931DC"/>
    <w:rsid w:val="00A93F61"/>
    <w:rsid w:val="00A9521C"/>
    <w:rsid w:val="00A9540A"/>
    <w:rsid w:val="00A960E3"/>
    <w:rsid w:val="00A969FA"/>
    <w:rsid w:val="00AA028F"/>
    <w:rsid w:val="00AA0FDE"/>
    <w:rsid w:val="00AA1554"/>
    <w:rsid w:val="00AA1ECF"/>
    <w:rsid w:val="00AA25C2"/>
    <w:rsid w:val="00AA3501"/>
    <w:rsid w:val="00AA40AD"/>
    <w:rsid w:val="00AA40AF"/>
    <w:rsid w:val="00AA4780"/>
    <w:rsid w:val="00AA5754"/>
    <w:rsid w:val="00AA5EB5"/>
    <w:rsid w:val="00AA7105"/>
    <w:rsid w:val="00AA74A7"/>
    <w:rsid w:val="00AB0588"/>
    <w:rsid w:val="00AB22D3"/>
    <w:rsid w:val="00AB4709"/>
    <w:rsid w:val="00AB5271"/>
    <w:rsid w:val="00AB6499"/>
    <w:rsid w:val="00AB693A"/>
    <w:rsid w:val="00AB720C"/>
    <w:rsid w:val="00AB797C"/>
    <w:rsid w:val="00AB7B5E"/>
    <w:rsid w:val="00AC2032"/>
    <w:rsid w:val="00AC2066"/>
    <w:rsid w:val="00AC3B4A"/>
    <w:rsid w:val="00AC50FF"/>
    <w:rsid w:val="00AC543A"/>
    <w:rsid w:val="00AC7E69"/>
    <w:rsid w:val="00AD01F7"/>
    <w:rsid w:val="00AD13DA"/>
    <w:rsid w:val="00AD1D93"/>
    <w:rsid w:val="00AD392E"/>
    <w:rsid w:val="00AD4488"/>
    <w:rsid w:val="00AD5925"/>
    <w:rsid w:val="00AD6093"/>
    <w:rsid w:val="00AD67FC"/>
    <w:rsid w:val="00AD7A06"/>
    <w:rsid w:val="00AD7D70"/>
    <w:rsid w:val="00AE090C"/>
    <w:rsid w:val="00AE1341"/>
    <w:rsid w:val="00AE137B"/>
    <w:rsid w:val="00AE16E4"/>
    <w:rsid w:val="00AE3FFF"/>
    <w:rsid w:val="00AE4499"/>
    <w:rsid w:val="00AE52A6"/>
    <w:rsid w:val="00AE5389"/>
    <w:rsid w:val="00AF172F"/>
    <w:rsid w:val="00AF3F35"/>
    <w:rsid w:val="00AF4481"/>
    <w:rsid w:val="00AF4715"/>
    <w:rsid w:val="00AF4FEF"/>
    <w:rsid w:val="00AF679B"/>
    <w:rsid w:val="00B00D84"/>
    <w:rsid w:val="00B01087"/>
    <w:rsid w:val="00B031C1"/>
    <w:rsid w:val="00B032A1"/>
    <w:rsid w:val="00B05508"/>
    <w:rsid w:val="00B06B80"/>
    <w:rsid w:val="00B078B8"/>
    <w:rsid w:val="00B11587"/>
    <w:rsid w:val="00B13203"/>
    <w:rsid w:val="00B13B22"/>
    <w:rsid w:val="00B13CB7"/>
    <w:rsid w:val="00B1427A"/>
    <w:rsid w:val="00B152B8"/>
    <w:rsid w:val="00B15ACE"/>
    <w:rsid w:val="00B21C42"/>
    <w:rsid w:val="00B23364"/>
    <w:rsid w:val="00B2362D"/>
    <w:rsid w:val="00B23EA6"/>
    <w:rsid w:val="00B24183"/>
    <w:rsid w:val="00B249FB"/>
    <w:rsid w:val="00B24B71"/>
    <w:rsid w:val="00B25905"/>
    <w:rsid w:val="00B30458"/>
    <w:rsid w:val="00B3124F"/>
    <w:rsid w:val="00B3247B"/>
    <w:rsid w:val="00B33F8E"/>
    <w:rsid w:val="00B3411C"/>
    <w:rsid w:val="00B342EB"/>
    <w:rsid w:val="00B34ECC"/>
    <w:rsid w:val="00B35147"/>
    <w:rsid w:val="00B36266"/>
    <w:rsid w:val="00B3659D"/>
    <w:rsid w:val="00B37948"/>
    <w:rsid w:val="00B405CE"/>
    <w:rsid w:val="00B41F9E"/>
    <w:rsid w:val="00B441DE"/>
    <w:rsid w:val="00B45D45"/>
    <w:rsid w:val="00B4723C"/>
    <w:rsid w:val="00B53B70"/>
    <w:rsid w:val="00B53D7C"/>
    <w:rsid w:val="00B53FB6"/>
    <w:rsid w:val="00B54BA5"/>
    <w:rsid w:val="00B54D01"/>
    <w:rsid w:val="00B550B9"/>
    <w:rsid w:val="00B55D5C"/>
    <w:rsid w:val="00B57FC2"/>
    <w:rsid w:val="00B606C1"/>
    <w:rsid w:val="00B607F1"/>
    <w:rsid w:val="00B614B8"/>
    <w:rsid w:val="00B62EED"/>
    <w:rsid w:val="00B65A77"/>
    <w:rsid w:val="00B65D23"/>
    <w:rsid w:val="00B66093"/>
    <w:rsid w:val="00B668A7"/>
    <w:rsid w:val="00B70F37"/>
    <w:rsid w:val="00B71039"/>
    <w:rsid w:val="00B71D6D"/>
    <w:rsid w:val="00B72F43"/>
    <w:rsid w:val="00B73EA1"/>
    <w:rsid w:val="00B7450F"/>
    <w:rsid w:val="00B74869"/>
    <w:rsid w:val="00B776DB"/>
    <w:rsid w:val="00B77F15"/>
    <w:rsid w:val="00B83C6E"/>
    <w:rsid w:val="00B846B4"/>
    <w:rsid w:val="00B86232"/>
    <w:rsid w:val="00B87253"/>
    <w:rsid w:val="00B90AE7"/>
    <w:rsid w:val="00B91DF4"/>
    <w:rsid w:val="00B92BAF"/>
    <w:rsid w:val="00B93660"/>
    <w:rsid w:val="00B93FC6"/>
    <w:rsid w:val="00B942BF"/>
    <w:rsid w:val="00B9448A"/>
    <w:rsid w:val="00B95419"/>
    <w:rsid w:val="00B95964"/>
    <w:rsid w:val="00B959E5"/>
    <w:rsid w:val="00B96026"/>
    <w:rsid w:val="00BA0B0F"/>
    <w:rsid w:val="00BA147D"/>
    <w:rsid w:val="00BA2C08"/>
    <w:rsid w:val="00BA560E"/>
    <w:rsid w:val="00BA5662"/>
    <w:rsid w:val="00BA5874"/>
    <w:rsid w:val="00BA5F09"/>
    <w:rsid w:val="00BA6128"/>
    <w:rsid w:val="00BA7051"/>
    <w:rsid w:val="00BB041A"/>
    <w:rsid w:val="00BB1691"/>
    <w:rsid w:val="00BB41F3"/>
    <w:rsid w:val="00BB6429"/>
    <w:rsid w:val="00BB6C5B"/>
    <w:rsid w:val="00BB7AB8"/>
    <w:rsid w:val="00BB7CE5"/>
    <w:rsid w:val="00BC025B"/>
    <w:rsid w:val="00BC0741"/>
    <w:rsid w:val="00BC2519"/>
    <w:rsid w:val="00BC25EB"/>
    <w:rsid w:val="00BC2876"/>
    <w:rsid w:val="00BC36CB"/>
    <w:rsid w:val="00BC68BA"/>
    <w:rsid w:val="00BC6F1E"/>
    <w:rsid w:val="00BD0E95"/>
    <w:rsid w:val="00BD13B2"/>
    <w:rsid w:val="00BD2CA3"/>
    <w:rsid w:val="00BD3651"/>
    <w:rsid w:val="00BD51C5"/>
    <w:rsid w:val="00BD6BFE"/>
    <w:rsid w:val="00BD6CB7"/>
    <w:rsid w:val="00BD72A3"/>
    <w:rsid w:val="00BE0819"/>
    <w:rsid w:val="00BE2884"/>
    <w:rsid w:val="00BE531A"/>
    <w:rsid w:val="00BE5740"/>
    <w:rsid w:val="00BE63E9"/>
    <w:rsid w:val="00BE6936"/>
    <w:rsid w:val="00BE75CE"/>
    <w:rsid w:val="00BE78B4"/>
    <w:rsid w:val="00BF004D"/>
    <w:rsid w:val="00BF10B0"/>
    <w:rsid w:val="00BF2371"/>
    <w:rsid w:val="00BF2FBA"/>
    <w:rsid w:val="00BF35C3"/>
    <w:rsid w:val="00BF3BA8"/>
    <w:rsid w:val="00BF5E1C"/>
    <w:rsid w:val="00BF6455"/>
    <w:rsid w:val="00BF6CBA"/>
    <w:rsid w:val="00BF6E6F"/>
    <w:rsid w:val="00BF76E6"/>
    <w:rsid w:val="00BF7A38"/>
    <w:rsid w:val="00BF7E11"/>
    <w:rsid w:val="00C001DE"/>
    <w:rsid w:val="00C00EB6"/>
    <w:rsid w:val="00C01273"/>
    <w:rsid w:val="00C0187E"/>
    <w:rsid w:val="00C020D1"/>
    <w:rsid w:val="00C05300"/>
    <w:rsid w:val="00C055D8"/>
    <w:rsid w:val="00C06BA3"/>
    <w:rsid w:val="00C10007"/>
    <w:rsid w:val="00C12D62"/>
    <w:rsid w:val="00C1455E"/>
    <w:rsid w:val="00C228D1"/>
    <w:rsid w:val="00C22CE3"/>
    <w:rsid w:val="00C232C3"/>
    <w:rsid w:val="00C23B89"/>
    <w:rsid w:val="00C249E9"/>
    <w:rsid w:val="00C24E26"/>
    <w:rsid w:val="00C25075"/>
    <w:rsid w:val="00C26CB0"/>
    <w:rsid w:val="00C2738A"/>
    <w:rsid w:val="00C33405"/>
    <w:rsid w:val="00C350EB"/>
    <w:rsid w:val="00C35491"/>
    <w:rsid w:val="00C358D0"/>
    <w:rsid w:val="00C406D4"/>
    <w:rsid w:val="00C40F7C"/>
    <w:rsid w:val="00C41BA0"/>
    <w:rsid w:val="00C44752"/>
    <w:rsid w:val="00C44839"/>
    <w:rsid w:val="00C46689"/>
    <w:rsid w:val="00C46E3F"/>
    <w:rsid w:val="00C47153"/>
    <w:rsid w:val="00C4789D"/>
    <w:rsid w:val="00C47A25"/>
    <w:rsid w:val="00C47C59"/>
    <w:rsid w:val="00C47C80"/>
    <w:rsid w:val="00C47D8C"/>
    <w:rsid w:val="00C516EC"/>
    <w:rsid w:val="00C535ED"/>
    <w:rsid w:val="00C53E65"/>
    <w:rsid w:val="00C53ECB"/>
    <w:rsid w:val="00C55C0B"/>
    <w:rsid w:val="00C55CFF"/>
    <w:rsid w:val="00C5765E"/>
    <w:rsid w:val="00C63A64"/>
    <w:rsid w:val="00C63BE4"/>
    <w:rsid w:val="00C64609"/>
    <w:rsid w:val="00C6586D"/>
    <w:rsid w:val="00C65DC8"/>
    <w:rsid w:val="00C6617C"/>
    <w:rsid w:val="00C6724E"/>
    <w:rsid w:val="00C678B2"/>
    <w:rsid w:val="00C7007A"/>
    <w:rsid w:val="00C70909"/>
    <w:rsid w:val="00C71660"/>
    <w:rsid w:val="00C71A39"/>
    <w:rsid w:val="00C72E98"/>
    <w:rsid w:val="00C73D5E"/>
    <w:rsid w:val="00C74827"/>
    <w:rsid w:val="00C74E4B"/>
    <w:rsid w:val="00C752E7"/>
    <w:rsid w:val="00C778E5"/>
    <w:rsid w:val="00C77DE9"/>
    <w:rsid w:val="00C81948"/>
    <w:rsid w:val="00C822CF"/>
    <w:rsid w:val="00C823BB"/>
    <w:rsid w:val="00C8504B"/>
    <w:rsid w:val="00C855D9"/>
    <w:rsid w:val="00C868E5"/>
    <w:rsid w:val="00C875A9"/>
    <w:rsid w:val="00C90856"/>
    <w:rsid w:val="00C91390"/>
    <w:rsid w:val="00C91FA6"/>
    <w:rsid w:val="00C927F4"/>
    <w:rsid w:val="00C92EEE"/>
    <w:rsid w:val="00C92FA0"/>
    <w:rsid w:val="00C93545"/>
    <w:rsid w:val="00C94864"/>
    <w:rsid w:val="00C96D8C"/>
    <w:rsid w:val="00C970F3"/>
    <w:rsid w:val="00C97925"/>
    <w:rsid w:val="00CA0343"/>
    <w:rsid w:val="00CA034C"/>
    <w:rsid w:val="00CA2E53"/>
    <w:rsid w:val="00CA4625"/>
    <w:rsid w:val="00CA53B1"/>
    <w:rsid w:val="00CA5C62"/>
    <w:rsid w:val="00CB109F"/>
    <w:rsid w:val="00CB14C3"/>
    <w:rsid w:val="00CB4332"/>
    <w:rsid w:val="00CB555A"/>
    <w:rsid w:val="00CB5C83"/>
    <w:rsid w:val="00CB6518"/>
    <w:rsid w:val="00CC2798"/>
    <w:rsid w:val="00CC37AC"/>
    <w:rsid w:val="00CC4B21"/>
    <w:rsid w:val="00CC5D0C"/>
    <w:rsid w:val="00CC6075"/>
    <w:rsid w:val="00CC7467"/>
    <w:rsid w:val="00CC7968"/>
    <w:rsid w:val="00CD0E17"/>
    <w:rsid w:val="00CD1D4E"/>
    <w:rsid w:val="00CD31BA"/>
    <w:rsid w:val="00CD3BC0"/>
    <w:rsid w:val="00CD6D08"/>
    <w:rsid w:val="00CD7302"/>
    <w:rsid w:val="00CD768F"/>
    <w:rsid w:val="00CE1346"/>
    <w:rsid w:val="00CE25F0"/>
    <w:rsid w:val="00CE4D9B"/>
    <w:rsid w:val="00CE55D3"/>
    <w:rsid w:val="00CE5A8C"/>
    <w:rsid w:val="00CE5ABD"/>
    <w:rsid w:val="00CE5EA9"/>
    <w:rsid w:val="00CF05EF"/>
    <w:rsid w:val="00CF36EF"/>
    <w:rsid w:val="00CF3761"/>
    <w:rsid w:val="00CF55A0"/>
    <w:rsid w:val="00CF6253"/>
    <w:rsid w:val="00CF6DB9"/>
    <w:rsid w:val="00CF7286"/>
    <w:rsid w:val="00D01BC1"/>
    <w:rsid w:val="00D0208E"/>
    <w:rsid w:val="00D025AE"/>
    <w:rsid w:val="00D05260"/>
    <w:rsid w:val="00D06B19"/>
    <w:rsid w:val="00D07ADE"/>
    <w:rsid w:val="00D11D38"/>
    <w:rsid w:val="00D1291B"/>
    <w:rsid w:val="00D1396C"/>
    <w:rsid w:val="00D13E87"/>
    <w:rsid w:val="00D14875"/>
    <w:rsid w:val="00D15976"/>
    <w:rsid w:val="00D167F9"/>
    <w:rsid w:val="00D178E8"/>
    <w:rsid w:val="00D17F5D"/>
    <w:rsid w:val="00D200E4"/>
    <w:rsid w:val="00D203C7"/>
    <w:rsid w:val="00D2336D"/>
    <w:rsid w:val="00D23E6B"/>
    <w:rsid w:val="00D250AD"/>
    <w:rsid w:val="00D258BB"/>
    <w:rsid w:val="00D25D63"/>
    <w:rsid w:val="00D25F76"/>
    <w:rsid w:val="00D26152"/>
    <w:rsid w:val="00D26F6B"/>
    <w:rsid w:val="00D30380"/>
    <w:rsid w:val="00D3075E"/>
    <w:rsid w:val="00D30A5B"/>
    <w:rsid w:val="00D31049"/>
    <w:rsid w:val="00D33431"/>
    <w:rsid w:val="00D346D4"/>
    <w:rsid w:val="00D34855"/>
    <w:rsid w:val="00D35EA4"/>
    <w:rsid w:val="00D36FBF"/>
    <w:rsid w:val="00D417AC"/>
    <w:rsid w:val="00D425D7"/>
    <w:rsid w:val="00D4362F"/>
    <w:rsid w:val="00D43824"/>
    <w:rsid w:val="00D43AD9"/>
    <w:rsid w:val="00D444E0"/>
    <w:rsid w:val="00D45617"/>
    <w:rsid w:val="00D475BC"/>
    <w:rsid w:val="00D47974"/>
    <w:rsid w:val="00D47FA5"/>
    <w:rsid w:val="00D5014D"/>
    <w:rsid w:val="00D50A33"/>
    <w:rsid w:val="00D50E09"/>
    <w:rsid w:val="00D510DA"/>
    <w:rsid w:val="00D5188E"/>
    <w:rsid w:val="00D52AF0"/>
    <w:rsid w:val="00D52E3B"/>
    <w:rsid w:val="00D53511"/>
    <w:rsid w:val="00D55322"/>
    <w:rsid w:val="00D57EB9"/>
    <w:rsid w:val="00D6035D"/>
    <w:rsid w:val="00D60A1D"/>
    <w:rsid w:val="00D6111F"/>
    <w:rsid w:val="00D61ACA"/>
    <w:rsid w:val="00D62B98"/>
    <w:rsid w:val="00D62CEE"/>
    <w:rsid w:val="00D637C2"/>
    <w:rsid w:val="00D63C0B"/>
    <w:rsid w:val="00D6546D"/>
    <w:rsid w:val="00D65D0D"/>
    <w:rsid w:val="00D727D8"/>
    <w:rsid w:val="00D73B08"/>
    <w:rsid w:val="00D74237"/>
    <w:rsid w:val="00D742E6"/>
    <w:rsid w:val="00D74CBB"/>
    <w:rsid w:val="00D75E7A"/>
    <w:rsid w:val="00D8104F"/>
    <w:rsid w:val="00D8174A"/>
    <w:rsid w:val="00D81EEC"/>
    <w:rsid w:val="00D825B8"/>
    <w:rsid w:val="00D829CE"/>
    <w:rsid w:val="00D84297"/>
    <w:rsid w:val="00D853B5"/>
    <w:rsid w:val="00D8739E"/>
    <w:rsid w:val="00D90A82"/>
    <w:rsid w:val="00D9288B"/>
    <w:rsid w:val="00D945ED"/>
    <w:rsid w:val="00D95382"/>
    <w:rsid w:val="00D96A88"/>
    <w:rsid w:val="00D96C52"/>
    <w:rsid w:val="00D9750E"/>
    <w:rsid w:val="00DA0534"/>
    <w:rsid w:val="00DA180B"/>
    <w:rsid w:val="00DA1DE2"/>
    <w:rsid w:val="00DA45E9"/>
    <w:rsid w:val="00DA4696"/>
    <w:rsid w:val="00DA560D"/>
    <w:rsid w:val="00DA6853"/>
    <w:rsid w:val="00DA6A25"/>
    <w:rsid w:val="00DB289B"/>
    <w:rsid w:val="00DB2BC7"/>
    <w:rsid w:val="00DB2D41"/>
    <w:rsid w:val="00DB30B6"/>
    <w:rsid w:val="00DB312B"/>
    <w:rsid w:val="00DB337C"/>
    <w:rsid w:val="00DB421F"/>
    <w:rsid w:val="00DB4804"/>
    <w:rsid w:val="00DB4ACD"/>
    <w:rsid w:val="00DB6102"/>
    <w:rsid w:val="00DB6D48"/>
    <w:rsid w:val="00DB751A"/>
    <w:rsid w:val="00DB7919"/>
    <w:rsid w:val="00DB7D9F"/>
    <w:rsid w:val="00DB7DB5"/>
    <w:rsid w:val="00DC0529"/>
    <w:rsid w:val="00DC12A4"/>
    <w:rsid w:val="00DC1552"/>
    <w:rsid w:val="00DC2B7E"/>
    <w:rsid w:val="00DC4684"/>
    <w:rsid w:val="00DC6749"/>
    <w:rsid w:val="00DC7815"/>
    <w:rsid w:val="00DD036F"/>
    <w:rsid w:val="00DD0CB0"/>
    <w:rsid w:val="00DD3A82"/>
    <w:rsid w:val="00DD3ABF"/>
    <w:rsid w:val="00DD485C"/>
    <w:rsid w:val="00DD493C"/>
    <w:rsid w:val="00DD4B67"/>
    <w:rsid w:val="00DD59A2"/>
    <w:rsid w:val="00DD72E5"/>
    <w:rsid w:val="00DE0DC5"/>
    <w:rsid w:val="00DE18A6"/>
    <w:rsid w:val="00DE21F1"/>
    <w:rsid w:val="00DE291B"/>
    <w:rsid w:val="00DE33B3"/>
    <w:rsid w:val="00DE722E"/>
    <w:rsid w:val="00DE763A"/>
    <w:rsid w:val="00DE7B53"/>
    <w:rsid w:val="00DF178B"/>
    <w:rsid w:val="00DF2923"/>
    <w:rsid w:val="00DF2AE1"/>
    <w:rsid w:val="00DF2C5A"/>
    <w:rsid w:val="00DF3798"/>
    <w:rsid w:val="00DF43C6"/>
    <w:rsid w:val="00DF6A02"/>
    <w:rsid w:val="00DF6B65"/>
    <w:rsid w:val="00DF76B4"/>
    <w:rsid w:val="00DF77CC"/>
    <w:rsid w:val="00E00046"/>
    <w:rsid w:val="00E00719"/>
    <w:rsid w:val="00E01EFE"/>
    <w:rsid w:val="00E01FC9"/>
    <w:rsid w:val="00E04DDD"/>
    <w:rsid w:val="00E05491"/>
    <w:rsid w:val="00E06598"/>
    <w:rsid w:val="00E067A6"/>
    <w:rsid w:val="00E0786D"/>
    <w:rsid w:val="00E079CE"/>
    <w:rsid w:val="00E1015E"/>
    <w:rsid w:val="00E1095A"/>
    <w:rsid w:val="00E11963"/>
    <w:rsid w:val="00E128C3"/>
    <w:rsid w:val="00E14AE3"/>
    <w:rsid w:val="00E161D2"/>
    <w:rsid w:val="00E16263"/>
    <w:rsid w:val="00E169F4"/>
    <w:rsid w:val="00E16ECE"/>
    <w:rsid w:val="00E16F2A"/>
    <w:rsid w:val="00E16F9E"/>
    <w:rsid w:val="00E22335"/>
    <w:rsid w:val="00E227AF"/>
    <w:rsid w:val="00E228B8"/>
    <w:rsid w:val="00E237D6"/>
    <w:rsid w:val="00E23FE3"/>
    <w:rsid w:val="00E25422"/>
    <w:rsid w:val="00E26030"/>
    <w:rsid w:val="00E26158"/>
    <w:rsid w:val="00E27F7F"/>
    <w:rsid w:val="00E27FF5"/>
    <w:rsid w:val="00E30389"/>
    <w:rsid w:val="00E30443"/>
    <w:rsid w:val="00E30A6F"/>
    <w:rsid w:val="00E32226"/>
    <w:rsid w:val="00E33CAE"/>
    <w:rsid w:val="00E347A1"/>
    <w:rsid w:val="00E348C6"/>
    <w:rsid w:val="00E3721B"/>
    <w:rsid w:val="00E40332"/>
    <w:rsid w:val="00E41213"/>
    <w:rsid w:val="00E4124B"/>
    <w:rsid w:val="00E41AD1"/>
    <w:rsid w:val="00E421AB"/>
    <w:rsid w:val="00E438B9"/>
    <w:rsid w:val="00E447D0"/>
    <w:rsid w:val="00E44B02"/>
    <w:rsid w:val="00E453C5"/>
    <w:rsid w:val="00E46620"/>
    <w:rsid w:val="00E4670A"/>
    <w:rsid w:val="00E50C51"/>
    <w:rsid w:val="00E5107A"/>
    <w:rsid w:val="00E52B1C"/>
    <w:rsid w:val="00E54A0B"/>
    <w:rsid w:val="00E60815"/>
    <w:rsid w:val="00E60AA3"/>
    <w:rsid w:val="00E61C9E"/>
    <w:rsid w:val="00E61D18"/>
    <w:rsid w:val="00E61EC7"/>
    <w:rsid w:val="00E63CF3"/>
    <w:rsid w:val="00E644F2"/>
    <w:rsid w:val="00E64A75"/>
    <w:rsid w:val="00E6516A"/>
    <w:rsid w:val="00E65370"/>
    <w:rsid w:val="00E67E9F"/>
    <w:rsid w:val="00E70EA2"/>
    <w:rsid w:val="00E715FF"/>
    <w:rsid w:val="00E71E0E"/>
    <w:rsid w:val="00E72CEC"/>
    <w:rsid w:val="00E73BC9"/>
    <w:rsid w:val="00E746D0"/>
    <w:rsid w:val="00E75BA3"/>
    <w:rsid w:val="00E76EC2"/>
    <w:rsid w:val="00E77A1A"/>
    <w:rsid w:val="00E77C41"/>
    <w:rsid w:val="00E8015D"/>
    <w:rsid w:val="00E81D2C"/>
    <w:rsid w:val="00E83653"/>
    <w:rsid w:val="00E846DA"/>
    <w:rsid w:val="00E85BEA"/>
    <w:rsid w:val="00E8697F"/>
    <w:rsid w:val="00E8773B"/>
    <w:rsid w:val="00E87A53"/>
    <w:rsid w:val="00E90D5D"/>
    <w:rsid w:val="00E91954"/>
    <w:rsid w:val="00E91E2D"/>
    <w:rsid w:val="00E931E9"/>
    <w:rsid w:val="00E964F9"/>
    <w:rsid w:val="00E96D31"/>
    <w:rsid w:val="00EA116D"/>
    <w:rsid w:val="00EA1279"/>
    <w:rsid w:val="00EA1457"/>
    <w:rsid w:val="00EA2D11"/>
    <w:rsid w:val="00EA30A6"/>
    <w:rsid w:val="00EA4E24"/>
    <w:rsid w:val="00EA6172"/>
    <w:rsid w:val="00EA69B6"/>
    <w:rsid w:val="00EA7007"/>
    <w:rsid w:val="00EA7891"/>
    <w:rsid w:val="00EB48A8"/>
    <w:rsid w:val="00EB4AA8"/>
    <w:rsid w:val="00EB5E79"/>
    <w:rsid w:val="00EB7374"/>
    <w:rsid w:val="00EB77D0"/>
    <w:rsid w:val="00EB7FA3"/>
    <w:rsid w:val="00EC0244"/>
    <w:rsid w:val="00EC179E"/>
    <w:rsid w:val="00EC1998"/>
    <w:rsid w:val="00EC2928"/>
    <w:rsid w:val="00EC30CC"/>
    <w:rsid w:val="00EC604A"/>
    <w:rsid w:val="00EC6701"/>
    <w:rsid w:val="00EC769D"/>
    <w:rsid w:val="00EC7E71"/>
    <w:rsid w:val="00ED1A60"/>
    <w:rsid w:val="00ED1AD1"/>
    <w:rsid w:val="00ED21E7"/>
    <w:rsid w:val="00ED3481"/>
    <w:rsid w:val="00ED4FF0"/>
    <w:rsid w:val="00ED646E"/>
    <w:rsid w:val="00ED741E"/>
    <w:rsid w:val="00ED78C9"/>
    <w:rsid w:val="00EE0AB3"/>
    <w:rsid w:val="00EE2311"/>
    <w:rsid w:val="00EE247D"/>
    <w:rsid w:val="00EE27EF"/>
    <w:rsid w:val="00EE33D7"/>
    <w:rsid w:val="00EE378B"/>
    <w:rsid w:val="00EE6B66"/>
    <w:rsid w:val="00EE775F"/>
    <w:rsid w:val="00EF1AA8"/>
    <w:rsid w:val="00EF24F7"/>
    <w:rsid w:val="00EF422C"/>
    <w:rsid w:val="00EF4978"/>
    <w:rsid w:val="00EF54D8"/>
    <w:rsid w:val="00EF5979"/>
    <w:rsid w:val="00EF6038"/>
    <w:rsid w:val="00EF64C9"/>
    <w:rsid w:val="00EF64EA"/>
    <w:rsid w:val="00EF7106"/>
    <w:rsid w:val="00EF73F2"/>
    <w:rsid w:val="00EF78D1"/>
    <w:rsid w:val="00F00209"/>
    <w:rsid w:val="00F00252"/>
    <w:rsid w:val="00F05C6D"/>
    <w:rsid w:val="00F06CAC"/>
    <w:rsid w:val="00F07504"/>
    <w:rsid w:val="00F07567"/>
    <w:rsid w:val="00F10354"/>
    <w:rsid w:val="00F116C1"/>
    <w:rsid w:val="00F121E3"/>
    <w:rsid w:val="00F12DB1"/>
    <w:rsid w:val="00F13133"/>
    <w:rsid w:val="00F14C36"/>
    <w:rsid w:val="00F16D7B"/>
    <w:rsid w:val="00F2009A"/>
    <w:rsid w:val="00F2021C"/>
    <w:rsid w:val="00F215D2"/>
    <w:rsid w:val="00F21AD6"/>
    <w:rsid w:val="00F2262D"/>
    <w:rsid w:val="00F22998"/>
    <w:rsid w:val="00F22B0A"/>
    <w:rsid w:val="00F230B4"/>
    <w:rsid w:val="00F24196"/>
    <w:rsid w:val="00F24265"/>
    <w:rsid w:val="00F27207"/>
    <w:rsid w:val="00F3188B"/>
    <w:rsid w:val="00F31AA5"/>
    <w:rsid w:val="00F32638"/>
    <w:rsid w:val="00F346A3"/>
    <w:rsid w:val="00F3478F"/>
    <w:rsid w:val="00F363EE"/>
    <w:rsid w:val="00F37829"/>
    <w:rsid w:val="00F40B5B"/>
    <w:rsid w:val="00F417CB"/>
    <w:rsid w:val="00F41AEF"/>
    <w:rsid w:val="00F427FC"/>
    <w:rsid w:val="00F42B59"/>
    <w:rsid w:val="00F44135"/>
    <w:rsid w:val="00F449FC"/>
    <w:rsid w:val="00F44D3B"/>
    <w:rsid w:val="00F4659C"/>
    <w:rsid w:val="00F511FC"/>
    <w:rsid w:val="00F513DD"/>
    <w:rsid w:val="00F52C9D"/>
    <w:rsid w:val="00F53566"/>
    <w:rsid w:val="00F53E97"/>
    <w:rsid w:val="00F54532"/>
    <w:rsid w:val="00F5458A"/>
    <w:rsid w:val="00F54B0F"/>
    <w:rsid w:val="00F54CE3"/>
    <w:rsid w:val="00F54CEE"/>
    <w:rsid w:val="00F559C7"/>
    <w:rsid w:val="00F57885"/>
    <w:rsid w:val="00F6037D"/>
    <w:rsid w:val="00F60611"/>
    <w:rsid w:val="00F6189B"/>
    <w:rsid w:val="00F62368"/>
    <w:rsid w:val="00F63C70"/>
    <w:rsid w:val="00F65482"/>
    <w:rsid w:val="00F67A8C"/>
    <w:rsid w:val="00F702DD"/>
    <w:rsid w:val="00F72A3A"/>
    <w:rsid w:val="00F73AAD"/>
    <w:rsid w:val="00F74F93"/>
    <w:rsid w:val="00F767DF"/>
    <w:rsid w:val="00F76C94"/>
    <w:rsid w:val="00F77459"/>
    <w:rsid w:val="00F81816"/>
    <w:rsid w:val="00F84219"/>
    <w:rsid w:val="00F8506F"/>
    <w:rsid w:val="00F854A7"/>
    <w:rsid w:val="00F866A8"/>
    <w:rsid w:val="00F87284"/>
    <w:rsid w:val="00F905F0"/>
    <w:rsid w:val="00F90996"/>
    <w:rsid w:val="00F91159"/>
    <w:rsid w:val="00F925F2"/>
    <w:rsid w:val="00F92CA2"/>
    <w:rsid w:val="00F9550A"/>
    <w:rsid w:val="00FA0183"/>
    <w:rsid w:val="00FA14C0"/>
    <w:rsid w:val="00FA376B"/>
    <w:rsid w:val="00FA5B70"/>
    <w:rsid w:val="00FA5F16"/>
    <w:rsid w:val="00FA6954"/>
    <w:rsid w:val="00FB0D51"/>
    <w:rsid w:val="00FB13E7"/>
    <w:rsid w:val="00FB32C2"/>
    <w:rsid w:val="00FB4608"/>
    <w:rsid w:val="00FB5B3F"/>
    <w:rsid w:val="00FB7358"/>
    <w:rsid w:val="00FB76BA"/>
    <w:rsid w:val="00FC1DB0"/>
    <w:rsid w:val="00FC22A6"/>
    <w:rsid w:val="00FC3C97"/>
    <w:rsid w:val="00FC59B4"/>
    <w:rsid w:val="00FC7807"/>
    <w:rsid w:val="00FC7955"/>
    <w:rsid w:val="00FD09CF"/>
    <w:rsid w:val="00FD196D"/>
    <w:rsid w:val="00FD1D94"/>
    <w:rsid w:val="00FD24C3"/>
    <w:rsid w:val="00FD3D2F"/>
    <w:rsid w:val="00FD3ECB"/>
    <w:rsid w:val="00FD50CA"/>
    <w:rsid w:val="00FD5723"/>
    <w:rsid w:val="00FD6132"/>
    <w:rsid w:val="00FD6A18"/>
    <w:rsid w:val="00FE005E"/>
    <w:rsid w:val="00FE062A"/>
    <w:rsid w:val="00FE1755"/>
    <w:rsid w:val="00FE1B91"/>
    <w:rsid w:val="00FE30AA"/>
    <w:rsid w:val="00FE6B12"/>
    <w:rsid w:val="00FE7413"/>
    <w:rsid w:val="00FE780D"/>
    <w:rsid w:val="00FE7C93"/>
    <w:rsid w:val="00FE7D09"/>
    <w:rsid w:val="00FF2016"/>
    <w:rsid w:val="00FF2649"/>
    <w:rsid w:val="00FF2AA4"/>
    <w:rsid w:val="00FF2E8E"/>
    <w:rsid w:val="00FF424C"/>
    <w:rsid w:val="00FF4521"/>
    <w:rsid w:val="00FF4DE0"/>
    <w:rsid w:val="00FF5524"/>
    <w:rsid w:val="00FF64F2"/>
    <w:rsid w:val="00FF748B"/>
    <w:rsid w:val="00FF7892"/>
    <w:rsid w:val="013A6AFC"/>
    <w:rsid w:val="01A0398E"/>
    <w:rsid w:val="01AC7DC8"/>
    <w:rsid w:val="01B510D4"/>
    <w:rsid w:val="01C51D88"/>
    <w:rsid w:val="01D671DA"/>
    <w:rsid w:val="01E46073"/>
    <w:rsid w:val="01E706EA"/>
    <w:rsid w:val="02347A7E"/>
    <w:rsid w:val="02442CDC"/>
    <w:rsid w:val="028265A2"/>
    <w:rsid w:val="02A14862"/>
    <w:rsid w:val="02A86B5F"/>
    <w:rsid w:val="02EE3EC3"/>
    <w:rsid w:val="02F0530D"/>
    <w:rsid w:val="030B05E8"/>
    <w:rsid w:val="03444220"/>
    <w:rsid w:val="0369560D"/>
    <w:rsid w:val="0370464D"/>
    <w:rsid w:val="0388732B"/>
    <w:rsid w:val="038F62A0"/>
    <w:rsid w:val="03950269"/>
    <w:rsid w:val="039874AF"/>
    <w:rsid w:val="04250123"/>
    <w:rsid w:val="043175E4"/>
    <w:rsid w:val="044A4F2B"/>
    <w:rsid w:val="04CD4D3C"/>
    <w:rsid w:val="04E62539"/>
    <w:rsid w:val="053C1E9D"/>
    <w:rsid w:val="05650F0F"/>
    <w:rsid w:val="05984A94"/>
    <w:rsid w:val="05B51BFE"/>
    <w:rsid w:val="05E732EC"/>
    <w:rsid w:val="061F48BA"/>
    <w:rsid w:val="066C6EE5"/>
    <w:rsid w:val="06773F81"/>
    <w:rsid w:val="06E4279C"/>
    <w:rsid w:val="07080830"/>
    <w:rsid w:val="071371A5"/>
    <w:rsid w:val="07170B37"/>
    <w:rsid w:val="072C62C7"/>
    <w:rsid w:val="07524795"/>
    <w:rsid w:val="07593491"/>
    <w:rsid w:val="07632D76"/>
    <w:rsid w:val="07E61701"/>
    <w:rsid w:val="07E80FD6"/>
    <w:rsid w:val="07F45372"/>
    <w:rsid w:val="07FC0BA5"/>
    <w:rsid w:val="080C2145"/>
    <w:rsid w:val="086E3CFE"/>
    <w:rsid w:val="08762A7B"/>
    <w:rsid w:val="088317C8"/>
    <w:rsid w:val="089F7EAE"/>
    <w:rsid w:val="08B756F5"/>
    <w:rsid w:val="08EF02F5"/>
    <w:rsid w:val="08FB2C63"/>
    <w:rsid w:val="091D0DD3"/>
    <w:rsid w:val="094D1F28"/>
    <w:rsid w:val="09872F43"/>
    <w:rsid w:val="098A25EA"/>
    <w:rsid w:val="09E7407F"/>
    <w:rsid w:val="0AC42355"/>
    <w:rsid w:val="0AD73EEC"/>
    <w:rsid w:val="0ADE3D74"/>
    <w:rsid w:val="0B800C6B"/>
    <w:rsid w:val="0BBE367A"/>
    <w:rsid w:val="0BC35323"/>
    <w:rsid w:val="0BF616EA"/>
    <w:rsid w:val="0C035CA8"/>
    <w:rsid w:val="0CB13487"/>
    <w:rsid w:val="0CC5720C"/>
    <w:rsid w:val="0CF627E0"/>
    <w:rsid w:val="0D1A40C4"/>
    <w:rsid w:val="0D3706AA"/>
    <w:rsid w:val="0D834EC5"/>
    <w:rsid w:val="0DB512B5"/>
    <w:rsid w:val="0E0828AD"/>
    <w:rsid w:val="0E2E513B"/>
    <w:rsid w:val="0E430935"/>
    <w:rsid w:val="0E513DE6"/>
    <w:rsid w:val="0EB549FF"/>
    <w:rsid w:val="0EBE0BC0"/>
    <w:rsid w:val="0EC74AA7"/>
    <w:rsid w:val="0EEA79A9"/>
    <w:rsid w:val="100D4C2E"/>
    <w:rsid w:val="105300C1"/>
    <w:rsid w:val="105E4E09"/>
    <w:rsid w:val="10D9522F"/>
    <w:rsid w:val="10EF74F9"/>
    <w:rsid w:val="11156DE8"/>
    <w:rsid w:val="111835D6"/>
    <w:rsid w:val="114B36C5"/>
    <w:rsid w:val="117B160D"/>
    <w:rsid w:val="1188039A"/>
    <w:rsid w:val="119A63D7"/>
    <w:rsid w:val="11D54078"/>
    <w:rsid w:val="11DF131B"/>
    <w:rsid w:val="11F50B3F"/>
    <w:rsid w:val="121E1BD2"/>
    <w:rsid w:val="125816BB"/>
    <w:rsid w:val="127F6C14"/>
    <w:rsid w:val="128678CF"/>
    <w:rsid w:val="12A55227"/>
    <w:rsid w:val="12C21987"/>
    <w:rsid w:val="12DB1249"/>
    <w:rsid w:val="12E27315"/>
    <w:rsid w:val="12F676D3"/>
    <w:rsid w:val="130F662F"/>
    <w:rsid w:val="133D54C9"/>
    <w:rsid w:val="1350772B"/>
    <w:rsid w:val="13510173"/>
    <w:rsid w:val="1352598C"/>
    <w:rsid w:val="137053AF"/>
    <w:rsid w:val="13A137D1"/>
    <w:rsid w:val="13A44221"/>
    <w:rsid w:val="13A86F72"/>
    <w:rsid w:val="13DE6457"/>
    <w:rsid w:val="1402280C"/>
    <w:rsid w:val="148137BC"/>
    <w:rsid w:val="14820EB5"/>
    <w:rsid w:val="14861F22"/>
    <w:rsid w:val="14BA1384"/>
    <w:rsid w:val="150258D5"/>
    <w:rsid w:val="15122BDE"/>
    <w:rsid w:val="152A28BD"/>
    <w:rsid w:val="156412E2"/>
    <w:rsid w:val="15945F2A"/>
    <w:rsid w:val="159E31AD"/>
    <w:rsid w:val="15BF11D2"/>
    <w:rsid w:val="15CD155C"/>
    <w:rsid w:val="15DA0163"/>
    <w:rsid w:val="15E71A9F"/>
    <w:rsid w:val="15EE70E7"/>
    <w:rsid w:val="16F2389F"/>
    <w:rsid w:val="17045380"/>
    <w:rsid w:val="1740285C"/>
    <w:rsid w:val="17D61CEE"/>
    <w:rsid w:val="17F561B7"/>
    <w:rsid w:val="18096DF9"/>
    <w:rsid w:val="18427D94"/>
    <w:rsid w:val="184B7FC0"/>
    <w:rsid w:val="185508FC"/>
    <w:rsid w:val="18676020"/>
    <w:rsid w:val="18C51A62"/>
    <w:rsid w:val="18EF1C85"/>
    <w:rsid w:val="19060A81"/>
    <w:rsid w:val="194F651A"/>
    <w:rsid w:val="196C293E"/>
    <w:rsid w:val="19823A87"/>
    <w:rsid w:val="19D32387"/>
    <w:rsid w:val="19E00326"/>
    <w:rsid w:val="1A3370E3"/>
    <w:rsid w:val="1A564145"/>
    <w:rsid w:val="1A84363F"/>
    <w:rsid w:val="1A88267F"/>
    <w:rsid w:val="1AA32F61"/>
    <w:rsid w:val="1ABF7F3C"/>
    <w:rsid w:val="1AE54329"/>
    <w:rsid w:val="1B171B26"/>
    <w:rsid w:val="1B2C6129"/>
    <w:rsid w:val="1B3F2E2B"/>
    <w:rsid w:val="1B496D49"/>
    <w:rsid w:val="1B7162DC"/>
    <w:rsid w:val="1BB32556"/>
    <w:rsid w:val="1BCA303C"/>
    <w:rsid w:val="1BCB0DA7"/>
    <w:rsid w:val="1BD706CF"/>
    <w:rsid w:val="1BF155F7"/>
    <w:rsid w:val="1C252021"/>
    <w:rsid w:val="1C2D7F8A"/>
    <w:rsid w:val="1C6F42F8"/>
    <w:rsid w:val="1C92314D"/>
    <w:rsid w:val="1CE912A0"/>
    <w:rsid w:val="1D071038"/>
    <w:rsid w:val="1D1456E3"/>
    <w:rsid w:val="1D1B43EA"/>
    <w:rsid w:val="1D5266D1"/>
    <w:rsid w:val="1DA9704C"/>
    <w:rsid w:val="1DBA49EB"/>
    <w:rsid w:val="1EAC7172"/>
    <w:rsid w:val="1ED56A0C"/>
    <w:rsid w:val="1F140A8A"/>
    <w:rsid w:val="1F260E8F"/>
    <w:rsid w:val="1F4229CC"/>
    <w:rsid w:val="1F6F47E8"/>
    <w:rsid w:val="1F817EB6"/>
    <w:rsid w:val="1FA65583"/>
    <w:rsid w:val="1FA85442"/>
    <w:rsid w:val="1FBF3F5C"/>
    <w:rsid w:val="203B449C"/>
    <w:rsid w:val="20697E84"/>
    <w:rsid w:val="206F03EE"/>
    <w:rsid w:val="2097788F"/>
    <w:rsid w:val="216B3376"/>
    <w:rsid w:val="216B6728"/>
    <w:rsid w:val="218B707C"/>
    <w:rsid w:val="2200308E"/>
    <w:rsid w:val="220B1F5A"/>
    <w:rsid w:val="2245341D"/>
    <w:rsid w:val="22595CAD"/>
    <w:rsid w:val="228A7081"/>
    <w:rsid w:val="229138A9"/>
    <w:rsid w:val="22A00653"/>
    <w:rsid w:val="22D90FF2"/>
    <w:rsid w:val="22EC5646"/>
    <w:rsid w:val="230B4F32"/>
    <w:rsid w:val="2358126D"/>
    <w:rsid w:val="235A5ADC"/>
    <w:rsid w:val="236E69A3"/>
    <w:rsid w:val="23890D0D"/>
    <w:rsid w:val="23A57781"/>
    <w:rsid w:val="23C40371"/>
    <w:rsid w:val="23CD7606"/>
    <w:rsid w:val="23E603D4"/>
    <w:rsid w:val="240A472A"/>
    <w:rsid w:val="24123769"/>
    <w:rsid w:val="2440213E"/>
    <w:rsid w:val="245C1D7E"/>
    <w:rsid w:val="246F29D3"/>
    <w:rsid w:val="2472698B"/>
    <w:rsid w:val="248649DE"/>
    <w:rsid w:val="24913447"/>
    <w:rsid w:val="24A25DFB"/>
    <w:rsid w:val="24A873E5"/>
    <w:rsid w:val="24CC3D2C"/>
    <w:rsid w:val="24E419FD"/>
    <w:rsid w:val="24EB64B7"/>
    <w:rsid w:val="250E2C93"/>
    <w:rsid w:val="251429C6"/>
    <w:rsid w:val="25625E15"/>
    <w:rsid w:val="259E02A0"/>
    <w:rsid w:val="259E356B"/>
    <w:rsid w:val="25BE258A"/>
    <w:rsid w:val="25CC1A26"/>
    <w:rsid w:val="26827A3D"/>
    <w:rsid w:val="26941F17"/>
    <w:rsid w:val="26B40B71"/>
    <w:rsid w:val="26CB46B3"/>
    <w:rsid w:val="26E655AD"/>
    <w:rsid w:val="271263E0"/>
    <w:rsid w:val="27342C2F"/>
    <w:rsid w:val="273C6E47"/>
    <w:rsid w:val="275B7727"/>
    <w:rsid w:val="27921E32"/>
    <w:rsid w:val="27D05810"/>
    <w:rsid w:val="27DE1917"/>
    <w:rsid w:val="27E157F8"/>
    <w:rsid w:val="2832613A"/>
    <w:rsid w:val="284C253B"/>
    <w:rsid w:val="285B3F1A"/>
    <w:rsid w:val="28D56B7C"/>
    <w:rsid w:val="28F47D60"/>
    <w:rsid w:val="28F57AD2"/>
    <w:rsid w:val="290B5345"/>
    <w:rsid w:val="292342B0"/>
    <w:rsid w:val="295A4633"/>
    <w:rsid w:val="297B0E5B"/>
    <w:rsid w:val="2983213C"/>
    <w:rsid w:val="298B48AF"/>
    <w:rsid w:val="29A350DF"/>
    <w:rsid w:val="29E7118D"/>
    <w:rsid w:val="29EA5229"/>
    <w:rsid w:val="2A115B06"/>
    <w:rsid w:val="2A1670DB"/>
    <w:rsid w:val="2A3240E3"/>
    <w:rsid w:val="2A471CA1"/>
    <w:rsid w:val="2A497822"/>
    <w:rsid w:val="2A4D6A50"/>
    <w:rsid w:val="2AB93AFD"/>
    <w:rsid w:val="2ABA4C6C"/>
    <w:rsid w:val="2B332329"/>
    <w:rsid w:val="2B5F7E7A"/>
    <w:rsid w:val="2B7408CF"/>
    <w:rsid w:val="2B761A64"/>
    <w:rsid w:val="2B85225B"/>
    <w:rsid w:val="2BB57639"/>
    <w:rsid w:val="2BDC50AF"/>
    <w:rsid w:val="2C415943"/>
    <w:rsid w:val="2C4B5AD3"/>
    <w:rsid w:val="2C6E6CED"/>
    <w:rsid w:val="2C704C4D"/>
    <w:rsid w:val="2C7219A3"/>
    <w:rsid w:val="2D0E2134"/>
    <w:rsid w:val="2D412F79"/>
    <w:rsid w:val="2D493EE1"/>
    <w:rsid w:val="2D5704A8"/>
    <w:rsid w:val="2D991BA9"/>
    <w:rsid w:val="2DD16827"/>
    <w:rsid w:val="2DD6650C"/>
    <w:rsid w:val="2DEE02D1"/>
    <w:rsid w:val="2E0562BE"/>
    <w:rsid w:val="2E204E3C"/>
    <w:rsid w:val="2E4439BD"/>
    <w:rsid w:val="2E701AE8"/>
    <w:rsid w:val="2E885B8B"/>
    <w:rsid w:val="2EAF710D"/>
    <w:rsid w:val="2EEC6E0A"/>
    <w:rsid w:val="2EF20132"/>
    <w:rsid w:val="2F0353BC"/>
    <w:rsid w:val="2F081A5A"/>
    <w:rsid w:val="2F4800A8"/>
    <w:rsid w:val="2F5F032C"/>
    <w:rsid w:val="2F667233"/>
    <w:rsid w:val="2FB8241F"/>
    <w:rsid w:val="2FD11754"/>
    <w:rsid w:val="2FF0714F"/>
    <w:rsid w:val="301C541B"/>
    <w:rsid w:val="302A7BA2"/>
    <w:rsid w:val="308100C9"/>
    <w:rsid w:val="30D54FF2"/>
    <w:rsid w:val="30DD5273"/>
    <w:rsid w:val="31066EBE"/>
    <w:rsid w:val="311144B5"/>
    <w:rsid w:val="31A11CF2"/>
    <w:rsid w:val="31D83B25"/>
    <w:rsid w:val="31D935BF"/>
    <w:rsid w:val="31E52B6B"/>
    <w:rsid w:val="320D7324"/>
    <w:rsid w:val="321B5F48"/>
    <w:rsid w:val="32792C60"/>
    <w:rsid w:val="32A70A1F"/>
    <w:rsid w:val="32BB5013"/>
    <w:rsid w:val="32D52A73"/>
    <w:rsid w:val="32EF7A17"/>
    <w:rsid w:val="33180F62"/>
    <w:rsid w:val="332933AA"/>
    <w:rsid w:val="335700B7"/>
    <w:rsid w:val="33625914"/>
    <w:rsid w:val="33824A35"/>
    <w:rsid w:val="3387158A"/>
    <w:rsid w:val="339B4998"/>
    <w:rsid w:val="339B6D22"/>
    <w:rsid w:val="33D321F1"/>
    <w:rsid w:val="33E660E2"/>
    <w:rsid w:val="33EB36F8"/>
    <w:rsid w:val="33FB7DDF"/>
    <w:rsid w:val="34041E02"/>
    <w:rsid w:val="341C6B13"/>
    <w:rsid w:val="34306C12"/>
    <w:rsid w:val="343155AF"/>
    <w:rsid w:val="3443330F"/>
    <w:rsid w:val="34A42CEF"/>
    <w:rsid w:val="34A82928"/>
    <w:rsid w:val="350031D3"/>
    <w:rsid w:val="35325BD1"/>
    <w:rsid w:val="356C6C25"/>
    <w:rsid w:val="356C73E1"/>
    <w:rsid w:val="35C91C73"/>
    <w:rsid w:val="35EA0780"/>
    <w:rsid w:val="3663183C"/>
    <w:rsid w:val="367B2C38"/>
    <w:rsid w:val="368F0CB2"/>
    <w:rsid w:val="36922B60"/>
    <w:rsid w:val="36925A6B"/>
    <w:rsid w:val="369973B4"/>
    <w:rsid w:val="369E51F9"/>
    <w:rsid w:val="36E55D17"/>
    <w:rsid w:val="372E7B0F"/>
    <w:rsid w:val="373C3BD7"/>
    <w:rsid w:val="374B5D59"/>
    <w:rsid w:val="375F5E29"/>
    <w:rsid w:val="376E4840"/>
    <w:rsid w:val="37743BDE"/>
    <w:rsid w:val="377A3C69"/>
    <w:rsid w:val="378428C1"/>
    <w:rsid w:val="37977E1F"/>
    <w:rsid w:val="37C50CCC"/>
    <w:rsid w:val="37CA5F8E"/>
    <w:rsid w:val="3868066A"/>
    <w:rsid w:val="389F51FB"/>
    <w:rsid w:val="38BC393D"/>
    <w:rsid w:val="38D34B7E"/>
    <w:rsid w:val="38F27BDF"/>
    <w:rsid w:val="38FC7CE2"/>
    <w:rsid w:val="38FE681D"/>
    <w:rsid w:val="392765F8"/>
    <w:rsid w:val="395C1320"/>
    <w:rsid w:val="39743BC7"/>
    <w:rsid w:val="39855E67"/>
    <w:rsid w:val="39DC24A0"/>
    <w:rsid w:val="39FB5E05"/>
    <w:rsid w:val="3A0A3189"/>
    <w:rsid w:val="3A437DEA"/>
    <w:rsid w:val="3A8C6B87"/>
    <w:rsid w:val="3AA5661B"/>
    <w:rsid w:val="3ABE088E"/>
    <w:rsid w:val="3AFF4360"/>
    <w:rsid w:val="3B1149A0"/>
    <w:rsid w:val="3B173FF2"/>
    <w:rsid w:val="3B231504"/>
    <w:rsid w:val="3B7A39C8"/>
    <w:rsid w:val="3BEF6790"/>
    <w:rsid w:val="3C084955"/>
    <w:rsid w:val="3C4F6525"/>
    <w:rsid w:val="3C720E5A"/>
    <w:rsid w:val="3CC53A02"/>
    <w:rsid w:val="3CC92BE1"/>
    <w:rsid w:val="3CCF2956"/>
    <w:rsid w:val="3D3D3A8D"/>
    <w:rsid w:val="3DC40149"/>
    <w:rsid w:val="3E1F06E7"/>
    <w:rsid w:val="3E3D5D74"/>
    <w:rsid w:val="3E432BB1"/>
    <w:rsid w:val="3E4C7D2A"/>
    <w:rsid w:val="3EEC1F3C"/>
    <w:rsid w:val="3F0A1B31"/>
    <w:rsid w:val="3F4C5DA1"/>
    <w:rsid w:val="3F886FEF"/>
    <w:rsid w:val="3FCD67B6"/>
    <w:rsid w:val="3FD2249C"/>
    <w:rsid w:val="3FE9003E"/>
    <w:rsid w:val="3FEB4EB0"/>
    <w:rsid w:val="3FFB0069"/>
    <w:rsid w:val="40040009"/>
    <w:rsid w:val="40636BDC"/>
    <w:rsid w:val="40912DF2"/>
    <w:rsid w:val="40DE6ABE"/>
    <w:rsid w:val="4105344D"/>
    <w:rsid w:val="410E3FFA"/>
    <w:rsid w:val="411D0027"/>
    <w:rsid w:val="417B430D"/>
    <w:rsid w:val="418A7DCB"/>
    <w:rsid w:val="418C7B84"/>
    <w:rsid w:val="41AE4427"/>
    <w:rsid w:val="41EC1732"/>
    <w:rsid w:val="41EF42B6"/>
    <w:rsid w:val="425803F2"/>
    <w:rsid w:val="426005FB"/>
    <w:rsid w:val="42866735"/>
    <w:rsid w:val="42AF172C"/>
    <w:rsid w:val="42B07FE6"/>
    <w:rsid w:val="434278F6"/>
    <w:rsid w:val="435C6135"/>
    <w:rsid w:val="43713C1A"/>
    <w:rsid w:val="438A0837"/>
    <w:rsid w:val="438D0208"/>
    <w:rsid w:val="439D1792"/>
    <w:rsid w:val="43C158E5"/>
    <w:rsid w:val="43FA44F4"/>
    <w:rsid w:val="443958EC"/>
    <w:rsid w:val="448A380F"/>
    <w:rsid w:val="44A818BD"/>
    <w:rsid w:val="44D16377"/>
    <w:rsid w:val="451A16B5"/>
    <w:rsid w:val="453222FB"/>
    <w:rsid w:val="45337E9A"/>
    <w:rsid w:val="4534371C"/>
    <w:rsid w:val="453F180C"/>
    <w:rsid w:val="45440EBA"/>
    <w:rsid w:val="45A51959"/>
    <w:rsid w:val="45B26A77"/>
    <w:rsid w:val="45C1272A"/>
    <w:rsid w:val="45F11B1E"/>
    <w:rsid w:val="462D3D8F"/>
    <w:rsid w:val="46726F7C"/>
    <w:rsid w:val="46931456"/>
    <w:rsid w:val="46965745"/>
    <w:rsid w:val="469B1260"/>
    <w:rsid w:val="47157355"/>
    <w:rsid w:val="47332B01"/>
    <w:rsid w:val="47624F2D"/>
    <w:rsid w:val="47C966B0"/>
    <w:rsid w:val="47FA3E9F"/>
    <w:rsid w:val="483A214B"/>
    <w:rsid w:val="48662EA8"/>
    <w:rsid w:val="4880045B"/>
    <w:rsid w:val="48E1714C"/>
    <w:rsid w:val="48F96000"/>
    <w:rsid w:val="499302E7"/>
    <w:rsid w:val="4A35411C"/>
    <w:rsid w:val="4A5F5176"/>
    <w:rsid w:val="4A6138B7"/>
    <w:rsid w:val="4A7045EA"/>
    <w:rsid w:val="4AC05487"/>
    <w:rsid w:val="4B093E83"/>
    <w:rsid w:val="4B60287F"/>
    <w:rsid w:val="4B954394"/>
    <w:rsid w:val="4B996250"/>
    <w:rsid w:val="4BEA27BB"/>
    <w:rsid w:val="4C634C2B"/>
    <w:rsid w:val="4CD16D54"/>
    <w:rsid w:val="4CD66971"/>
    <w:rsid w:val="4CE3313B"/>
    <w:rsid w:val="4CE65BA0"/>
    <w:rsid w:val="4CEA2F16"/>
    <w:rsid w:val="4D026C7B"/>
    <w:rsid w:val="4D19133C"/>
    <w:rsid w:val="4D1A4290"/>
    <w:rsid w:val="4D3C5DDD"/>
    <w:rsid w:val="4D665E71"/>
    <w:rsid w:val="4D6C2217"/>
    <w:rsid w:val="4DA70238"/>
    <w:rsid w:val="4DAB41CC"/>
    <w:rsid w:val="4DB91EB5"/>
    <w:rsid w:val="4DBF18E4"/>
    <w:rsid w:val="4DCA1EFB"/>
    <w:rsid w:val="4DCC56AE"/>
    <w:rsid w:val="4E550478"/>
    <w:rsid w:val="4E7E5F96"/>
    <w:rsid w:val="4ECF38D9"/>
    <w:rsid w:val="4F2214EF"/>
    <w:rsid w:val="4F520F58"/>
    <w:rsid w:val="4F932271"/>
    <w:rsid w:val="4F944A8E"/>
    <w:rsid w:val="4FB06C9D"/>
    <w:rsid w:val="4FDC3B60"/>
    <w:rsid w:val="4FE86AFA"/>
    <w:rsid w:val="4FEE2FD2"/>
    <w:rsid w:val="504E32DA"/>
    <w:rsid w:val="5068023B"/>
    <w:rsid w:val="50716285"/>
    <w:rsid w:val="5078481A"/>
    <w:rsid w:val="50967A33"/>
    <w:rsid w:val="50B1189D"/>
    <w:rsid w:val="50C9144E"/>
    <w:rsid w:val="50D34EDD"/>
    <w:rsid w:val="50D8739F"/>
    <w:rsid w:val="50E84E1E"/>
    <w:rsid w:val="510E0CFA"/>
    <w:rsid w:val="51141297"/>
    <w:rsid w:val="514214AD"/>
    <w:rsid w:val="514C0E68"/>
    <w:rsid w:val="515E50B1"/>
    <w:rsid w:val="51E43809"/>
    <w:rsid w:val="52093C98"/>
    <w:rsid w:val="520B69A2"/>
    <w:rsid w:val="526F7E0C"/>
    <w:rsid w:val="52AC61CC"/>
    <w:rsid w:val="52B75DE8"/>
    <w:rsid w:val="52B803D0"/>
    <w:rsid w:val="52E91AD6"/>
    <w:rsid w:val="52F26A3B"/>
    <w:rsid w:val="53273B9F"/>
    <w:rsid w:val="53344695"/>
    <w:rsid w:val="533D7674"/>
    <w:rsid w:val="536C5AEA"/>
    <w:rsid w:val="53771938"/>
    <w:rsid w:val="53AF5F5C"/>
    <w:rsid w:val="53D87317"/>
    <w:rsid w:val="540262EE"/>
    <w:rsid w:val="540C383F"/>
    <w:rsid w:val="54C73958"/>
    <w:rsid w:val="54D10865"/>
    <w:rsid w:val="54F661DA"/>
    <w:rsid w:val="55340517"/>
    <w:rsid w:val="553920BD"/>
    <w:rsid w:val="5572361C"/>
    <w:rsid w:val="558477DD"/>
    <w:rsid w:val="55A50B40"/>
    <w:rsid w:val="55D549F2"/>
    <w:rsid w:val="55F1744D"/>
    <w:rsid w:val="560C4A89"/>
    <w:rsid w:val="561060E1"/>
    <w:rsid w:val="562B0879"/>
    <w:rsid w:val="567169BD"/>
    <w:rsid w:val="56797A81"/>
    <w:rsid w:val="570C5D6D"/>
    <w:rsid w:val="57551D61"/>
    <w:rsid w:val="575F4ED7"/>
    <w:rsid w:val="57607F9E"/>
    <w:rsid w:val="57710DAC"/>
    <w:rsid w:val="5793207C"/>
    <w:rsid w:val="57CF0AB7"/>
    <w:rsid w:val="57E36310"/>
    <w:rsid w:val="580310E3"/>
    <w:rsid w:val="583A6878"/>
    <w:rsid w:val="58646C09"/>
    <w:rsid w:val="597073EA"/>
    <w:rsid w:val="597D7D9D"/>
    <w:rsid w:val="5982241B"/>
    <w:rsid w:val="5A0069E3"/>
    <w:rsid w:val="5A043DC0"/>
    <w:rsid w:val="5A3B2138"/>
    <w:rsid w:val="5A6776CD"/>
    <w:rsid w:val="5A8F0385"/>
    <w:rsid w:val="5ABA3CA0"/>
    <w:rsid w:val="5ADE6E19"/>
    <w:rsid w:val="5AF13C5C"/>
    <w:rsid w:val="5AF923CE"/>
    <w:rsid w:val="5B2F01EA"/>
    <w:rsid w:val="5B5E287E"/>
    <w:rsid w:val="5B6933E0"/>
    <w:rsid w:val="5BB21D17"/>
    <w:rsid w:val="5BB24978"/>
    <w:rsid w:val="5BED7297"/>
    <w:rsid w:val="5C2511AF"/>
    <w:rsid w:val="5C6B34A4"/>
    <w:rsid w:val="5CB04392"/>
    <w:rsid w:val="5CE71D98"/>
    <w:rsid w:val="5CEE7C31"/>
    <w:rsid w:val="5CFA7B04"/>
    <w:rsid w:val="5CFF0C21"/>
    <w:rsid w:val="5D072AA1"/>
    <w:rsid w:val="5D2213B7"/>
    <w:rsid w:val="5D2D69AC"/>
    <w:rsid w:val="5D363DDB"/>
    <w:rsid w:val="5D5E662C"/>
    <w:rsid w:val="5D913089"/>
    <w:rsid w:val="5D92680F"/>
    <w:rsid w:val="5DC16BC3"/>
    <w:rsid w:val="5E1153FC"/>
    <w:rsid w:val="5E145476"/>
    <w:rsid w:val="5E4C1649"/>
    <w:rsid w:val="5E4E158E"/>
    <w:rsid w:val="5E6C0129"/>
    <w:rsid w:val="5E801EED"/>
    <w:rsid w:val="5EBE5B1E"/>
    <w:rsid w:val="5EC4795D"/>
    <w:rsid w:val="5EC86CEB"/>
    <w:rsid w:val="5ED5716B"/>
    <w:rsid w:val="5F001521"/>
    <w:rsid w:val="5F072427"/>
    <w:rsid w:val="5F644166"/>
    <w:rsid w:val="5F750ADC"/>
    <w:rsid w:val="5FAE347C"/>
    <w:rsid w:val="606A318A"/>
    <w:rsid w:val="608A7146"/>
    <w:rsid w:val="60E56C6B"/>
    <w:rsid w:val="60F35816"/>
    <w:rsid w:val="6112586F"/>
    <w:rsid w:val="611A2DA3"/>
    <w:rsid w:val="614502D1"/>
    <w:rsid w:val="615A205C"/>
    <w:rsid w:val="61931174"/>
    <w:rsid w:val="61AF40EC"/>
    <w:rsid w:val="61B37BE2"/>
    <w:rsid w:val="61EA073F"/>
    <w:rsid w:val="6280415A"/>
    <w:rsid w:val="62A73CDA"/>
    <w:rsid w:val="63015781"/>
    <w:rsid w:val="63161C90"/>
    <w:rsid w:val="633D2328"/>
    <w:rsid w:val="636E5B9F"/>
    <w:rsid w:val="63944C6C"/>
    <w:rsid w:val="63BF5E84"/>
    <w:rsid w:val="63C8136A"/>
    <w:rsid w:val="63DE0B99"/>
    <w:rsid w:val="63E6199A"/>
    <w:rsid w:val="64001C3E"/>
    <w:rsid w:val="64612140"/>
    <w:rsid w:val="647E14A2"/>
    <w:rsid w:val="64916607"/>
    <w:rsid w:val="64A244DA"/>
    <w:rsid w:val="64B24F00"/>
    <w:rsid w:val="650134DA"/>
    <w:rsid w:val="654348CD"/>
    <w:rsid w:val="65E0467B"/>
    <w:rsid w:val="66157781"/>
    <w:rsid w:val="6620405F"/>
    <w:rsid w:val="664F1C3F"/>
    <w:rsid w:val="66572C43"/>
    <w:rsid w:val="667707A3"/>
    <w:rsid w:val="667900BE"/>
    <w:rsid w:val="66B45FF0"/>
    <w:rsid w:val="66D46943"/>
    <w:rsid w:val="66DB63C5"/>
    <w:rsid w:val="66FA3A89"/>
    <w:rsid w:val="6707201B"/>
    <w:rsid w:val="670A0B8F"/>
    <w:rsid w:val="670F10B0"/>
    <w:rsid w:val="675A65EF"/>
    <w:rsid w:val="67876CB8"/>
    <w:rsid w:val="67C65A33"/>
    <w:rsid w:val="68297D70"/>
    <w:rsid w:val="683128F9"/>
    <w:rsid w:val="683F72FD"/>
    <w:rsid w:val="68670618"/>
    <w:rsid w:val="68775531"/>
    <w:rsid w:val="68863B5A"/>
    <w:rsid w:val="68B20CB2"/>
    <w:rsid w:val="68CC7AE3"/>
    <w:rsid w:val="68D81C7F"/>
    <w:rsid w:val="68F22A80"/>
    <w:rsid w:val="69093D48"/>
    <w:rsid w:val="6980174A"/>
    <w:rsid w:val="69DF734D"/>
    <w:rsid w:val="69EB543D"/>
    <w:rsid w:val="69F22341"/>
    <w:rsid w:val="6A092110"/>
    <w:rsid w:val="6A1E5377"/>
    <w:rsid w:val="6A9736B6"/>
    <w:rsid w:val="6AA879E9"/>
    <w:rsid w:val="6B01222E"/>
    <w:rsid w:val="6B6A5039"/>
    <w:rsid w:val="6B730FCE"/>
    <w:rsid w:val="6B9A45BD"/>
    <w:rsid w:val="6BEB2C97"/>
    <w:rsid w:val="6BFF14D7"/>
    <w:rsid w:val="6C0338C5"/>
    <w:rsid w:val="6C03456A"/>
    <w:rsid w:val="6C1A7149"/>
    <w:rsid w:val="6C267A8E"/>
    <w:rsid w:val="6C6168E8"/>
    <w:rsid w:val="6C6B50F3"/>
    <w:rsid w:val="6C9D1648"/>
    <w:rsid w:val="6CD01269"/>
    <w:rsid w:val="6CD417E7"/>
    <w:rsid w:val="6CE50185"/>
    <w:rsid w:val="6D0F5612"/>
    <w:rsid w:val="6D126C64"/>
    <w:rsid w:val="6D162728"/>
    <w:rsid w:val="6D8E2A4A"/>
    <w:rsid w:val="6DFA4688"/>
    <w:rsid w:val="6E056990"/>
    <w:rsid w:val="6E11368A"/>
    <w:rsid w:val="6E2C743D"/>
    <w:rsid w:val="6E451E44"/>
    <w:rsid w:val="6E773A27"/>
    <w:rsid w:val="6E9B2E53"/>
    <w:rsid w:val="6EA03CF5"/>
    <w:rsid w:val="6EF32E85"/>
    <w:rsid w:val="6EF92AEA"/>
    <w:rsid w:val="6EFF5D5F"/>
    <w:rsid w:val="6F115B32"/>
    <w:rsid w:val="6F216C6C"/>
    <w:rsid w:val="6F3644D2"/>
    <w:rsid w:val="6F40256E"/>
    <w:rsid w:val="6F581A08"/>
    <w:rsid w:val="6F7E240C"/>
    <w:rsid w:val="6F865AA7"/>
    <w:rsid w:val="6FB95E7D"/>
    <w:rsid w:val="6FD04EB7"/>
    <w:rsid w:val="6FD443F0"/>
    <w:rsid w:val="6FEF189F"/>
    <w:rsid w:val="700C03AA"/>
    <w:rsid w:val="701B2352"/>
    <w:rsid w:val="70330644"/>
    <w:rsid w:val="70672711"/>
    <w:rsid w:val="70CF1DD7"/>
    <w:rsid w:val="70F52EE5"/>
    <w:rsid w:val="71506BE5"/>
    <w:rsid w:val="717C72E3"/>
    <w:rsid w:val="71A946BB"/>
    <w:rsid w:val="71B608C6"/>
    <w:rsid w:val="71BE3C8D"/>
    <w:rsid w:val="720553A9"/>
    <w:rsid w:val="7207477C"/>
    <w:rsid w:val="721E0808"/>
    <w:rsid w:val="722D03AF"/>
    <w:rsid w:val="72393B34"/>
    <w:rsid w:val="72595DBF"/>
    <w:rsid w:val="72810B38"/>
    <w:rsid w:val="728B1D53"/>
    <w:rsid w:val="72D424FC"/>
    <w:rsid w:val="73337D45"/>
    <w:rsid w:val="73353A6C"/>
    <w:rsid w:val="737F5DFC"/>
    <w:rsid w:val="739C54D9"/>
    <w:rsid w:val="73CD4857"/>
    <w:rsid w:val="73F13E37"/>
    <w:rsid w:val="743628AD"/>
    <w:rsid w:val="74402B2F"/>
    <w:rsid w:val="744A3C15"/>
    <w:rsid w:val="746A1E3C"/>
    <w:rsid w:val="746D4E59"/>
    <w:rsid w:val="74745E20"/>
    <w:rsid w:val="74CC7FCC"/>
    <w:rsid w:val="74D44F07"/>
    <w:rsid w:val="75366288"/>
    <w:rsid w:val="75547745"/>
    <w:rsid w:val="75897582"/>
    <w:rsid w:val="759D0625"/>
    <w:rsid w:val="75A153E9"/>
    <w:rsid w:val="75C8039D"/>
    <w:rsid w:val="75CE5EA7"/>
    <w:rsid w:val="75EF6EB1"/>
    <w:rsid w:val="76126798"/>
    <w:rsid w:val="76787EF5"/>
    <w:rsid w:val="76852DBE"/>
    <w:rsid w:val="76A35191"/>
    <w:rsid w:val="76A87524"/>
    <w:rsid w:val="76CC0B8C"/>
    <w:rsid w:val="76D62B83"/>
    <w:rsid w:val="76FB73EA"/>
    <w:rsid w:val="770C7E9C"/>
    <w:rsid w:val="779D2BBE"/>
    <w:rsid w:val="77A44705"/>
    <w:rsid w:val="77AC3BEB"/>
    <w:rsid w:val="78006736"/>
    <w:rsid w:val="783C038B"/>
    <w:rsid w:val="784053BB"/>
    <w:rsid w:val="785619BD"/>
    <w:rsid w:val="785D20C6"/>
    <w:rsid w:val="78AD1820"/>
    <w:rsid w:val="79020895"/>
    <w:rsid w:val="79133973"/>
    <w:rsid w:val="79151718"/>
    <w:rsid w:val="792E168A"/>
    <w:rsid w:val="79801D50"/>
    <w:rsid w:val="799E680F"/>
    <w:rsid w:val="79DD26B2"/>
    <w:rsid w:val="7A622134"/>
    <w:rsid w:val="7A645F45"/>
    <w:rsid w:val="7AA8546C"/>
    <w:rsid w:val="7AD61E75"/>
    <w:rsid w:val="7AEE6B48"/>
    <w:rsid w:val="7AFD7566"/>
    <w:rsid w:val="7B2366CD"/>
    <w:rsid w:val="7B3F7B7E"/>
    <w:rsid w:val="7B527EE1"/>
    <w:rsid w:val="7B5F203B"/>
    <w:rsid w:val="7BA9718D"/>
    <w:rsid w:val="7BCA19E3"/>
    <w:rsid w:val="7C016BA5"/>
    <w:rsid w:val="7C062AE9"/>
    <w:rsid w:val="7C3D2B81"/>
    <w:rsid w:val="7C462A77"/>
    <w:rsid w:val="7C5F55A2"/>
    <w:rsid w:val="7C827657"/>
    <w:rsid w:val="7CC320E9"/>
    <w:rsid w:val="7CCB2C8D"/>
    <w:rsid w:val="7D050953"/>
    <w:rsid w:val="7D0940D7"/>
    <w:rsid w:val="7D5565EC"/>
    <w:rsid w:val="7D575ECC"/>
    <w:rsid w:val="7D5D1104"/>
    <w:rsid w:val="7D9D5862"/>
    <w:rsid w:val="7DAB5117"/>
    <w:rsid w:val="7DCA03FE"/>
    <w:rsid w:val="7DCB45C1"/>
    <w:rsid w:val="7E2117BD"/>
    <w:rsid w:val="7E314066"/>
    <w:rsid w:val="7E6841B9"/>
    <w:rsid w:val="7E78108D"/>
    <w:rsid w:val="7E7D23C0"/>
    <w:rsid w:val="7E9006F1"/>
    <w:rsid w:val="7EE677C8"/>
    <w:rsid w:val="7F5476B9"/>
    <w:rsid w:val="7FED1B31"/>
    <w:rsid w:val="7FFF6D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iPriority="99" w:name="footnote text"/>
    <w:lsdException w:qFormat="1" w:uiPriority="0"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qFormat="1" w:uiPriority="99"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qFormat="1" w:unhideWhenUsed="0" w:uiPriority="0" w:semiHidden="0" w:name="table of authorities"/>
    <w:lsdException w:uiPriority="99" w:name="macro"/>
    <w:lsdException w:uiPriority="99" w:name="toa heading"/>
    <w:lsdException w:uiPriority="99"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qFormat="1" w:uiPriority="99" w:semiHidden="0" w:name="Body Text First Indent 2"/>
    <w:lsdException w:uiPriority="99" w:name="Note Heading"/>
    <w:lsdException w:uiPriority="99" w:name="Body Text 2"/>
    <w:lsdException w:qFormat="1"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qFormat="1" w:uiPriority="99" w:name="HTML Definition"/>
    <w:lsdException w:qFormat="1" w:uiPriority="99" w:name="HTML Keyboard"/>
    <w:lsdException w:uiPriority="99" w:name="HTML Preformatted"/>
    <w:lsdException w:qFormat="1"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7"/>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4"/>
    <w:link w:val="60"/>
    <w:autoRedefine/>
    <w:qFormat/>
    <w:uiPriority w:val="9"/>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61"/>
    <w:autoRedefine/>
    <w:qFormat/>
    <w:uiPriority w:val="0"/>
    <w:pPr>
      <w:keepNext/>
      <w:keepLines/>
      <w:autoSpaceDE w:val="0"/>
      <w:autoSpaceDN w:val="0"/>
      <w:adjustRightInd w:val="0"/>
      <w:spacing w:before="120" w:after="120" w:line="416" w:lineRule="atLeast"/>
      <w:outlineLvl w:val="2"/>
    </w:pPr>
    <w:rPr>
      <w:rFonts w:ascii="黑体" w:eastAsia="黑体"/>
      <w:kern w:val="0"/>
      <w:sz w:val="28"/>
      <w:szCs w:val="20"/>
    </w:rPr>
  </w:style>
  <w:style w:type="paragraph" w:styleId="6">
    <w:name w:val="heading 4"/>
    <w:basedOn w:val="1"/>
    <w:next w:val="1"/>
    <w:link w:val="62"/>
    <w:autoRedefine/>
    <w:qFormat/>
    <w:uiPriority w:val="0"/>
    <w:pPr>
      <w:keepNext/>
      <w:outlineLvl w:val="3"/>
    </w:pPr>
    <w:rPr>
      <w:sz w:val="28"/>
      <w:szCs w:val="20"/>
    </w:rPr>
  </w:style>
  <w:style w:type="paragraph" w:styleId="7">
    <w:name w:val="heading 5"/>
    <w:basedOn w:val="1"/>
    <w:next w:val="8"/>
    <w:link w:val="63"/>
    <w:autoRedefine/>
    <w:qFormat/>
    <w:uiPriority w:val="0"/>
    <w:pPr>
      <w:keepNext/>
      <w:keepLines/>
      <w:spacing w:before="280" w:after="290" w:line="376" w:lineRule="auto"/>
      <w:outlineLvl w:val="4"/>
    </w:pPr>
    <w:rPr>
      <w:b/>
      <w:bCs/>
      <w:sz w:val="28"/>
      <w:szCs w:val="28"/>
    </w:rPr>
  </w:style>
  <w:style w:type="paragraph" w:styleId="9">
    <w:name w:val="heading 6"/>
    <w:basedOn w:val="1"/>
    <w:next w:val="1"/>
    <w:link w:val="64"/>
    <w:autoRedefine/>
    <w:qFormat/>
    <w:uiPriority w:val="0"/>
    <w:pPr>
      <w:keepNext/>
      <w:keepLines/>
      <w:spacing w:before="240" w:after="64" w:line="320" w:lineRule="auto"/>
      <w:outlineLvl w:val="5"/>
    </w:pPr>
    <w:rPr>
      <w:rFonts w:ascii="Arial" w:hAnsi="Arial" w:eastAsia="黑体"/>
      <w:b/>
      <w:bCs/>
      <w:sz w:val="24"/>
    </w:rPr>
  </w:style>
  <w:style w:type="paragraph" w:styleId="10">
    <w:name w:val="heading 7"/>
    <w:basedOn w:val="1"/>
    <w:next w:val="1"/>
    <w:link w:val="65"/>
    <w:autoRedefine/>
    <w:qFormat/>
    <w:uiPriority w:val="0"/>
    <w:pPr>
      <w:keepNext/>
      <w:keepLines/>
      <w:spacing w:before="240" w:after="64" w:line="320" w:lineRule="auto"/>
      <w:outlineLvl w:val="6"/>
    </w:pPr>
    <w:rPr>
      <w:b/>
      <w:bCs/>
      <w:sz w:val="24"/>
    </w:rPr>
  </w:style>
  <w:style w:type="paragraph" w:styleId="11">
    <w:name w:val="heading 8"/>
    <w:basedOn w:val="1"/>
    <w:next w:val="1"/>
    <w:link w:val="66"/>
    <w:autoRedefine/>
    <w:qFormat/>
    <w:uiPriority w:val="0"/>
    <w:pPr>
      <w:keepNext/>
      <w:keepLines/>
      <w:spacing w:before="240" w:after="64" w:line="320" w:lineRule="auto"/>
      <w:outlineLvl w:val="7"/>
    </w:pPr>
    <w:rPr>
      <w:rFonts w:ascii="Arial" w:hAnsi="Arial" w:eastAsia="黑体"/>
      <w:sz w:val="24"/>
    </w:rPr>
  </w:style>
  <w:style w:type="paragraph" w:styleId="12">
    <w:name w:val="heading 9"/>
    <w:basedOn w:val="1"/>
    <w:next w:val="1"/>
    <w:link w:val="67"/>
    <w:autoRedefine/>
    <w:qFormat/>
    <w:uiPriority w:val="0"/>
    <w:pPr>
      <w:keepNext/>
      <w:keepLines/>
      <w:spacing w:before="240" w:after="64" w:line="320" w:lineRule="auto"/>
      <w:outlineLvl w:val="8"/>
    </w:pPr>
    <w:rPr>
      <w:rFonts w:ascii="Arial" w:hAnsi="Arial" w:eastAsia="黑体"/>
      <w:szCs w:val="21"/>
    </w:rPr>
  </w:style>
  <w:style w:type="character" w:default="1" w:styleId="44">
    <w:name w:val="Default Paragraph Font"/>
    <w:autoRedefine/>
    <w:semiHidden/>
    <w:unhideWhenUsed/>
    <w:qFormat/>
    <w:uiPriority w:val="1"/>
  </w:style>
  <w:style w:type="table" w:default="1" w:styleId="42">
    <w:name w:val="Normal Table"/>
    <w:autoRedefine/>
    <w:semiHidden/>
    <w:unhideWhenUsed/>
    <w:qFormat/>
    <w:uiPriority w:val="99"/>
    <w:tblPr>
      <w:tblCellMar>
        <w:top w:w="0" w:type="dxa"/>
        <w:left w:w="108" w:type="dxa"/>
        <w:bottom w:w="0" w:type="dxa"/>
        <w:right w:w="108" w:type="dxa"/>
      </w:tblCellMar>
    </w:tblPr>
  </w:style>
  <w:style w:type="paragraph" w:customStyle="1" w:styleId="4">
    <w:name w:val="正文缩进体"/>
    <w:autoRedefine/>
    <w:qFormat/>
    <w:uiPriority w:val="0"/>
    <w:pPr>
      <w:widowControl w:val="0"/>
      <w:adjustRightInd w:val="0"/>
      <w:snapToGrid w:val="0"/>
      <w:spacing w:line="240" w:lineRule="auto"/>
      <w:ind w:firstLine="420" w:firstLineChars="200"/>
      <w:jc w:val="both"/>
      <w:textAlignment w:val="bottom"/>
    </w:pPr>
    <w:rPr>
      <w:rFonts w:ascii="Times New Roman" w:hAnsi="宋体" w:eastAsia="宋体" w:cs="Times New Roman"/>
      <w:kern w:val="2"/>
      <w:sz w:val="21"/>
      <w:szCs w:val="21"/>
      <w:lang w:val="en-US" w:eastAsia="zh-CN" w:bidi="ar-SA"/>
    </w:rPr>
  </w:style>
  <w:style w:type="paragraph" w:styleId="8">
    <w:name w:val="Body Text First Indent 2"/>
    <w:autoRedefine/>
    <w:unhideWhenUsed/>
    <w:qFormat/>
    <w:uiPriority w:val="99"/>
    <w:pPr>
      <w:widowControl w:val="0"/>
      <w:spacing w:line="360" w:lineRule="auto"/>
      <w:ind w:firstLine="420" w:firstLineChars="200"/>
      <w:jc w:val="both"/>
    </w:pPr>
    <w:rPr>
      <w:rFonts w:ascii="Times New Roman" w:hAnsi="Times New Roman" w:eastAsia="宋体" w:cs="Times New Roman"/>
      <w:sz w:val="24"/>
      <w:szCs w:val="24"/>
      <w:lang w:val="en-US" w:eastAsia="zh-CN" w:bidi="ar-SA"/>
    </w:rPr>
  </w:style>
  <w:style w:type="paragraph" w:styleId="13">
    <w:name w:val="toc 7"/>
    <w:basedOn w:val="1"/>
    <w:next w:val="1"/>
    <w:autoRedefine/>
    <w:unhideWhenUsed/>
    <w:qFormat/>
    <w:uiPriority w:val="39"/>
    <w:pPr>
      <w:ind w:left="2520" w:leftChars="1200"/>
    </w:pPr>
    <w:rPr>
      <w:rFonts w:ascii="Calibri" w:hAnsi="Calibri"/>
      <w:szCs w:val="22"/>
    </w:rPr>
  </w:style>
  <w:style w:type="paragraph" w:styleId="14">
    <w:name w:val="table of authorities"/>
    <w:basedOn w:val="1"/>
    <w:next w:val="1"/>
    <w:autoRedefine/>
    <w:qFormat/>
    <w:uiPriority w:val="0"/>
    <w:pPr>
      <w:tabs>
        <w:tab w:val="right" w:leader="dot" w:pos="7980"/>
      </w:tabs>
      <w:ind w:left="420" w:leftChars="200"/>
    </w:pPr>
  </w:style>
  <w:style w:type="paragraph" w:styleId="15">
    <w:name w:val="Normal Indent"/>
    <w:basedOn w:val="1"/>
    <w:autoRedefine/>
    <w:qFormat/>
    <w:uiPriority w:val="99"/>
    <w:pPr>
      <w:autoSpaceDE w:val="0"/>
      <w:autoSpaceDN w:val="0"/>
      <w:adjustRightInd w:val="0"/>
      <w:spacing w:line="315" w:lineRule="atLeast"/>
      <w:ind w:firstLine="420"/>
      <w:jc w:val="left"/>
    </w:pPr>
    <w:rPr>
      <w:rFonts w:ascii="楷体_GB2312" w:eastAsia="楷体_GB2312"/>
      <w:kern w:val="0"/>
      <w:sz w:val="28"/>
      <w:szCs w:val="20"/>
    </w:rPr>
  </w:style>
  <w:style w:type="paragraph" w:styleId="16">
    <w:name w:val="Document Map"/>
    <w:basedOn w:val="1"/>
    <w:link w:val="72"/>
    <w:autoRedefine/>
    <w:semiHidden/>
    <w:qFormat/>
    <w:uiPriority w:val="0"/>
    <w:rPr>
      <w:rFonts w:ascii="宋体"/>
      <w:sz w:val="18"/>
      <w:szCs w:val="18"/>
    </w:rPr>
  </w:style>
  <w:style w:type="paragraph" w:styleId="17">
    <w:name w:val="annotation text"/>
    <w:basedOn w:val="1"/>
    <w:link w:val="70"/>
    <w:autoRedefine/>
    <w:unhideWhenUsed/>
    <w:qFormat/>
    <w:uiPriority w:val="0"/>
    <w:pPr>
      <w:jc w:val="left"/>
    </w:pPr>
  </w:style>
  <w:style w:type="paragraph" w:styleId="18">
    <w:name w:val="Body Text 3"/>
    <w:basedOn w:val="1"/>
    <w:link w:val="96"/>
    <w:autoRedefine/>
    <w:semiHidden/>
    <w:unhideWhenUsed/>
    <w:qFormat/>
    <w:uiPriority w:val="99"/>
    <w:pPr>
      <w:spacing w:after="120"/>
    </w:pPr>
    <w:rPr>
      <w:sz w:val="16"/>
      <w:szCs w:val="16"/>
    </w:rPr>
  </w:style>
  <w:style w:type="paragraph" w:styleId="19">
    <w:name w:val="Body Text"/>
    <w:basedOn w:val="1"/>
    <w:link w:val="73"/>
    <w:autoRedefine/>
    <w:qFormat/>
    <w:uiPriority w:val="0"/>
    <w:rPr>
      <w:sz w:val="28"/>
      <w:szCs w:val="20"/>
    </w:rPr>
  </w:style>
  <w:style w:type="paragraph" w:styleId="20">
    <w:name w:val="Body Text Indent"/>
    <w:basedOn w:val="1"/>
    <w:next w:val="21"/>
    <w:link w:val="74"/>
    <w:autoRedefine/>
    <w:qFormat/>
    <w:uiPriority w:val="0"/>
    <w:pPr>
      <w:autoSpaceDE w:val="0"/>
      <w:autoSpaceDN w:val="0"/>
      <w:adjustRightInd w:val="0"/>
      <w:spacing w:after="120" w:line="360" w:lineRule="atLeast"/>
      <w:ind w:left="900"/>
    </w:pPr>
    <w:rPr>
      <w:rFonts w:ascii="楷体_GB2312" w:eastAsia="楷体_GB2312"/>
      <w:kern w:val="0"/>
      <w:sz w:val="28"/>
      <w:szCs w:val="20"/>
    </w:rPr>
  </w:style>
  <w:style w:type="paragraph" w:styleId="21">
    <w:name w:val="envelope return"/>
    <w:autoRedefine/>
    <w:unhideWhenUsed/>
    <w:qFormat/>
    <w:uiPriority w:val="99"/>
    <w:pPr>
      <w:widowControl w:val="0"/>
      <w:snapToGrid w:val="0"/>
      <w:spacing w:line="360" w:lineRule="auto"/>
      <w:ind w:firstLine="200" w:firstLineChars="200"/>
      <w:jc w:val="both"/>
    </w:pPr>
    <w:rPr>
      <w:rFonts w:ascii="Arial" w:hAnsi="Arial" w:eastAsia="宋体" w:cs="Arial"/>
      <w:kern w:val="0"/>
      <w:sz w:val="24"/>
      <w:szCs w:val="24"/>
      <w:lang w:val="en-US" w:eastAsia="zh-CN" w:bidi="ar-SA"/>
    </w:rPr>
  </w:style>
  <w:style w:type="paragraph" w:styleId="22">
    <w:name w:val="List 2"/>
    <w:basedOn w:val="1"/>
    <w:autoRedefine/>
    <w:qFormat/>
    <w:uiPriority w:val="0"/>
    <w:pPr>
      <w:ind w:left="100" w:leftChars="200" w:hanging="200" w:hangingChars="200"/>
    </w:pPr>
  </w:style>
  <w:style w:type="paragraph" w:styleId="23">
    <w:name w:val="toc 5"/>
    <w:basedOn w:val="1"/>
    <w:next w:val="1"/>
    <w:autoRedefine/>
    <w:unhideWhenUsed/>
    <w:qFormat/>
    <w:uiPriority w:val="39"/>
    <w:pPr>
      <w:ind w:left="1680" w:leftChars="800"/>
    </w:pPr>
    <w:rPr>
      <w:rFonts w:ascii="Calibri" w:hAnsi="Calibri"/>
      <w:szCs w:val="22"/>
    </w:rPr>
  </w:style>
  <w:style w:type="paragraph" w:styleId="24">
    <w:name w:val="toc 3"/>
    <w:basedOn w:val="1"/>
    <w:next w:val="1"/>
    <w:autoRedefine/>
    <w:unhideWhenUsed/>
    <w:qFormat/>
    <w:uiPriority w:val="39"/>
    <w:pPr>
      <w:widowControl/>
      <w:snapToGrid w:val="0"/>
      <w:spacing w:line="440" w:lineRule="exact"/>
      <w:ind w:left="442"/>
      <w:jc w:val="left"/>
    </w:pPr>
    <w:rPr>
      <w:rFonts w:asciiTheme="minorHAnsi" w:hAnsiTheme="minorHAnsi" w:cstheme="minorBidi"/>
      <w:kern w:val="0"/>
      <w:szCs w:val="22"/>
    </w:rPr>
  </w:style>
  <w:style w:type="paragraph" w:styleId="25">
    <w:name w:val="Plain Text"/>
    <w:basedOn w:val="1"/>
    <w:link w:val="75"/>
    <w:autoRedefine/>
    <w:qFormat/>
    <w:uiPriority w:val="0"/>
    <w:rPr>
      <w:rFonts w:ascii="宋体" w:hAnsi="Courier New"/>
      <w:szCs w:val="20"/>
    </w:rPr>
  </w:style>
  <w:style w:type="paragraph" w:styleId="26">
    <w:name w:val="toc 8"/>
    <w:basedOn w:val="1"/>
    <w:next w:val="1"/>
    <w:autoRedefine/>
    <w:unhideWhenUsed/>
    <w:qFormat/>
    <w:uiPriority w:val="39"/>
    <w:pPr>
      <w:ind w:left="2940" w:leftChars="1400"/>
    </w:pPr>
    <w:rPr>
      <w:rFonts w:ascii="Calibri" w:hAnsi="Calibri"/>
      <w:szCs w:val="22"/>
    </w:rPr>
  </w:style>
  <w:style w:type="paragraph" w:styleId="27">
    <w:name w:val="Date"/>
    <w:basedOn w:val="1"/>
    <w:next w:val="1"/>
    <w:link w:val="76"/>
    <w:autoRedefine/>
    <w:qFormat/>
    <w:uiPriority w:val="0"/>
    <w:pPr>
      <w:ind w:left="100" w:leftChars="2500"/>
    </w:pPr>
    <w:rPr>
      <w:szCs w:val="20"/>
    </w:rPr>
  </w:style>
  <w:style w:type="paragraph" w:styleId="28">
    <w:name w:val="Body Text Indent 2"/>
    <w:basedOn w:val="1"/>
    <w:link w:val="77"/>
    <w:autoRedefine/>
    <w:qFormat/>
    <w:uiPriority w:val="0"/>
    <w:pPr>
      <w:spacing w:line="480" w:lineRule="auto"/>
      <w:ind w:firstLine="480" w:firstLineChars="200"/>
    </w:pPr>
    <w:rPr>
      <w:rFonts w:ascii="仿宋_GB2312" w:hAnsi="宋体" w:eastAsia="仿宋_GB2312"/>
      <w:sz w:val="24"/>
    </w:rPr>
  </w:style>
  <w:style w:type="paragraph" w:styleId="29">
    <w:name w:val="Balloon Text"/>
    <w:basedOn w:val="1"/>
    <w:link w:val="58"/>
    <w:autoRedefine/>
    <w:semiHidden/>
    <w:unhideWhenUsed/>
    <w:qFormat/>
    <w:uiPriority w:val="0"/>
    <w:rPr>
      <w:sz w:val="18"/>
      <w:szCs w:val="18"/>
    </w:rPr>
  </w:style>
  <w:style w:type="paragraph" w:styleId="30">
    <w:name w:val="footer"/>
    <w:basedOn w:val="1"/>
    <w:link w:val="69"/>
    <w:autoRedefine/>
    <w:unhideWhenUsed/>
    <w:qFormat/>
    <w:uiPriority w:val="0"/>
    <w:pPr>
      <w:tabs>
        <w:tab w:val="center" w:pos="4153"/>
        <w:tab w:val="right" w:pos="8306"/>
      </w:tabs>
      <w:snapToGrid w:val="0"/>
      <w:jc w:val="left"/>
    </w:pPr>
    <w:rPr>
      <w:sz w:val="18"/>
      <w:szCs w:val="18"/>
    </w:rPr>
  </w:style>
  <w:style w:type="paragraph" w:styleId="31">
    <w:name w:val="header"/>
    <w:basedOn w:val="1"/>
    <w:link w:val="6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32">
    <w:name w:val="toc 1"/>
    <w:basedOn w:val="1"/>
    <w:next w:val="1"/>
    <w:autoRedefine/>
    <w:qFormat/>
    <w:uiPriority w:val="39"/>
    <w:pPr>
      <w:tabs>
        <w:tab w:val="left" w:pos="567"/>
        <w:tab w:val="left" w:pos="709"/>
        <w:tab w:val="right" w:leader="dot" w:pos="8505"/>
      </w:tabs>
      <w:snapToGrid w:val="0"/>
      <w:spacing w:line="440" w:lineRule="exact"/>
      <w:jc w:val="left"/>
    </w:pPr>
    <w:rPr>
      <w:rFonts w:ascii="宋体" w:hAnsi="宋体"/>
    </w:rPr>
  </w:style>
  <w:style w:type="paragraph" w:styleId="33">
    <w:name w:val="toc 4"/>
    <w:basedOn w:val="1"/>
    <w:next w:val="1"/>
    <w:autoRedefine/>
    <w:unhideWhenUsed/>
    <w:qFormat/>
    <w:uiPriority w:val="39"/>
    <w:pPr>
      <w:ind w:left="1260" w:leftChars="600"/>
    </w:pPr>
    <w:rPr>
      <w:rFonts w:ascii="Calibri" w:hAnsi="Calibri"/>
      <w:szCs w:val="22"/>
    </w:rPr>
  </w:style>
  <w:style w:type="paragraph" w:styleId="34">
    <w:name w:val="Subtitle"/>
    <w:basedOn w:val="1"/>
    <w:next w:val="1"/>
    <w:link w:val="78"/>
    <w:autoRedefine/>
    <w:qFormat/>
    <w:uiPriority w:val="0"/>
    <w:pPr>
      <w:spacing w:before="240" w:after="60" w:line="312" w:lineRule="auto"/>
      <w:jc w:val="center"/>
      <w:outlineLvl w:val="1"/>
    </w:pPr>
    <w:rPr>
      <w:rFonts w:ascii="Cambria" w:hAnsi="Cambria" w:cs="黑体"/>
      <w:b/>
      <w:bCs/>
      <w:kern w:val="28"/>
      <w:sz w:val="32"/>
      <w:szCs w:val="32"/>
    </w:rPr>
  </w:style>
  <w:style w:type="paragraph" w:styleId="35">
    <w:name w:val="toc 6"/>
    <w:basedOn w:val="1"/>
    <w:next w:val="1"/>
    <w:autoRedefine/>
    <w:unhideWhenUsed/>
    <w:qFormat/>
    <w:uiPriority w:val="39"/>
    <w:pPr>
      <w:ind w:left="2100" w:leftChars="1000"/>
    </w:pPr>
    <w:rPr>
      <w:rFonts w:ascii="Calibri" w:hAnsi="Calibri"/>
      <w:szCs w:val="22"/>
    </w:rPr>
  </w:style>
  <w:style w:type="paragraph" w:styleId="36">
    <w:name w:val="Body Text Indent 3"/>
    <w:basedOn w:val="1"/>
    <w:link w:val="79"/>
    <w:autoRedefine/>
    <w:qFormat/>
    <w:uiPriority w:val="0"/>
    <w:pPr>
      <w:spacing w:after="120" w:line="360" w:lineRule="atLeast"/>
      <w:ind w:firstLine="720" w:firstLineChars="300"/>
    </w:pPr>
    <w:rPr>
      <w:sz w:val="24"/>
      <w:szCs w:val="20"/>
    </w:rPr>
  </w:style>
  <w:style w:type="paragraph" w:styleId="37">
    <w:name w:val="toc 2"/>
    <w:basedOn w:val="1"/>
    <w:next w:val="1"/>
    <w:autoRedefine/>
    <w:qFormat/>
    <w:uiPriority w:val="39"/>
    <w:pPr>
      <w:tabs>
        <w:tab w:val="left" w:pos="567"/>
        <w:tab w:val="right" w:leader="dot" w:pos="8505"/>
        <w:tab w:val="right" w:leader="dot" w:pos="9628"/>
      </w:tabs>
      <w:spacing w:line="440" w:lineRule="exact"/>
    </w:pPr>
  </w:style>
  <w:style w:type="paragraph" w:styleId="38">
    <w:name w:val="toc 9"/>
    <w:basedOn w:val="1"/>
    <w:next w:val="1"/>
    <w:autoRedefine/>
    <w:unhideWhenUsed/>
    <w:qFormat/>
    <w:uiPriority w:val="39"/>
    <w:pPr>
      <w:ind w:left="3360" w:leftChars="1600"/>
    </w:pPr>
    <w:rPr>
      <w:rFonts w:ascii="Calibri" w:hAnsi="Calibri"/>
      <w:szCs w:val="22"/>
    </w:rPr>
  </w:style>
  <w:style w:type="paragraph" w:styleId="39">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paragraph" w:styleId="40">
    <w:name w:val="Title"/>
    <w:basedOn w:val="1"/>
    <w:next w:val="1"/>
    <w:link w:val="80"/>
    <w:autoRedefine/>
    <w:qFormat/>
    <w:uiPriority w:val="10"/>
    <w:pPr>
      <w:spacing w:before="240" w:after="60"/>
      <w:jc w:val="center"/>
      <w:outlineLvl w:val="0"/>
    </w:pPr>
    <w:rPr>
      <w:rFonts w:ascii="Cambria" w:hAnsi="Cambria"/>
      <w:b/>
      <w:bCs/>
      <w:sz w:val="32"/>
      <w:szCs w:val="32"/>
    </w:rPr>
  </w:style>
  <w:style w:type="paragraph" w:styleId="41">
    <w:name w:val="annotation subject"/>
    <w:basedOn w:val="17"/>
    <w:next w:val="17"/>
    <w:link w:val="71"/>
    <w:autoRedefine/>
    <w:semiHidden/>
    <w:qFormat/>
    <w:uiPriority w:val="0"/>
    <w:rPr>
      <w:b/>
      <w:bCs/>
      <w:szCs w:val="20"/>
    </w:rPr>
  </w:style>
  <w:style w:type="table" w:styleId="43">
    <w:name w:val="Table Grid"/>
    <w:basedOn w:val="42"/>
    <w:autoRedefine/>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basedOn w:val="44"/>
    <w:autoRedefine/>
    <w:qFormat/>
    <w:uiPriority w:val="22"/>
    <w:rPr>
      <w:b/>
      <w:bCs/>
    </w:rPr>
  </w:style>
  <w:style w:type="character" w:styleId="46">
    <w:name w:val="page number"/>
    <w:basedOn w:val="44"/>
    <w:autoRedefine/>
    <w:qFormat/>
    <w:uiPriority w:val="0"/>
  </w:style>
  <w:style w:type="character" w:styleId="47">
    <w:name w:val="FollowedHyperlink"/>
    <w:autoRedefine/>
    <w:qFormat/>
    <w:uiPriority w:val="0"/>
    <w:rPr>
      <w:color w:val="800080"/>
      <w:u w:val="single"/>
    </w:rPr>
  </w:style>
  <w:style w:type="character" w:styleId="48">
    <w:name w:val="Emphasis"/>
    <w:basedOn w:val="44"/>
    <w:autoRedefine/>
    <w:qFormat/>
    <w:uiPriority w:val="20"/>
  </w:style>
  <w:style w:type="character" w:styleId="49">
    <w:name w:val="HTML Definition"/>
    <w:basedOn w:val="44"/>
    <w:autoRedefine/>
    <w:semiHidden/>
    <w:unhideWhenUsed/>
    <w:qFormat/>
    <w:uiPriority w:val="99"/>
    <w:rPr>
      <w:i/>
      <w:iCs/>
    </w:rPr>
  </w:style>
  <w:style w:type="character" w:styleId="50">
    <w:name w:val="Hyperlink"/>
    <w:autoRedefine/>
    <w:qFormat/>
    <w:uiPriority w:val="99"/>
    <w:rPr>
      <w:color w:val="0000FF"/>
      <w:u w:val="single"/>
    </w:rPr>
  </w:style>
  <w:style w:type="character" w:styleId="51">
    <w:name w:val="HTML Code"/>
    <w:basedOn w:val="44"/>
    <w:autoRedefine/>
    <w:semiHidden/>
    <w:unhideWhenUsed/>
    <w:qFormat/>
    <w:uiPriority w:val="99"/>
    <w:rPr>
      <w:rFonts w:hint="default" w:ascii="Consolas" w:hAnsi="Consolas" w:eastAsia="Consolas" w:cs="Consolas"/>
      <w:color w:val="C7254E"/>
      <w:sz w:val="21"/>
      <w:szCs w:val="21"/>
      <w:shd w:val="clear" w:fill="F9F2F4"/>
    </w:rPr>
  </w:style>
  <w:style w:type="character" w:styleId="52">
    <w:name w:val="annotation reference"/>
    <w:basedOn w:val="44"/>
    <w:autoRedefine/>
    <w:qFormat/>
    <w:uiPriority w:val="0"/>
    <w:rPr>
      <w:sz w:val="21"/>
      <w:szCs w:val="21"/>
    </w:rPr>
  </w:style>
  <w:style w:type="character" w:styleId="53">
    <w:name w:val="HTML Keyboard"/>
    <w:basedOn w:val="44"/>
    <w:autoRedefine/>
    <w:semiHidden/>
    <w:unhideWhenUsed/>
    <w:qFormat/>
    <w:uiPriority w:val="99"/>
    <w:rPr>
      <w:rFonts w:hint="default" w:ascii="Consolas" w:hAnsi="Consolas" w:eastAsia="Consolas" w:cs="Consolas"/>
      <w:color w:val="FFFFFF"/>
      <w:sz w:val="21"/>
      <w:szCs w:val="21"/>
      <w:shd w:val="clear" w:fill="333333"/>
    </w:rPr>
  </w:style>
  <w:style w:type="character" w:styleId="54">
    <w:name w:val="HTML Sample"/>
    <w:basedOn w:val="44"/>
    <w:autoRedefine/>
    <w:semiHidden/>
    <w:unhideWhenUsed/>
    <w:qFormat/>
    <w:uiPriority w:val="99"/>
    <w:rPr>
      <w:rFonts w:ascii="Consolas" w:hAnsi="Consolas" w:eastAsia="Consolas" w:cs="Consolas"/>
      <w:sz w:val="21"/>
      <w:szCs w:val="21"/>
    </w:rPr>
  </w:style>
  <w:style w:type="paragraph" w:customStyle="1" w:styleId="55">
    <w:name w:val="bt1bt1"/>
    <w:basedOn w:val="2"/>
    <w:autoRedefine/>
    <w:qFormat/>
    <w:uiPriority w:val="0"/>
    <w:pPr>
      <w:spacing w:line="240" w:lineRule="auto"/>
      <w:jc w:val="center"/>
    </w:pPr>
    <w:rPr>
      <w:rFonts w:ascii="黑体" w:eastAsia="黑体"/>
      <w:b w:val="0"/>
      <w:sz w:val="36"/>
      <w:szCs w:val="36"/>
    </w:rPr>
  </w:style>
  <w:style w:type="paragraph" w:styleId="56">
    <w:name w:val="List Paragraph"/>
    <w:basedOn w:val="1"/>
    <w:autoRedefine/>
    <w:unhideWhenUsed/>
    <w:qFormat/>
    <w:uiPriority w:val="34"/>
    <w:pPr>
      <w:ind w:firstLine="420" w:firstLineChars="200"/>
    </w:pPr>
  </w:style>
  <w:style w:type="character" w:customStyle="1" w:styleId="57">
    <w:name w:val="标题 1 字符"/>
    <w:basedOn w:val="44"/>
    <w:link w:val="2"/>
    <w:autoRedefine/>
    <w:qFormat/>
    <w:uiPriority w:val="0"/>
    <w:rPr>
      <w:rFonts w:ascii="Times New Roman" w:hAnsi="Times New Roman" w:eastAsia="宋体" w:cs="Times New Roman"/>
      <w:b/>
      <w:bCs/>
      <w:kern w:val="44"/>
      <w:sz w:val="44"/>
      <w:szCs w:val="44"/>
    </w:rPr>
  </w:style>
  <w:style w:type="character" w:customStyle="1" w:styleId="58">
    <w:name w:val="批注框文本 字符"/>
    <w:basedOn w:val="44"/>
    <w:link w:val="29"/>
    <w:autoRedefine/>
    <w:semiHidden/>
    <w:qFormat/>
    <w:uiPriority w:val="0"/>
    <w:rPr>
      <w:rFonts w:ascii="Times New Roman" w:hAnsi="Times New Roman" w:eastAsia="宋体" w:cs="Times New Roman"/>
      <w:sz w:val="18"/>
      <w:szCs w:val="18"/>
    </w:rPr>
  </w:style>
  <w:style w:type="paragraph" w:customStyle="1" w:styleId="59">
    <w:name w:val="TOC 标题1"/>
    <w:basedOn w:val="2"/>
    <w:next w:val="1"/>
    <w:autoRedefine/>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60">
    <w:name w:val="标题 2 字符"/>
    <w:basedOn w:val="44"/>
    <w:link w:val="3"/>
    <w:autoRedefine/>
    <w:qFormat/>
    <w:uiPriority w:val="9"/>
    <w:rPr>
      <w:rFonts w:ascii="Arial" w:hAnsi="Arial" w:eastAsia="黑体" w:cs="Times New Roman"/>
      <w:b/>
      <w:bCs/>
      <w:sz w:val="32"/>
      <w:szCs w:val="32"/>
    </w:rPr>
  </w:style>
  <w:style w:type="character" w:customStyle="1" w:styleId="61">
    <w:name w:val="标题 3 字符"/>
    <w:basedOn w:val="44"/>
    <w:link w:val="5"/>
    <w:autoRedefine/>
    <w:qFormat/>
    <w:uiPriority w:val="0"/>
    <w:rPr>
      <w:rFonts w:ascii="黑体" w:hAnsi="Times New Roman" w:eastAsia="黑体" w:cs="Times New Roman"/>
      <w:kern w:val="0"/>
      <w:sz w:val="28"/>
      <w:szCs w:val="20"/>
    </w:rPr>
  </w:style>
  <w:style w:type="character" w:customStyle="1" w:styleId="62">
    <w:name w:val="标题 4 字符"/>
    <w:basedOn w:val="44"/>
    <w:link w:val="6"/>
    <w:autoRedefine/>
    <w:qFormat/>
    <w:uiPriority w:val="0"/>
    <w:rPr>
      <w:rFonts w:ascii="Times New Roman" w:hAnsi="Times New Roman" w:eastAsia="宋体" w:cs="Times New Roman"/>
      <w:sz w:val="28"/>
      <w:szCs w:val="20"/>
    </w:rPr>
  </w:style>
  <w:style w:type="character" w:customStyle="1" w:styleId="63">
    <w:name w:val="标题 5 字符"/>
    <w:basedOn w:val="44"/>
    <w:link w:val="7"/>
    <w:autoRedefine/>
    <w:qFormat/>
    <w:uiPriority w:val="0"/>
    <w:rPr>
      <w:rFonts w:ascii="Times New Roman" w:hAnsi="Times New Roman" w:eastAsia="宋体" w:cs="Times New Roman"/>
      <w:b/>
      <w:bCs/>
      <w:sz w:val="28"/>
      <w:szCs w:val="28"/>
    </w:rPr>
  </w:style>
  <w:style w:type="character" w:customStyle="1" w:styleId="64">
    <w:name w:val="标题 6 字符"/>
    <w:basedOn w:val="44"/>
    <w:link w:val="9"/>
    <w:autoRedefine/>
    <w:qFormat/>
    <w:uiPriority w:val="0"/>
    <w:rPr>
      <w:rFonts w:ascii="Arial" w:hAnsi="Arial" w:eastAsia="黑体" w:cs="Times New Roman"/>
      <w:b/>
      <w:bCs/>
      <w:sz w:val="24"/>
      <w:szCs w:val="24"/>
    </w:rPr>
  </w:style>
  <w:style w:type="character" w:customStyle="1" w:styleId="65">
    <w:name w:val="标题 7 字符"/>
    <w:basedOn w:val="44"/>
    <w:link w:val="10"/>
    <w:autoRedefine/>
    <w:qFormat/>
    <w:uiPriority w:val="0"/>
    <w:rPr>
      <w:rFonts w:ascii="Times New Roman" w:hAnsi="Times New Roman" w:eastAsia="宋体" w:cs="Times New Roman"/>
      <w:b/>
      <w:bCs/>
      <w:sz w:val="24"/>
      <w:szCs w:val="24"/>
    </w:rPr>
  </w:style>
  <w:style w:type="character" w:customStyle="1" w:styleId="66">
    <w:name w:val="标题 8 字符"/>
    <w:basedOn w:val="44"/>
    <w:link w:val="11"/>
    <w:autoRedefine/>
    <w:qFormat/>
    <w:uiPriority w:val="0"/>
    <w:rPr>
      <w:rFonts w:ascii="Arial" w:hAnsi="Arial" w:eastAsia="黑体" w:cs="Times New Roman"/>
      <w:sz w:val="24"/>
      <w:szCs w:val="24"/>
    </w:rPr>
  </w:style>
  <w:style w:type="character" w:customStyle="1" w:styleId="67">
    <w:name w:val="标题 9 字符"/>
    <w:basedOn w:val="44"/>
    <w:link w:val="12"/>
    <w:autoRedefine/>
    <w:qFormat/>
    <w:uiPriority w:val="0"/>
    <w:rPr>
      <w:rFonts w:ascii="Arial" w:hAnsi="Arial" w:eastAsia="黑体" w:cs="Times New Roman"/>
      <w:szCs w:val="21"/>
    </w:rPr>
  </w:style>
  <w:style w:type="character" w:customStyle="1" w:styleId="68">
    <w:name w:val="页眉 字符"/>
    <w:basedOn w:val="44"/>
    <w:link w:val="31"/>
    <w:autoRedefine/>
    <w:qFormat/>
    <w:uiPriority w:val="99"/>
    <w:rPr>
      <w:rFonts w:ascii="Times New Roman" w:hAnsi="Times New Roman" w:eastAsia="宋体" w:cs="Times New Roman"/>
      <w:sz w:val="18"/>
      <w:szCs w:val="18"/>
    </w:rPr>
  </w:style>
  <w:style w:type="character" w:customStyle="1" w:styleId="69">
    <w:name w:val="页脚 字符"/>
    <w:basedOn w:val="44"/>
    <w:link w:val="30"/>
    <w:autoRedefine/>
    <w:qFormat/>
    <w:uiPriority w:val="99"/>
    <w:rPr>
      <w:rFonts w:ascii="Times New Roman" w:hAnsi="Times New Roman" w:eastAsia="宋体" w:cs="Times New Roman"/>
      <w:sz w:val="18"/>
      <w:szCs w:val="18"/>
    </w:rPr>
  </w:style>
  <w:style w:type="character" w:customStyle="1" w:styleId="70">
    <w:name w:val="批注文字 字符"/>
    <w:basedOn w:val="44"/>
    <w:link w:val="17"/>
    <w:autoRedefine/>
    <w:qFormat/>
    <w:uiPriority w:val="0"/>
    <w:rPr>
      <w:rFonts w:ascii="Times New Roman" w:hAnsi="Times New Roman" w:eastAsia="宋体" w:cs="Times New Roman"/>
      <w:szCs w:val="24"/>
    </w:rPr>
  </w:style>
  <w:style w:type="character" w:customStyle="1" w:styleId="71">
    <w:name w:val="批注主题 字符"/>
    <w:basedOn w:val="70"/>
    <w:link w:val="41"/>
    <w:autoRedefine/>
    <w:semiHidden/>
    <w:qFormat/>
    <w:uiPriority w:val="0"/>
    <w:rPr>
      <w:rFonts w:ascii="Times New Roman" w:hAnsi="Times New Roman" w:eastAsia="宋体" w:cs="Times New Roman"/>
      <w:b/>
      <w:bCs/>
      <w:szCs w:val="20"/>
    </w:rPr>
  </w:style>
  <w:style w:type="character" w:customStyle="1" w:styleId="72">
    <w:name w:val="文档结构图 字符"/>
    <w:basedOn w:val="44"/>
    <w:link w:val="16"/>
    <w:autoRedefine/>
    <w:semiHidden/>
    <w:qFormat/>
    <w:uiPriority w:val="0"/>
    <w:rPr>
      <w:rFonts w:ascii="宋体" w:hAnsi="Times New Roman" w:eastAsia="宋体" w:cs="Times New Roman"/>
      <w:sz w:val="18"/>
      <w:szCs w:val="18"/>
    </w:rPr>
  </w:style>
  <w:style w:type="character" w:customStyle="1" w:styleId="73">
    <w:name w:val="正文文本 字符"/>
    <w:basedOn w:val="44"/>
    <w:link w:val="19"/>
    <w:autoRedefine/>
    <w:qFormat/>
    <w:uiPriority w:val="0"/>
    <w:rPr>
      <w:rFonts w:ascii="Times New Roman" w:hAnsi="Times New Roman" w:eastAsia="宋体" w:cs="Times New Roman"/>
      <w:sz w:val="28"/>
      <w:szCs w:val="20"/>
    </w:rPr>
  </w:style>
  <w:style w:type="character" w:customStyle="1" w:styleId="74">
    <w:name w:val="正文文本缩进 字符"/>
    <w:basedOn w:val="44"/>
    <w:link w:val="20"/>
    <w:autoRedefine/>
    <w:qFormat/>
    <w:uiPriority w:val="0"/>
    <w:rPr>
      <w:rFonts w:ascii="楷体_GB2312" w:hAnsi="Times New Roman" w:eastAsia="楷体_GB2312" w:cs="Times New Roman"/>
      <w:kern w:val="0"/>
      <w:sz w:val="28"/>
      <w:szCs w:val="20"/>
    </w:rPr>
  </w:style>
  <w:style w:type="character" w:customStyle="1" w:styleId="75">
    <w:name w:val="纯文本 字符"/>
    <w:basedOn w:val="44"/>
    <w:link w:val="25"/>
    <w:autoRedefine/>
    <w:qFormat/>
    <w:uiPriority w:val="0"/>
    <w:rPr>
      <w:rFonts w:ascii="宋体" w:hAnsi="Courier New" w:eastAsia="宋体" w:cs="Times New Roman"/>
      <w:szCs w:val="20"/>
    </w:rPr>
  </w:style>
  <w:style w:type="character" w:customStyle="1" w:styleId="76">
    <w:name w:val="日期 字符"/>
    <w:basedOn w:val="44"/>
    <w:link w:val="27"/>
    <w:autoRedefine/>
    <w:qFormat/>
    <w:uiPriority w:val="0"/>
    <w:rPr>
      <w:rFonts w:ascii="Times New Roman" w:hAnsi="Times New Roman" w:eastAsia="宋体" w:cs="Times New Roman"/>
      <w:szCs w:val="20"/>
    </w:rPr>
  </w:style>
  <w:style w:type="character" w:customStyle="1" w:styleId="77">
    <w:name w:val="正文文本缩进 2 字符"/>
    <w:basedOn w:val="44"/>
    <w:link w:val="28"/>
    <w:autoRedefine/>
    <w:qFormat/>
    <w:uiPriority w:val="0"/>
    <w:rPr>
      <w:rFonts w:ascii="仿宋_GB2312" w:hAnsi="宋体" w:eastAsia="仿宋_GB2312" w:cs="Times New Roman"/>
      <w:sz w:val="24"/>
      <w:szCs w:val="24"/>
    </w:rPr>
  </w:style>
  <w:style w:type="character" w:customStyle="1" w:styleId="78">
    <w:name w:val="副标题 字符"/>
    <w:basedOn w:val="44"/>
    <w:link w:val="34"/>
    <w:autoRedefine/>
    <w:qFormat/>
    <w:uiPriority w:val="0"/>
    <w:rPr>
      <w:rFonts w:ascii="Cambria" w:hAnsi="Cambria" w:eastAsia="宋体" w:cs="黑体"/>
      <w:b/>
      <w:bCs/>
      <w:kern w:val="28"/>
      <w:sz w:val="32"/>
      <w:szCs w:val="32"/>
    </w:rPr>
  </w:style>
  <w:style w:type="character" w:customStyle="1" w:styleId="79">
    <w:name w:val="正文文本缩进 3 字符"/>
    <w:basedOn w:val="44"/>
    <w:link w:val="36"/>
    <w:autoRedefine/>
    <w:qFormat/>
    <w:uiPriority w:val="0"/>
    <w:rPr>
      <w:rFonts w:ascii="Times New Roman" w:hAnsi="Times New Roman" w:eastAsia="宋体" w:cs="Times New Roman"/>
      <w:sz w:val="24"/>
      <w:szCs w:val="20"/>
    </w:rPr>
  </w:style>
  <w:style w:type="character" w:customStyle="1" w:styleId="80">
    <w:name w:val="标题 字符"/>
    <w:basedOn w:val="44"/>
    <w:link w:val="40"/>
    <w:autoRedefine/>
    <w:qFormat/>
    <w:uiPriority w:val="10"/>
    <w:rPr>
      <w:rFonts w:ascii="Cambria" w:hAnsi="Cambria" w:eastAsia="宋体" w:cs="Times New Roman"/>
      <w:b/>
      <w:bCs/>
      <w:sz w:val="32"/>
      <w:szCs w:val="32"/>
    </w:rPr>
  </w:style>
  <w:style w:type="paragraph" w:customStyle="1" w:styleId="81">
    <w:name w:val="TOC 标题11"/>
    <w:basedOn w:val="2"/>
    <w:next w:val="1"/>
    <w:autoRedefine/>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82">
    <w:name w:val="_Style 36"/>
    <w:basedOn w:val="1"/>
    <w:autoRedefine/>
    <w:qFormat/>
    <w:uiPriority w:val="34"/>
    <w:pPr>
      <w:ind w:firstLine="420" w:firstLineChars="200"/>
    </w:pPr>
    <w:rPr>
      <w:szCs w:val="20"/>
    </w:rPr>
  </w:style>
  <w:style w:type="paragraph" w:customStyle="1" w:styleId="83">
    <w:name w:val="Char Char Char Char Char Char Char Char Char Char Char Char Char"/>
    <w:basedOn w:val="16"/>
    <w:autoRedefine/>
    <w:qFormat/>
    <w:uiPriority w:val="0"/>
    <w:pPr>
      <w:shd w:val="clear" w:color="auto" w:fill="000080"/>
    </w:pPr>
    <w:rPr>
      <w:rFonts w:ascii="Tahoma" w:hAnsi="Tahoma"/>
      <w:sz w:val="24"/>
      <w:szCs w:val="24"/>
    </w:rPr>
  </w:style>
  <w:style w:type="paragraph" w:customStyle="1" w:styleId="84">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5">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86">
    <w:name w:val="新定义正文"/>
    <w:basedOn w:val="1"/>
    <w:autoRedefine/>
    <w:qFormat/>
    <w:uiPriority w:val="0"/>
    <w:pPr>
      <w:widowControl/>
    </w:pPr>
    <w:rPr>
      <w:color w:val="000000"/>
      <w:szCs w:val="21"/>
    </w:rPr>
  </w:style>
  <w:style w:type="paragraph" w:customStyle="1" w:styleId="87">
    <w:name w:val="节"/>
    <w:basedOn w:val="3"/>
    <w:autoRedefine/>
    <w:qFormat/>
    <w:uiPriority w:val="0"/>
    <w:pPr>
      <w:numPr>
        <w:ilvl w:val="1"/>
        <w:numId w:val="1"/>
      </w:numPr>
      <w:tabs>
        <w:tab w:val="left" w:pos="432"/>
      </w:tabs>
      <w:spacing w:line="240" w:lineRule="auto"/>
    </w:pPr>
    <w:rPr>
      <w:rFonts w:ascii="黑体"/>
      <w:b w:val="0"/>
      <w:sz w:val="28"/>
      <w:szCs w:val="28"/>
    </w:rPr>
  </w:style>
  <w:style w:type="paragraph" w:customStyle="1" w:styleId="88">
    <w:name w:val="TOC 标题2"/>
    <w:basedOn w:val="2"/>
    <w:next w:val="1"/>
    <w:autoRedefine/>
    <w:unhideWhenUsed/>
    <w:qFormat/>
    <w:uiPriority w:val="39"/>
    <w:pPr>
      <w:widowControl/>
      <w:spacing w:before="480" w:after="0" w:line="276" w:lineRule="auto"/>
      <w:jc w:val="left"/>
      <w:outlineLvl w:val="9"/>
    </w:pPr>
    <w:rPr>
      <w:rFonts w:ascii="Cambria" w:hAnsi="Cambria" w:cs="黑体"/>
      <w:color w:val="365F90"/>
      <w:kern w:val="0"/>
      <w:sz w:val="28"/>
      <w:szCs w:val="28"/>
    </w:rPr>
  </w:style>
  <w:style w:type="paragraph" w:customStyle="1" w:styleId="89">
    <w:name w:val="列出段落1"/>
    <w:basedOn w:val="1"/>
    <w:autoRedefine/>
    <w:qFormat/>
    <w:uiPriority w:val="0"/>
    <w:pPr>
      <w:ind w:firstLine="420" w:firstLineChars="200"/>
    </w:pPr>
    <w:rPr>
      <w:szCs w:val="20"/>
    </w:rPr>
  </w:style>
  <w:style w:type="paragraph" w:customStyle="1" w:styleId="90">
    <w:name w:val="修订1"/>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91">
    <w:name w:val="Char Char1"/>
    <w:autoRedefine/>
    <w:qFormat/>
    <w:uiPriority w:val="0"/>
    <w:rPr>
      <w:rFonts w:ascii="楷体_GB2312" w:eastAsia="楷体_GB2312"/>
      <w:sz w:val="28"/>
    </w:rPr>
  </w:style>
  <w:style w:type="character" w:customStyle="1" w:styleId="92">
    <w:name w:val="Char Char"/>
    <w:autoRedefine/>
    <w:qFormat/>
    <w:uiPriority w:val="0"/>
    <w:rPr>
      <w:rFonts w:ascii="宋体"/>
      <w:kern w:val="2"/>
      <w:sz w:val="18"/>
      <w:szCs w:val="18"/>
    </w:rPr>
  </w:style>
  <w:style w:type="paragraph" w:customStyle="1" w:styleId="93">
    <w:name w:val="修订2"/>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94">
    <w:name w:val="样式 标题 3 + (中文) 黑体 小四 非加粗 段前: 7.8 磅 段后: 0 磅 行距: 固定值 20 磅"/>
    <w:basedOn w:val="5"/>
    <w:autoRedefine/>
    <w:qFormat/>
    <w:uiPriority w:val="0"/>
    <w:pPr>
      <w:autoSpaceDE/>
      <w:autoSpaceDN/>
      <w:adjustRightInd/>
      <w:spacing w:before="0" w:after="0" w:line="400" w:lineRule="exact"/>
    </w:pPr>
    <w:rPr>
      <w:rFonts w:ascii="Times New Roman" w:cs="宋体"/>
      <w:kern w:val="2"/>
      <w:sz w:val="24"/>
    </w:rPr>
  </w:style>
  <w:style w:type="character" w:customStyle="1" w:styleId="95">
    <w:name w:val="批注文字 Char1"/>
    <w:autoRedefine/>
    <w:qFormat/>
    <w:uiPriority w:val="99"/>
    <w:rPr>
      <w:kern w:val="2"/>
      <w:sz w:val="21"/>
    </w:rPr>
  </w:style>
  <w:style w:type="character" w:customStyle="1" w:styleId="96">
    <w:name w:val="正文文本 3 字符"/>
    <w:basedOn w:val="44"/>
    <w:link w:val="18"/>
    <w:autoRedefine/>
    <w:semiHidden/>
    <w:qFormat/>
    <w:uiPriority w:val="99"/>
    <w:rPr>
      <w:rFonts w:ascii="Times New Roman" w:hAnsi="Times New Roman" w:eastAsia="宋体" w:cs="Times New Roman"/>
      <w:sz w:val="16"/>
      <w:szCs w:val="16"/>
    </w:rPr>
  </w:style>
  <w:style w:type="paragraph" w:customStyle="1" w:styleId="97">
    <w:name w:val="样式 标题 2 + Times New Roman 四号 非加粗 段前: 5 磅 段后: 0 磅 行距: 固定值 20..."/>
    <w:basedOn w:val="3"/>
    <w:autoRedefine/>
    <w:qFormat/>
    <w:uiPriority w:val="0"/>
    <w:pPr>
      <w:spacing w:before="100" w:after="0" w:line="400" w:lineRule="exact"/>
    </w:pPr>
    <w:rPr>
      <w:rFonts w:ascii="Times New Roman" w:hAnsi="Times New Roman" w:cs="宋体"/>
      <w:b w:val="0"/>
      <w:bCs w:val="0"/>
      <w:sz w:val="28"/>
      <w:szCs w:val="20"/>
    </w:rPr>
  </w:style>
  <w:style w:type="paragraph" w:customStyle="1" w:styleId="98">
    <w:name w:val="正文00"/>
    <w:basedOn w:val="1"/>
    <w:autoRedefine/>
    <w:qFormat/>
    <w:uiPriority w:val="0"/>
    <w:pPr>
      <w:topLinePunct/>
      <w:spacing w:line="360" w:lineRule="auto"/>
      <w:ind w:firstLine="200" w:firstLineChars="200"/>
    </w:pPr>
    <w:rPr>
      <w:sz w:val="24"/>
      <w:szCs w:val="21"/>
    </w:rPr>
  </w:style>
  <w:style w:type="paragraph" w:customStyle="1" w:styleId="99">
    <w:name w:val="正文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0">
    <w:name w:val="TOC Heading"/>
    <w:basedOn w:val="2"/>
    <w:next w:val="1"/>
    <w:autoRedefine/>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101">
    <w:name w:val="Revision"/>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102">
    <w:name w:val="Unresolved Mention"/>
    <w:basedOn w:val="44"/>
    <w:autoRedefine/>
    <w:semiHidden/>
    <w:unhideWhenUsed/>
    <w:qFormat/>
    <w:uiPriority w:val="99"/>
    <w:rPr>
      <w:color w:val="605E5C"/>
      <w:shd w:val="clear" w:color="auto" w:fill="E1DFDD"/>
    </w:rPr>
  </w:style>
  <w:style w:type="paragraph" w:customStyle="1" w:styleId="103">
    <w:name w:val="正文 A"/>
    <w:autoRedefine/>
    <w:qFormat/>
    <w:uiPriority w:val="0"/>
    <w:pPr>
      <w:widowControl w:val="0"/>
      <w:jc w:val="both"/>
    </w:pPr>
    <w:rPr>
      <w:rFonts w:ascii="Arial Unicode MS" w:hAnsi="Arial Unicode MS" w:eastAsia="Times New Roman" w:cs="Arial Unicode MS"/>
      <w:color w:val="000000"/>
      <w:kern w:val="2"/>
      <w:sz w:val="32"/>
      <w:szCs w:val="32"/>
      <w:lang w:val="en-US" w:eastAsia="zh-CN" w:bidi="ar-SA"/>
    </w:rPr>
  </w:style>
  <w:style w:type="paragraph" w:customStyle="1" w:styleId="104">
    <w:name w:val="正文 Char Char"/>
    <w:autoRedefine/>
    <w:qFormat/>
    <w:uiPriority w:val="0"/>
    <w:pPr>
      <w:tabs>
        <w:tab w:val="left" w:pos="284"/>
      </w:tabs>
      <w:ind w:firstLine="200" w:firstLineChars="200"/>
      <w:jc w:val="both"/>
    </w:pPr>
    <w:rPr>
      <w:rFonts w:ascii="宋体" w:hAnsi="宋体" w:eastAsia="宋体" w:cs="Times New Roman"/>
      <w:kern w:val="0"/>
      <w:sz w:val="24"/>
      <w:szCs w:val="21"/>
      <w:lang w:val="en-US" w:eastAsia="zh-CN" w:bidi="ar-SA"/>
    </w:rPr>
  </w:style>
  <w:style w:type="paragraph" w:customStyle="1" w:styleId="105">
    <w:name w:val="条"/>
    <w:basedOn w:val="1"/>
    <w:autoRedefine/>
    <w:qFormat/>
    <w:uiPriority w:val="0"/>
    <w:pPr>
      <w:snapToGrid w:val="0"/>
      <w:spacing w:before="100" w:beforeAutospacing="1" w:afterLines="50"/>
    </w:pPr>
    <w:rPr>
      <w:rFonts w:ascii="宋体"/>
      <w:sz w:val="28"/>
      <w:szCs w:val="20"/>
    </w:rPr>
  </w:style>
  <w:style w:type="character" w:customStyle="1" w:styleId="106">
    <w:name w:val="color-green"/>
    <w:basedOn w:val="44"/>
    <w:autoRedefine/>
    <w:qFormat/>
    <w:uiPriority w:val="0"/>
    <w:rPr>
      <w:color w:val="02B202"/>
      <w:sz w:val="19"/>
      <w:szCs w:val="19"/>
      <w:bdr w:val="single" w:color="02B202" w:sz="6" w:space="0"/>
      <w:shd w:val="clear" w:fill="FFFFFF"/>
    </w:rPr>
  </w:style>
  <w:style w:type="character" w:customStyle="1" w:styleId="107">
    <w:name w:val="first-child"/>
    <w:basedOn w:val="44"/>
    <w:autoRedefine/>
    <w:qFormat/>
    <w:uiPriority w:val="0"/>
  </w:style>
  <w:style w:type="character" w:customStyle="1" w:styleId="108">
    <w:name w:val="color-blue"/>
    <w:basedOn w:val="44"/>
    <w:autoRedefine/>
    <w:qFormat/>
    <w:uiPriority w:val="0"/>
    <w:rPr>
      <w:color w:val="2272DE"/>
      <w:sz w:val="19"/>
      <w:szCs w:val="19"/>
      <w:bdr w:val="single" w:color="2272DE" w:sz="6" w:space="0"/>
      <w:shd w:val="clear" w:fill="FFFFFF"/>
    </w:rPr>
  </w:style>
  <w:style w:type="character" w:customStyle="1" w:styleId="109">
    <w:name w:val="tit"/>
    <w:basedOn w:val="44"/>
    <w:autoRedefine/>
    <w:qFormat/>
    <w:uiPriority w:val="0"/>
    <w:rPr>
      <w:color w:val="FFFFFF"/>
    </w:rPr>
  </w:style>
  <w:style w:type="character" w:customStyle="1" w:styleId="110">
    <w:name w:val="color-red"/>
    <w:basedOn w:val="44"/>
    <w:autoRedefine/>
    <w:qFormat/>
    <w:uiPriority w:val="0"/>
    <w:rPr>
      <w:color w:val="FF6E40"/>
      <w:sz w:val="19"/>
      <w:szCs w:val="19"/>
      <w:bdr w:val="single" w:color="FF6E40" w:sz="6" w:space="0"/>
      <w:shd w:val="clear" w:fill="FFFFFF"/>
    </w:rPr>
  </w:style>
  <w:style w:type="character" w:customStyle="1" w:styleId="111">
    <w:name w:val="btn_xlxz"/>
    <w:basedOn w:val="44"/>
    <w:autoRedefine/>
    <w:qFormat/>
    <w:uiPriority w:val="0"/>
  </w:style>
  <w:style w:type="character" w:customStyle="1" w:styleId="112">
    <w:name w:val="btn_xlxz1"/>
    <w:basedOn w:val="44"/>
    <w:autoRedefine/>
    <w:qFormat/>
    <w:uiPriority w:val="0"/>
  </w:style>
  <w:style w:type="character" w:customStyle="1" w:styleId="113">
    <w:name w:val="font01"/>
    <w:basedOn w:val="44"/>
    <w:autoRedefine/>
    <w:qFormat/>
    <w:uiPriority w:val="0"/>
    <w:rPr>
      <w:rFonts w:hint="eastAsia" w:ascii="宋体" w:hAnsi="宋体" w:eastAsia="宋体" w:cs="宋体"/>
      <w:color w:val="000000"/>
      <w:sz w:val="20"/>
      <w:szCs w:val="20"/>
      <w:u w:val="none"/>
    </w:rPr>
  </w:style>
  <w:style w:type="paragraph" w:customStyle="1" w:styleId="114">
    <w:name w:val="注"/>
    <w:basedOn w:val="98"/>
    <w:autoRedefine/>
    <w:qFormat/>
    <w:uiPriority w:val="0"/>
    <w:pPr>
      <w:topLinePunct/>
      <w:spacing w:line="288" w:lineRule="auto"/>
    </w:pPr>
    <w:rPr>
      <w:kern w:val="24"/>
      <w:sz w:val="20"/>
      <w:szCs w:val="21"/>
    </w:rPr>
  </w:style>
  <w:style w:type="character" w:customStyle="1" w:styleId="115">
    <w:name w:val="font71"/>
    <w:basedOn w:val="44"/>
    <w:autoRedefine/>
    <w:qFormat/>
    <w:uiPriority w:val="0"/>
    <w:rPr>
      <w:rFonts w:hint="eastAsia" w:ascii="宋体" w:hAnsi="宋体" w:eastAsia="宋体" w:cs="宋体"/>
      <w:color w:val="FF0000"/>
      <w:sz w:val="21"/>
      <w:szCs w:val="21"/>
      <w:u w:val="none"/>
    </w:rPr>
  </w:style>
  <w:style w:type="character" w:customStyle="1" w:styleId="116">
    <w:name w:val="font21"/>
    <w:basedOn w:val="44"/>
    <w:autoRedefine/>
    <w:qFormat/>
    <w:uiPriority w:val="0"/>
    <w:rPr>
      <w:rFonts w:hint="eastAsia" w:ascii="宋体" w:hAnsi="宋体" w:eastAsia="宋体" w:cs="宋体"/>
      <w:b/>
      <w:bCs/>
      <w:color w:val="FF0000"/>
      <w:sz w:val="21"/>
      <w:szCs w:val="21"/>
      <w:u w:val="none"/>
    </w:rPr>
  </w:style>
  <w:style w:type="paragraph" w:customStyle="1" w:styleId="117">
    <w:name w:val="正文文本缩进 31"/>
    <w:basedOn w:val="1"/>
    <w:autoRedefine/>
    <w:qFormat/>
    <w:uiPriority w:val="0"/>
    <w:pPr>
      <w:ind w:firstLine="480"/>
    </w:pPr>
    <w:rPr>
      <w:rFonts w:eastAsia="仿宋_GB2312"/>
      <w:sz w:val="24"/>
      <w:szCs w:val="20"/>
    </w:rPr>
  </w:style>
  <w:style w:type="table" w:customStyle="1" w:styleId="118">
    <w:name w:val="TableGrid"/>
    <w:autoRedefine/>
    <w:qFormat/>
    <w:uiPriority w:val="0"/>
    <w:rPr>
      <w:rFonts w:ascii="Times New Roman" w:hAnsi="Times New Roman" w:eastAsia="宋体" w:cs="Times New Roman"/>
    </w:rPr>
    <w:tblPr>
      <w:tblCellMar>
        <w:top w:w="0" w:type="dxa"/>
        <w:left w:w="0" w:type="dxa"/>
        <w:bottom w:w="0" w:type="dxa"/>
        <w:right w:w="0" w:type="dxa"/>
      </w:tblCellMar>
    </w:tblPr>
  </w:style>
  <w:style w:type="character" w:customStyle="1" w:styleId="119">
    <w:name w:val="font11"/>
    <w:basedOn w:val="44"/>
    <w:autoRedefine/>
    <w:qFormat/>
    <w:uiPriority w:val="0"/>
    <w:rPr>
      <w:rFonts w:hint="eastAsia" w:ascii="宋体" w:hAnsi="宋体" w:eastAsia="宋体" w:cs="宋体"/>
      <w:color w:val="000000"/>
      <w:sz w:val="21"/>
      <w:szCs w:val="21"/>
      <w:u w:val="none"/>
    </w:rPr>
  </w:style>
  <w:style w:type="character" w:customStyle="1" w:styleId="120">
    <w:name w:val="font31"/>
    <w:basedOn w:val="44"/>
    <w:autoRedefine/>
    <w:qFormat/>
    <w:uiPriority w:val="0"/>
    <w:rPr>
      <w:rFonts w:hint="eastAsia" w:ascii="宋体" w:hAnsi="宋体" w:eastAsia="宋体" w:cs="宋体"/>
      <w:color w:val="000000"/>
      <w:sz w:val="21"/>
      <w:szCs w:val="21"/>
      <w:u w:val="none"/>
    </w:rPr>
  </w:style>
  <w:style w:type="table" w:customStyle="1" w:styleId="121">
    <w:name w:val="_Style 10"/>
    <w:basedOn w:val="122"/>
    <w:autoRedefine/>
    <w:qFormat/>
    <w:uiPriority w:val="0"/>
  </w:style>
  <w:style w:type="table" w:customStyle="1" w:styleId="122">
    <w:name w:val="Table Normal"/>
    <w:autoRedefine/>
    <w:qFormat/>
    <w:uiPriority w:val="0"/>
    <w:tblPr>
      <w:tblCellMar>
        <w:top w:w="0" w:type="dxa"/>
        <w:left w:w="0" w:type="dxa"/>
        <w:bottom w:w="0" w:type="dxa"/>
        <w:right w:w="0" w:type="dxa"/>
      </w:tblCellMar>
    </w:tblPr>
  </w:style>
  <w:style w:type="table" w:customStyle="1" w:styleId="123">
    <w:name w:val="_Style 11"/>
    <w:basedOn w:val="122"/>
    <w:autoRedefine/>
    <w:qFormat/>
    <w:uiPriority w:val="0"/>
  </w:style>
  <w:style w:type="table" w:customStyle="1" w:styleId="124">
    <w:name w:val="_Style 12"/>
    <w:basedOn w:val="122"/>
    <w:autoRedefine/>
    <w:qFormat/>
    <w:uiPriority w:val="0"/>
  </w:style>
  <w:style w:type="paragraph" w:customStyle="1" w:styleId="125">
    <w:name w:val="样式 文档正文 + 非加粗 无下划线"/>
    <w:autoRedefine/>
    <w:qFormat/>
    <w:uiPriority w:val="0"/>
    <w:pPr>
      <w:widowControl w:val="0"/>
      <w:tabs>
        <w:tab w:val="left" w:pos="3735"/>
      </w:tabs>
      <w:autoSpaceDE/>
      <w:autoSpaceDN/>
      <w:adjustRightInd w:val="0"/>
      <w:spacing w:line="360" w:lineRule="auto"/>
      <w:ind w:right="210" w:firstLine="360" w:firstLineChars="0"/>
      <w:jc w:val="both"/>
      <w:textAlignment w:val="auto"/>
    </w:pPr>
    <w:rPr>
      <w:rFonts w:ascii="宋体" w:hAnsi="宋体" w:eastAsia="宋体" w:cs="Times New Roman"/>
      <w:b/>
      <w:color w:val="000000"/>
      <w:spacing w:val="4"/>
      <w:sz w:val="24"/>
      <w:szCs w:val="20"/>
      <w:lang w:val="en-US" w:eastAsia="zh-CN" w:bidi="ar-SA"/>
    </w:rPr>
  </w:style>
  <w:style w:type="paragraph" w:customStyle="1" w:styleId="126">
    <w:name w:val="文档正文"/>
    <w:autoRedefine/>
    <w:qFormat/>
    <w:uiPriority w:val="0"/>
    <w:pPr>
      <w:widowControl w:val="0"/>
      <w:autoSpaceDE w:val="0"/>
      <w:autoSpaceDN w:val="0"/>
      <w:adjustRightInd w:val="0"/>
      <w:spacing w:line="460" w:lineRule="atLeast"/>
      <w:ind w:firstLine="505" w:firstLineChars="0"/>
      <w:jc w:val="both"/>
      <w:textAlignment w:val="baseline"/>
    </w:pPr>
    <w:rPr>
      <w:rFonts w:ascii="Arial Narrow" w:hAnsi="Arial Narrow" w:eastAsia="宋体" w:cs="Times New Roman"/>
      <w:spacing w:val="4"/>
      <w:sz w:val="24"/>
      <w:szCs w:val="20"/>
      <w:lang w:val="en-US" w:eastAsia="zh-CN" w:bidi="ar-SA"/>
    </w:rPr>
  </w:style>
  <w:style w:type="paragraph" w:customStyle="1" w:styleId="127">
    <w:name w:val="样式 文档正文 + 宋体 小四"/>
    <w:autoRedefine/>
    <w:qFormat/>
    <w:uiPriority w:val="0"/>
    <w:pPr>
      <w:widowControl w:val="0"/>
      <w:autoSpaceDE/>
      <w:autoSpaceDN/>
      <w:adjustRightInd w:val="0"/>
      <w:spacing w:line="440" w:lineRule="atLeast"/>
      <w:ind w:firstLine="567" w:firstLineChars="0"/>
      <w:jc w:val="both"/>
      <w:textAlignment w:val="baseline"/>
    </w:pPr>
    <w:rPr>
      <w:rFonts w:ascii="宋体" w:hAnsi="宋体" w:eastAsia="宋体" w:cs="Times New Roman"/>
      <w:b/>
      <w:color w:val="000000"/>
      <w:spacing w:val="4"/>
      <w:sz w:val="24"/>
      <w:szCs w:val="20"/>
      <w:lang w:val="en-US" w:eastAsia="zh-CN" w:bidi="ar-SA"/>
    </w:rPr>
  </w:style>
  <w:style w:type="paragraph" w:customStyle="1" w:styleId="128">
    <w:name w:val="正文缩进(ALT+Z)"/>
    <w:autoRedefine/>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character" w:customStyle="1" w:styleId="129">
    <w:name w:val="font41"/>
    <w:basedOn w:val="44"/>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theme" Target="theme/theme1.xml"/><Relationship Id="rId21" Type="http://schemas.openxmlformats.org/officeDocument/2006/relationships/footer" Target="footer6.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footer" Target="footer4.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footer" Target="footer3.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026" textRotate="1"/>
    <customShpInfo spid="_x0000_s2053"/>
    <customShpInfo spid="_x0000_s2052"/>
    <customShpInfo spid="_x0000_s2056"/>
    <customShpInfo spid="_x0000_s2055"/>
    <customShpInfo spid="_x0000_s2059"/>
    <customShpInfo spid="_x0000_s205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31C420-FA73-4EA7-A8DB-9EE54F4FD619}">
  <ds:schemaRefs/>
</ds:datastoreItem>
</file>

<file path=docProps/app.xml><?xml version="1.0" encoding="utf-8"?>
<Properties xmlns="http://schemas.openxmlformats.org/officeDocument/2006/extended-properties" xmlns:vt="http://schemas.openxmlformats.org/officeDocument/2006/docPropsVTypes">
  <Template>Normal.dotm</Template>
  <Pages>198</Pages>
  <Words>117557</Words>
  <Characters>123230</Characters>
  <Lines>760</Lines>
  <Paragraphs>213</Paragraphs>
  <TotalTime>70</TotalTime>
  <ScaleCrop>false</ScaleCrop>
  <LinksUpToDate>false</LinksUpToDate>
  <CharactersWithSpaces>125238</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2021-07-01T08:39:00Z</dcterms:created>
  <cp:lastPrinted>2024-06-06T03:52:00Z</cp:lastPrinted>
  <dcterms:modified xsi:type="dcterms:W3CDTF">2024-08-05T04:24:57Z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33F025B63DD94C3EA191B5E9A66E2AFA</vt:lpwstr>
  </property>
</Properties>
</file>