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ADB7F">
      <w:pPr>
        <w:keepNext/>
        <w:keepLines/>
        <w:wordWrap w:val="0"/>
        <w:topLinePunct w:val="0"/>
        <w:spacing w:before="240" w:after="120" w:line="360" w:lineRule="auto"/>
        <w:jc w:val="center"/>
        <w:outlineLvl w:val="0"/>
        <w:rPr>
          <w:rFonts w:hint="eastAsia" w:ascii="宋体" w:hAnsi="宋体" w:cs="宋体"/>
          <w:b/>
          <w:kern w:val="0"/>
        </w:rPr>
      </w:pPr>
      <w:bookmarkStart w:id="0" w:name="_Toc178092939"/>
      <w:bookmarkStart w:id="1" w:name="_Toc178093490"/>
      <w:bookmarkStart w:id="2" w:name="_Toc178093406"/>
      <w:bookmarkStart w:id="3" w:name="OLE_LINK9"/>
      <w:bookmarkStart w:id="4" w:name="_Toc178093405"/>
      <w:bookmarkStart w:id="5" w:name="_Toc190352120"/>
      <w:bookmarkStart w:id="6" w:name="_Toc178093213"/>
      <w:bookmarkStart w:id="7" w:name="_Hlk191889122"/>
      <w:bookmarkStart w:id="8" w:name="_Toc195017251"/>
      <w:bookmarkStart w:id="9" w:name="_Toc520759051"/>
      <w:bookmarkStart w:id="10" w:name="_Toc421632285"/>
      <w:bookmarkStart w:id="11" w:name="_Toc421282382"/>
      <w:bookmarkStart w:id="12" w:name="_Toc159594966"/>
      <w:bookmarkStart w:id="13" w:name="_Toc159594937"/>
      <w:bookmarkStart w:id="14" w:name="_Toc421632374"/>
      <w:bookmarkStart w:id="15" w:name="_Toc159594911"/>
      <w:r>
        <w:rPr>
          <w:rFonts w:hint="eastAsia" w:ascii="宋体" w:hAnsi="宋体" w:cs="宋体"/>
          <w:b/>
          <w:kern w:val="0"/>
        </w:rPr>
        <w:t>第五章 技术规范和服务要求</w:t>
      </w:r>
      <w:bookmarkEnd w:id="0"/>
      <w:bookmarkEnd w:id="1"/>
      <w:bookmarkEnd w:id="2"/>
      <w:bookmarkEnd w:id="3"/>
      <w:bookmarkEnd w:id="4"/>
      <w:bookmarkEnd w:id="5"/>
      <w:bookmarkEnd w:id="6"/>
      <w:bookmarkEnd w:id="7"/>
      <w:bookmarkEnd w:id="8"/>
      <w:bookmarkStart w:id="16" w:name="_Hlk209624406"/>
    </w:p>
    <w:p w14:paraId="6BB81DE9">
      <w:pPr>
        <w:pStyle w:val="4"/>
        <w:numPr>
          <w:ilvl w:val="1"/>
          <w:numId w:val="0"/>
        </w:numPr>
        <w:bidi w:val="0"/>
        <w:ind w:leftChars="0"/>
        <w:rPr>
          <w:rFonts w:hint="eastAsia" w:ascii="宋体" w:hAnsi="宋体" w:cs="宋体"/>
          <w:b/>
          <w:kern w:val="0"/>
          <w:sz w:val="21"/>
          <w:szCs w:val="21"/>
        </w:rPr>
      </w:pPr>
      <w:bookmarkStart w:id="17" w:name="OLE_LINK13"/>
      <w:r>
        <w:rPr>
          <w:rFonts w:hint="eastAsia" w:ascii="宋体" w:hAnsi="宋体" w:cs="宋体"/>
          <w:b/>
          <w:kern w:val="0"/>
          <w:sz w:val="21"/>
          <w:szCs w:val="21"/>
        </w:rPr>
        <w:t>1.</w:t>
      </w:r>
      <w:r>
        <w:rPr>
          <w:rFonts w:hint="eastAsia" w:ascii="宋体" w:hAnsi="宋体" w:cstheme="minorEastAsia"/>
          <w:bCs/>
          <w:sz w:val="21"/>
          <w:szCs w:val="21"/>
        </w:rPr>
        <w:t>项目介绍及要求</w:t>
      </w:r>
    </w:p>
    <w:p w14:paraId="11605EB8">
      <w:pPr>
        <w:pStyle w:val="5"/>
        <w:numPr>
          <w:ilvl w:val="1"/>
          <w:numId w:val="2"/>
        </w:numPr>
        <w:spacing w:after="156"/>
        <w:ind w:left="840" w:hanging="420"/>
        <w:rPr>
          <w:rFonts w:hint="eastAsia" w:cstheme="minorEastAsia"/>
          <w:b/>
          <w:sz w:val="21"/>
          <w:szCs w:val="21"/>
        </w:rPr>
      </w:pPr>
      <w:r>
        <w:rPr>
          <w:rFonts w:hint="eastAsia" w:cstheme="minorEastAsia"/>
          <w:b/>
          <w:sz w:val="21"/>
          <w:szCs w:val="21"/>
        </w:rPr>
        <w:t>项目背景</w:t>
      </w:r>
    </w:p>
    <w:p w14:paraId="391E820D">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根据中国电信相关工作要求，打造场景级“感知-分析-决策-执行”自治闭环全光网（OTN），实现云网自智水平全面达到 L4。</w:t>
      </w:r>
    </w:p>
    <w:p w14:paraId="626FF1F4">
      <w:pPr>
        <w:pStyle w:val="5"/>
        <w:numPr>
          <w:ilvl w:val="1"/>
          <w:numId w:val="2"/>
        </w:numPr>
        <w:spacing w:after="156"/>
        <w:ind w:left="840" w:hanging="420"/>
        <w:rPr>
          <w:rFonts w:hint="eastAsia" w:cstheme="minorEastAsia"/>
          <w:b/>
          <w:sz w:val="21"/>
          <w:szCs w:val="21"/>
        </w:rPr>
      </w:pPr>
      <w:r>
        <w:rPr>
          <w:rFonts w:hint="eastAsia" w:cstheme="minorEastAsia"/>
          <w:b/>
          <w:sz w:val="21"/>
          <w:szCs w:val="21"/>
        </w:rPr>
        <w:t>项目目标</w:t>
      </w:r>
    </w:p>
    <w:p w14:paraId="7BA2178C">
      <w:pPr>
        <w:ind w:firstLine="420" w:firstLineChars="200"/>
        <w:rPr>
          <w:rFonts w:hint="eastAsia" w:ascii="宋体" w:hAnsi="宋体" w:cstheme="minorEastAsia"/>
          <w:sz w:val="21"/>
          <w:szCs w:val="21"/>
        </w:rPr>
      </w:pPr>
      <w:r>
        <w:rPr>
          <w:rFonts w:hint="eastAsia" w:ascii="宋体" w:hAnsi="宋体" w:cstheme="minorEastAsia"/>
          <w:sz w:val="21"/>
          <w:szCs w:val="21"/>
        </w:rPr>
        <w:t>本项目主要实现传输全光网（OTN）六大场景23项能力全面达到集团L4自智要求，具体如下：</w:t>
      </w:r>
    </w:p>
    <w:p w14:paraId="146E4402">
      <w:pPr>
        <w:ind w:firstLine="420" w:firstLineChars="200"/>
        <w:rPr>
          <w:rFonts w:hint="eastAsia" w:ascii="宋体" w:hAnsi="宋体" w:cstheme="minorEastAsia"/>
          <w:sz w:val="21"/>
          <w:szCs w:val="21"/>
        </w:rPr>
      </w:pPr>
      <w:r>
        <w:rPr>
          <w:rFonts w:hint="eastAsia" w:ascii="宋体" w:hAnsi="宋体" w:cstheme="minorEastAsia"/>
          <w:sz w:val="21"/>
          <w:szCs w:val="21"/>
        </w:rPr>
        <w:t>1. 监控排障，将故障处理时长缩短至0.5小时内，较平均时长提升50%，减小双断风险40%. 业务恢复时长缩短至0.5小时内，较平均业务恢复时长减少50%.</w:t>
      </w:r>
    </w:p>
    <w:p w14:paraId="6533B4CD">
      <w:pPr>
        <w:ind w:firstLine="420" w:firstLineChars="200"/>
        <w:rPr>
          <w:rFonts w:hint="eastAsia" w:ascii="宋体" w:hAnsi="宋体" w:cstheme="minorEastAsia"/>
          <w:sz w:val="21"/>
          <w:szCs w:val="21"/>
        </w:rPr>
      </w:pPr>
      <w:r>
        <w:rPr>
          <w:rFonts w:hint="eastAsia" w:ascii="宋体" w:hAnsi="宋体" w:cstheme="minorEastAsia"/>
          <w:sz w:val="21"/>
          <w:szCs w:val="21"/>
        </w:rPr>
        <w:t>2. 网络及业务质量优化，及时发现网络结构隐患，预计每年可发现隐患5-10个，减少重大故障发生概率50%.</w:t>
      </w:r>
    </w:p>
    <w:p w14:paraId="0BABFF88">
      <w:pPr>
        <w:ind w:firstLine="420" w:firstLineChars="200"/>
        <w:rPr>
          <w:rFonts w:hint="eastAsia" w:ascii="宋体" w:hAnsi="宋体" w:cstheme="minorEastAsia"/>
          <w:sz w:val="21"/>
          <w:szCs w:val="21"/>
        </w:rPr>
      </w:pPr>
      <w:r>
        <w:rPr>
          <w:rFonts w:hint="eastAsia" w:ascii="宋体" w:hAnsi="宋体" w:cstheme="minorEastAsia"/>
          <w:sz w:val="21"/>
          <w:szCs w:val="21"/>
        </w:rPr>
        <w:t>3. 传输光功率预测能力，引入时序预测等AI新技术赋能维护场景，全国传输首次试点通过AI趋势化分析重点性能指标，预计故障处理流程精简50%，业务影响判断精确性提升70%，人员沟通流程减少30%.</w:t>
      </w:r>
    </w:p>
    <w:p w14:paraId="6076BCD3">
      <w:pPr>
        <w:ind w:firstLine="420" w:firstLineChars="200"/>
        <w:rPr>
          <w:rFonts w:hint="eastAsia" w:ascii="宋体" w:hAnsi="宋体" w:cstheme="minorEastAsia"/>
          <w:sz w:val="21"/>
          <w:szCs w:val="21"/>
        </w:rPr>
      </w:pPr>
      <w:r>
        <w:rPr>
          <w:rFonts w:hint="eastAsia" w:ascii="宋体" w:hAnsi="宋体" w:cstheme="minorEastAsia"/>
          <w:sz w:val="21"/>
          <w:szCs w:val="21"/>
        </w:rPr>
        <w:t>4. 隐患仿真能力开发，通过GIS等新技术直观展示和分析光缆同路由隐患. 平均人工判断时长约200分钟，仿真分析时长约40分钟，提升效率80%.</w:t>
      </w:r>
    </w:p>
    <w:p w14:paraId="4636E23D">
      <w:pPr>
        <w:pStyle w:val="5"/>
        <w:numPr>
          <w:ilvl w:val="1"/>
          <w:numId w:val="2"/>
        </w:numPr>
        <w:spacing w:after="156"/>
        <w:ind w:left="840" w:hanging="420"/>
        <w:rPr>
          <w:rFonts w:hint="eastAsia" w:cstheme="minorEastAsia"/>
          <w:b/>
          <w:sz w:val="21"/>
          <w:szCs w:val="21"/>
        </w:rPr>
      </w:pPr>
      <w:r>
        <w:rPr>
          <w:rFonts w:hint="eastAsia" w:cstheme="minorEastAsia"/>
          <w:b/>
          <w:sz w:val="21"/>
          <w:szCs w:val="21"/>
        </w:rPr>
        <w:t>项目时间和交付地点</w:t>
      </w:r>
    </w:p>
    <w:p w14:paraId="4292141A">
      <w:pPr>
        <w:spacing w:line="360" w:lineRule="auto"/>
        <w:ind w:firstLine="422" w:firstLineChars="200"/>
        <w:rPr>
          <w:rFonts w:hint="eastAsia" w:ascii="宋体" w:hAnsi="宋体" w:cstheme="minorEastAsia"/>
          <w:bCs/>
          <w:sz w:val="21"/>
          <w:szCs w:val="21"/>
        </w:rPr>
      </w:pPr>
      <w:r>
        <w:rPr>
          <w:rFonts w:hint="eastAsia" w:ascii="宋体" w:hAnsi="宋体" w:cs="宋体"/>
          <w:b/>
          <w:bCs/>
          <w:color w:val="000000" w:themeColor="text1"/>
          <w:sz w:val="21"/>
          <w:szCs w:val="21"/>
          <w:u w:val="single"/>
          <w14:textFill>
            <w14:solidFill>
              <w14:schemeClr w14:val="tx1"/>
            </w14:solidFill>
          </w14:textFill>
        </w:rPr>
        <w:t>★合同签订后60天内完成系统开发★</w:t>
      </w:r>
      <w:r>
        <w:rPr>
          <w:rFonts w:hint="eastAsia" w:ascii="宋体" w:hAnsi="宋体" w:cstheme="minorEastAsia"/>
          <w:bCs/>
          <w:sz w:val="21"/>
          <w:szCs w:val="21"/>
        </w:rPr>
        <w:t>。交付地点：四川省成都市。</w:t>
      </w:r>
    </w:p>
    <w:p w14:paraId="791A1065">
      <w:pPr>
        <w:spacing w:line="360" w:lineRule="auto"/>
        <w:ind w:firstLine="422" w:firstLineChars="200"/>
        <w:rPr>
          <w:rFonts w:hint="eastAsia" w:ascii="宋体" w:hAnsi="宋体" w:cstheme="minorEastAsia"/>
          <w:bCs/>
          <w:sz w:val="21"/>
          <w:szCs w:val="21"/>
        </w:rPr>
      </w:pPr>
      <w:r>
        <w:rPr>
          <w:rFonts w:hint="eastAsia" w:ascii="宋体" w:hAnsi="宋体" w:cs="宋体"/>
          <w:b/>
          <w:bCs/>
          <w:color w:val="000000" w:themeColor="text1"/>
          <w:sz w:val="21"/>
          <w:szCs w:val="21"/>
          <w:u w:val="single"/>
          <w14:textFill>
            <w14:solidFill>
              <w14:schemeClr w14:val="tx1"/>
            </w14:solidFill>
          </w14:textFill>
        </w:rPr>
        <w:t>★</w:t>
      </w:r>
      <w:r>
        <w:rPr>
          <w:rFonts w:hint="eastAsia" w:ascii="宋体" w:hAnsi="宋体" w:cstheme="minorEastAsia"/>
          <w:b/>
          <w:bCs/>
          <w:sz w:val="21"/>
          <w:szCs w:val="21"/>
          <w:u w:val="single"/>
        </w:rPr>
        <w:t>本项目要求质保期为一年</w:t>
      </w:r>
      <w:r>
        <w:rPr>
          <w:rFonts w:hint="eastAsia" w:ascii="宋体" w:hAnsi="宋体" w:cs="宋体"/>
          <w:b/>
          <w:bCs/>
          <w:color w:val="000000" w:themeColor="text1"/>
          <w:sz w:val="21"/>
          <w:szCs w:val="21"/>
          <w:u w:val="single"/>
          <w14:textFill>
            <w14:solidFill>
              <w14:schemeClr w14:val="tx1"/>
            </w14:solidFill>
          </w14:textFill>
        </w:rPr>
        <w:t>★</w:t>
      </w:r>
      <w:r>
        <w:rPr>
          <w:rFonts w:hint="eastAsia" w:ascii="宋体" w:hAnsi="宋体" w:cstheme="minorEastAsia"/>
          <w:bCs/>
          <w:sz w:val="21"/>
          <w:szCs w:val="21"/>
        </w:rPr>
        <w:t>，质保期自双方签订终验证书之日起开始计算，质保期内成交人应为采购人免费提供软件的升级和改造服务。</w:t>
      </w:r>
    </w:p>
    <w:p w14:paraId="77F3E28E">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订单下达后，为保障项目顺利实施及产品的稳定运行。</w:t>
      </w:r>
    </w:p>
    <w:p w14:paraId="62476921">
      <w:pPr>
        <w:pStyle w:val="5"/>
        <w:numPr>
          <w:ilvl w:val="1"/>
          <w:numId w:val="2"/>
        </w:numPr>
        <w:spacing w:after="156"/>
        <w:ind w:left="840" w:hanging="420"/>
        <w:rPr>
          <w:rFonts w:hint="eastAsia" w:cstheme="minorEastAsia"/>
          <w:b/>
          <w:sz w:val="21"/>
          <w:szCs w:val="21"/>
        </w:rPr>
      </w:pPr>
      <w:r>
        <w:rPr>
          <w:rFonts w:hint="eastAsia" w:cstheme="minorEastAsia"/>
          <w:b/>
          <w:sz w:val="21"/>
          <w:szCs w:val="21"/>
        </w:rPr>
        <w:t>现有系统运维要求</w:t>
      </w:r>
    </w:p>
    <w:p w14:paraId="68990774">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1.</w:t>
      </w:r>
      <w:r>
        <w:rPr>
          <w:rFonts w:hint="eastAsia" w:ascii="宋体" w:hAnsi="宋体" w:cstheme="minorEastAsia"/>
          <w:bCs/>
          <w:sz w:val="21"/>
          <w:szCs w:val="21"/>
        </w:rPr>
        <w:tab/>
      </w:r>
      <w:r>
        <w:rPr>
          <w:rFonts w:hint="eastAsia" w:ascii="宋体" w:hAnsi="宋体" w:cstheme="minorEastAsia"/>
          <w:bCs/>
          <w:sz w:val="21"/>
          <w:szCs w:val="21"/>
        </w:rPr>
        <w:t>系统功能维护：保障现有生产系统及对外发布接口稳定，保持接口协议、参数、返回格式 不发生变动，原生产系统接口调用问题能及时响应并解决。</w:t>
      </w:r>
    </w:p>
    <w:p w14:paraId="51BFDFA1">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2.</w:t>
      </w:r>
      <w:r>
        <w:rPr>
          <w:rFonts w:hint="eastAsia" w:ascii="宋体" w:hAnsi="宋体" w:cstheme="minorEastAsia"/>
          <w:bCs/>
          <w:sz w:val="21"/>
          <w:szCs w:val="21"/>
        </w:rPr>
        <w:tab/>
      </w:r>
      <w:r>
        <w:rPr>
          <w:rFonts w:hint="eastAsia" w:ascii="宋体" w:hAnsi="宋体" w:cstheme="minorEastAsia"/>
          <w:bCs/>
          <w:sz w:val="21"/>
          <w:szCs w:val="21"/>
        </w:rPr>
        <w:t>数据质量维护：确保现有数据库完整，字段结构不变，历史数据不丢失，能够正常使用并更新调整。</w:t>
      </w:r>
    </w:p>
    <w:p w14:paraId="48F3124F">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3.</w:t>
      </w:r>
      <w:r>
        <w:rPr>
          <w:rFonts w:hint="eastAsia" w:ascii="宋体" w:hAnsi="宋体" w:cstheme="minorEastAsia"/>
          <w:bCs/>
          <w:sz w:val="21"/>
          <w:szCs w:val="21"/>
        </w:rPr>
        <w:tab/>
      </w:r>
      <w:r>
        <w:rPr>
          <w:rFonts w:hint="eastAsia" w:ascii="宋体" w:hAnsi="宋体" w:cstheme="minorEastAsia"/>
          <w:bCs/>
          <w:sz w:val="21"/>
          <w:szCs w:val="21"/>
        </w:rPr>
        <w:t>迭代开发需求：新需求需基于现有数据与接口开发，优先新增扩展，不重构现有功能。</w:t>
      </w:r>
    </w:p>
    <w:p w14:paraId="62BAADE2">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4.</w:t>
      </w:r>
      <w:r>
        <w:rPr>
          <w:rFonts w:hint="eastAsia" w:ascii="宋体" w:hAnsi="宋体" w:cstheme="minorEastAsia"/>
          <w:bCs/>
          <w:sz w:val="21"/>
          <w:szCs w:val="21"/>
        </w:rPr>
        <w:tab/>
      </w:r>
      <w:r>
        <w:rPr>
          <w:rFonts w:hint="eastAsia" w:ascii="宋体" w:hAnsi="宋体" w:cstheme="minorEastAsia"/>
          <w:bCs/>
          <w:sz w:val="21"/>
          <w:szCs w:val="21"/>
        </w:rPr>
        <w:t>已嵌入生产流程要求：保障现有已嵌入生产的流程在研发过程中不受影响，例如例行巡检、变更操作等场景功能模块。</w:t>
      </w:r>
    </w:p>
    <w:p w14:paraId="06FA2EBB">
      <w:pPr>
        <w:pStyle w:val="5"/>
        <w:numPr>
          <w:ilvl w:val="1"/>
          <w:numId w:val="2"/>
        </w:numPr>
        <w:spacing w:after="156"/>
        <w:ind w:left="840" w:hanging="420"/>
        <w:rPr>
          <w:rFonts w:hint="eastAsia" w:cstheme="minorEastAsia"/>
          <w:b/>
          <w:sz w:val="21"/>
          <w:szCs w:val="21"/>
        </w:rPr>
      </w:pPr>
      <w:r>
        <w:rPr>
          <w:rFonts w:hint="eastAsia" w:cstheme="minorEastAsia"/>
          <w:b/>
          <w:sz w:val="21"/>
          <w:szCs w:val="21"/>
        </w:rPr>
        <w:t>对外接口能力要求</w:t>
      </w:r>
    </w:p>
    <w:p w14:paraId="46DF73C1">
      <w:pPr>
        <w:pStyle w:val="2"/>
        <w:spacing w:line="360" w:lineRule="auto"/>
        <w:ind w:firstLine="420" w:firstLineChars="200"/>
        <w:rPr>
          <w:rFonts w:hint="eastAsia" w:ascii="宋体" w:hAnsi="宋体" w:cs="宋体"/>
          <w:color w:val="000000"/>
          <w:kern w:val="0"/>
          <w:szCs w:val="21"/>
        </w:rPr>
      </w:pPr>
      <w:r>
        <w:rPr>
          <w:rFonts w:ascii="宋体" w:hAnsi="宋体" w:cs="宋体"/>
          <w:color w:val="000000"/>
          <w:kern w:val="0"/>
          <w:szCs w:val="21"/>
        </w:rPr>
        <w:t>通过DCOOS对外提供接口能力。接口能力详单如下：</w:t>
      </w:r>
    </w:p>
    <w:p w14:paraId="05689952">
      <w:pPr>
        <w:pStyle w:val="2"/>
        <w:spacing w:line="360" w:lineRule="auto"/>
        <w:rPr>
          <w:rFonts w:hint="eastAsia" w:ascii="宋体" w:hAnsi="宋体" w:cs="宋体"/>
          <w:color w:val="000000"/>
          <w:kern w:val="0"/>
          <w:szCs w:val="21"/>
        </w:rPr>
      </w:pPr>
      <w:r>
        <w:rPr>
          <w:rFonts w:ascii="宋体" w:hAnsi="宋体" w:cs="宋体"/>
          <w:color w:val="000000"/>
          <w:kern w:val="0"/>
          <w:szCs w:val="21"/>
        </w:rPr>
        <w:t>（1）故障诊断</w:t>
      </w:r>
    </w:p>
    <w:p w14:paraId="18CE88FA">
      <w:pPr>
        <w:pStyle w:val="2"/>
        <w:spacing w:line="360" w:lineRule="auto"/>
        <w:ind w:left="480" w:leftChars="200"/>
        <w:rPr>
          <w:rFonts w:hint="eastAsia" w:ascii="宋体" w:hAnsi="宋体" w:cs="宋体"/>
          <w:color w:val="000000"/>
          <w:kern w:val="0"/>
          <w:szCs w:val="21"/>
        </w:rPr>
      </w:pPr>
      <w:r>
        <w:rPr>
          <w:rFonts w:ascii="宋体" w:hAnsi="宋体" w:cs="宋体"/>
          <w:color w:val="000000"/>
          <w:kern w:val="0"/>
          <w:szCs w:val="21"/>
        </w:rPr>
        <w:t>提供获取故障中断详情、根据对象定位故障路由、故障根因定位、故障恢复分析接</w:t>
      </w:r>
      <w:r>
        <w:rPr>
          <w:rFonts w:hint="eastAsia" w:ascii="宋体" w:hAnsi="宋体" w:cs="宋体"/>
          <w:color w:val="000000"/>
          <w:kern w:val="0"/>
          <w:szCs w:val="21"/>
        </w:rPr>
        <w:t>口。</w:t>
      </w:r>
    </w:p>
    <w:p w14:paraId="46699C69">
      <w:pPr>
        <w:pStyle w:val="2"/>
        <w:spacing w:line="360" w:lineRule="auto"/>
        <w:rPr>
          <w:rFonts w:hint="eastAsia" w:ascii="宋体" w:hAnsi="宋体" w:cs="宋体"/>
          <w:color w:val="000000"/>
          <w:kern w:val="0"/>
          <w:szCs w:val="21"/>
        </w:rPr>
      </w:pPr>
      <w:r>
        <w:rPr>
          <w:rFonts w:ascii="宋体" w:hAnsi="宋体" w:cs="宋体"/>
          <w:color w:val="000000"/>
          <w:kern w:val="0"/>
          <w:szCs w:val="21"/>
        </w:rPr>
        <w:t>（2）隐患发现</w:t>
      </w:r>
    </w:p>
    <w:p w14:paraId="5CA24DD2">
      <w:pPr>
        <w:pStyle w:val="2"/>
        <w:spacing w:line="360" w:lineRule="auto"/>
        <w:ind w:left="480" w:leftChars="200"/>
        <w:rPr>
          <w:rFonts w:hint="eastAsia" w:ascii="宋体" w:hAnsi="宋体" w:cs="宋体"/>
          <w:color w:val="000000"/>
          <w:kern w:val="0"/>
          <w:szCs w:val="21"/>
        </w:rPr>
      </w:pPr>
      <w:r>
        <w:rPr>
          <w:rFonts w:ascii="宋体" w:hAnsi="宋体" w:cs="宋体"/>
          <w:color w:val="000000"/>
          <w:kern w:val="0"/>
          <w:szCs w:val="21"/>
        </w:rPr>
        <w:t>提供性能隐患、同路由隐患、巡检指标隐患发现、波道隐患</w:t>
      </w:r>
      <w:r>
        <w:rPr>
          <w:rFonts w:hint="eastAsia" w:ascii="宋体" w:hAnsi="宋体" w:cs="宋体"/>
          <w:color w:val="000000"/>
          <w:kern w:val="0"/>
          <w:szCs w:val="21"/>
        </w:rPr>
        <w:t>接口。</w:t>
      </w:r>
    </w:p>
    <w:p w14:paraId="59905DC9">
      <w:pPr>
        <w:pStyle w:val="2"/>
        <w:spacing w:line="360" w:lineRule="auto"/>
        <w:rPr>
          <w:rFonts w:hint="eastAsia" w:ascii="宋体" w:hAnsi="宋体" w:cs="宋体"/>
          <w:color w:val="000000"/>
          <w:kern w:val="0"/>
          <w:szCs w:val="21"/>
        </w:rPr>
      </w:pPr>
      <w:r>
        <w:rPr>
          <w:rFonts w:ascii="宋体" w:hAnsi="宋体" w:cs="宋体"/>
          <w:color w:val="000000"/>
          <w:kern w:val="0"/>
          <w:szCs w:val="21"/>
        </w:rPr>
        <w:t>（3）质量监测</w:t>
      </w:r>
    </w:p>
    <w:p w14:paraId="126AC276">
      <w:pPr>
        <w:pStyle w:val="2"/>
        <w:spacing w:line="360" w:lineRule="auto"/>
        <w:ind w:firstLine="420" w:firstLineChars="200"/>
        <w:rPr>
          <w:rFonts w:hint="eastAsia" w:ascii="宋体" w:hAnsi="宋体" w:cs="宋体"/>
          <w:color w:val="000000"/>
          <w:kern w:val="0"/>
          <w:szCs w:val="21"/>
        </w:rPr>
      </w:pPr>
      <w:r>
        <w:rPr>
          <w:rFonts w:ascii="宋体" w:hAnsi="宋体" w:cs="宋体"/>
          <w:color w:val="000000"/>
          <w:kern w:val="0"/>
          <w:szCs w:val="21"/>
        </w:rPr>
        <w:t>提供性能查询、告警查询、周期性传输关键指标质量监测</w:t>
      </w:r>
      <w:r>
        <w:rPr>
          <w:rFonts w:hint="eastAsia" w:ascii="宋体" w:hAnsi="宋体" w:cs="宋体"/>
          <w:color w:val="000000"/>
          <w:kern w:val="0"/>
          <w:szCs w:val="21"/>
        </w:rPr>
        <w:t>接口。</w:t>
      </w:r>
    </w:p>
    <w:p w14:paraId="24B2E590">
      <w:pPr>
        <w:pStyle w:val="2"/>
        <w:spacing w:line="360" w:lineRule="auto"/>
        <w:rPr>
          <w:rFonts w:hint="eastAsia" w:ascii="宋体" w:hAnsi="宋体" w:cs="宋体"/>
          <w:color w:val="000000"/>
          <w:kern w:val="0"/>
          <w:szCs w:val="21"/>
        </w:rPr>
      </w:pPr>
      <w:r>
        <w:rPr>
          <w:rFonts w:ascii="宋体" w:hAnsi="宋体" w:cs="宋体"/>
          <w:color w:val="000000"/>
          <w:kern w:val="0"/>
          <w:szCs w:val="21"/>
        </w:rPr>
        <w:t>（4）割接维护</w:t>
      </w:r>
    </w:p>
    <w:p w14:paraId="7E1D7DBB">
      <w:pPr>
        <w:pStyle w:val="2"/>
        <w:spacing w:line="360" w:lineRule="auto"/>
        <w:ind w:firstLine="420" w:firstLineChars="200"/>
        <w:rPr>
          <w:rFonts w:hint="eastAsia" w:ascii="宋体" w:hAnsi="宋体" w:cs="宋体"/>
          <w:color w:val="000000"/>
          <w:kern w:val="0"/>
          <w:szCs w:val="21"/>
        </w:rPr>
      </w:pPr>
      <w:r>
        <w:rPr>
          <w:rFonts w:ascii="宋体" w:hAnsi="宋体" w:cs="宋体"/>
          <w:color w:val="000000"/>
          <w:kern w:val="0"/>
          <w:szCs w:val="21"/>
        </w:rPr>
        <w:t>提供性能比对、告警比对、业务验证、业务冲突判断接口</w:t>
      </w:r>
      <w:r>
        <w:rPr>
          <w:rFonts w:hint="eastAsia" w:ascii="宋体" w:hAnsi="宋体" w:cs="宋体"/>
          <w:color w:val="000000"/>
          <w:kern w:val="0"/>
          <w:szCs w:val="21"/>
        </w:rPr>
        <w:t>。</w:t>
      </w:r>
    </w:p>
    <w:p w14:paraId="4C6D6685">
      <w:pPr>
        <w:pStyle w:val="2"/>
        <w:spacing w:line="360" w:lineRule="auto"/>
        <w:rPr>
          <w:rFonts w:hint="eastAsia" w:ascii="宋体" w:hAnsi="宋体" w:cs="宋体"/>
          <w:color w:val="000000"/>
          <w:kern w:val="0"/>
          <w:szCs w:val="21"/>
        </w:rPr>
      </w:pPr>
      <w:r>
        <w:rPr>
          <w:rFonts w:ascii="宋体" w:hAnsi="宋体" w:cs="宋体"/>
          <w:color w:val="000000"/>
          <w:kern w:val="0"/>
          <w:szCs w:val="21"/>
        </w:rPr>
        <w:t>（5）基础数据查询</w:t>
      </w:r>
    </w:p>
    <w:p w14:paraId="51496024">
      <w:pPr>
        <w:pStyle w:val="2"/>
        <w:spacing w:line="360" w:lineRule="auto"/>
        <w:ind w:firstLine="420" w:firstLineChars="200"/>
      </w:pPr>
      <w:r>
        <w:rPr>
          <w:rFonts w:hint="eastAsia" w:ascii="宋体" w:hAnsi="宋体" w:cs="宋体"/>
          <w:color w:val="000000"/>
          <w:kern w:val="0"/>
          <w:szCs w:val="21"/>
        </w:rPr>
        <w:t>提供</w:t>
      </w:r>
      <w:r>
        <w:rPr>
          <w:rFonts w:ascii="宋体" w:hAnsi="宋体" w:cs="宋体"/>
          <w:color w:val="000000"/>
          <w:kern w:val="0"/>
          <w:szCs w:val="21"/>
        </w:rPr>
        <w:t>光缆查询、光缆段查询、系统查询、系统段查询、设备查询、电路查询、电路路由查询、拓扑连接路由查询</w:t>
      </w:r>
      <w:r>
        <w:rPr>
          <w:rFonts w:hint="eastAsia" w:ascii="宋体" w:hAnsi="宋体" w:cs="宋体"/>
          <w:color w:val="000000"/>
          <w:kern w:val="0"/>
          <w:szCs w:val="21"/>
        </w:rPr>
        <w:t>接口。</w:t>
      </w:r>
    </w:p>
    <w:p w14:paraId="30122CFA">
      <w:pPr>
        <w:pStyle w:val="4"/>
        <w:numPr>
          <w:ilvl w:val="0"/>
          <w:numId w:val="0"/>
        </w:numPr>
        <w:spacing w:before="156" w:after="156"/>
        <w:ind w:left="440" w:hanging="440"/>
        <w:rPr>
          <w:rFonts w:hint="eastAsia" w:cstheme="minorEastAsia"/>
          <w:bCs w:val="0"/>
          <w:sz w:val="21"/>
          <w:szCs w:val="21"/>
        </w:rPr>
      </w:pPr>
      <w:r>
        <w:rPr>
          <w:rFonts w:hint="eastAsia" w:cstheme="minorEastAsia"/>
          <w:bCs w:val="0"/>
          <w:sz w:val="21"/>
          <w:szCs w:val="21"/>
        </w:rPr>
        <w:t>2.项目内容</w:t>
      </w:r>
    </w:p>
    <w:p w14:paraId="44544936">
      <w:pPr>
        <w:pStyle w:val="5"/>
        <w:numPr>
          <w:ilvl w:val="0"/>
          <w:numId w:val="3"/>
        </w:numPr>
        <w:spacing w:after="156"/>
        <w:ind w:left="432" w:hanging="432"/>
        <w:rPr>
          <w:rFonts w:hint="eastAsia" w:cstheme="minorEastAsia"/>
          <w:b/>
          <w:sz w:val="21"/>
          <w:szCs w:val="21"/>
        </w:rPr>
      </w:pPr>
      <w:r>
        <w:rPr>
          <w:rFonts w:hint="eastAsia" w:cstheme="minorEastAsia"/>
          <w:b/>
          <w:sz w:val="21"/>
          <w:szCs w:val="21"/>
        </w:rPr>
        <w:t>云网规划</w:t>
      </w:r>
    </w:p>
    <w:p w14:paraId="70898703">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2.1.1需求预测与评估</w:t>
      </w:r>
    </w:p>
    <w:p w14:paraId="670D7B98">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OCH波道路径自动规划，实现高效波道资源调度。</w:t>
      </w:r>
    </w:p>
    <w:p w14:paraId="0B4B59A7">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系统引用AI技术，自动根据洞察结果制作规划方案并自动输出给云网发展部系统，云网发展部人工审核通过后，将本次需求相关联工程项目进展关联呈现。</w:t>
      </w:r>
    </w:p>
    <w:p w14:paraId="64BB1091">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2.1.1方案规划与评估</w:t>
      </w:r>
    </w:p>
    <w:p w14:paraId="77776DA7">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对SDH线性复用段时隙使用率采集、分析，系统自动根据洞察结果提出需求预测，自动制定网络资源规划。</w:t>
      </w:r>
    </w:p>
    <w:p w14:paraId="3BB69DD9">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扩容完成后回执给维护部门系统，维护部门系统对扩容效果自动评估，如达到预期效果自动归档闭环。网络扩容规划覆盖率=&gt; 80%。</w:t>
      </w:r>
    </w:p>
    <w:p w14:paraId="67D2632C">
      <w:pPr>
        <w:pStyle w:val="5"/>
        <w:numPr>
          <w:ilvl w:val="0"/>
          <w:numId w:val="3"/>
        </w:numPr>
        <w:spacing w:after="156"/>
        <w:ind w:left="432" w:hanging="432"/>
        <w:rPr>
          <w:rFonts w:hint="eastAsia" w:cstheme="minorEastAsia"/>
          <w:b/>
          <w:sz w:val="21"/>
          <w:szCs w:val="21"/>
        </w:rPr>
      </w:pPr>
      <w:r>
        <w:rPr>
          <w:rFonts w:hint="eastAsia" w:cstheme="minorEastAsia"/>
          <w:b/>
          <w:sz w:val="21"/>
          <w:szCs w:val="21"/>
        </w:rPr>
        <w:t>云网建设-OTN精品专线CPE部署上线</w:t>
      </w:r>
    </w:p>
    <w:p w14:paraId="0D338AEB">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2.2.1集成设计与数据制作</w:t>
      </w:r>
    </w:p>
    <w:p w14:paraId="0D651D7C">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系统基于灵活规则设置，自动化完成精品专线CPE采集管理。</w:t>
      </w:r>
    </w:p>
    <w:p w14:paraId="7B28D5CA">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2.2.2云网安装部署</w:t>
      </w:r>
    </w:p>
    <w:p w14:paraId="689EABFA">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系统基于灵活规则设置，自动化完成精品专线CPE的安装部署验证。</w:t>
      </w:r>
    </w:p>
    <w:p w14:paraId="2A3890EE">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2.2.2云网配置与调测</w:t>
      </w:r>
    </w:p>
    <w:p w14:paraId="571CBEA5">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系统基于灵活规则设置，自动化完成精品专线CPE的配置与调测。</w:t>
      </w:r>
    </w:p>
    <w:p w14:paraId="04CAA506">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2.2.3验收交维</w:t>
      </w:r>
    </w:p>
    <w:p w14:paraId="6D298BED">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自动化完成设备纳管配置、稽核、功能验收、关键配置整改，规则可不断迭代。</w:t>
      </w:r>
    </w:p>
    <w:p w14:paraId="6DE9FE81">
      <w:pPr>
        <w:pStyle w:val="5"/>
        <w:numPr>
          <w:ilvl w:val="0"/>
          <w:numId w:val="3"/>
        </w:numPr>
        <w:spacing w:after="156"/>
        <w:ind w:left="432" w:hanging="432"/>
        <w:rPr>
          <w:rFonts w:hint="eastAsia" w:cstheme="minorEastAsia"/>
          <w:b/>
          <w:sz w:val="21"/>
          <w:szCs w:val="21"/>
        </w:rPr>
      </w:pPr>
      <w:r>
        <w:rPr>
          <w:rFonts w:hint="eastAsia" w:cstheme="minorEastAsia"/>
          <w:b/>
          <w:sz w:val="21"/>
          <w:szCs w:val="21"/>
        </w:rPr>
        <w:t>监控排障</w:t>
      </w:r>
    </w:p>
    <w:p w14:paraId="44D57AFF">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2.3.1故障识别</w:t>
      </w:r>
    </w:p>
    <w:p w14:paraId="4CDC6446">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1、运用传输智能体，根据用户意图完成基础信息查询类任务，包括业务/通道/系统相关的性能及状态信息、故障影响面清单、故障识别规则维护等，识别率≥80%。</w:t>
      </w:r>
    </w:p>
    <w:p w14:paraId="3DFFB0E4">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2、基于业务路径管理，提供业务端到端路径及其上下层关系查询能力；支持路径自主编排。</w:t>
      </w:r>
    </w:p>
    <w:p w14:paraId="1531DE0B">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3、封装传输智能体能力，提供意图解析能力原子/复合接口。</w:t>
      </w:r>
    </w:p>
    <w:p w14:paraId="351FFCDA">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2.3.2隐患发现</w:t>
      </w:r>
    </w:p>
    <w:p w14:paraId="2733FB28">
      <w:pPr>
        <w:spacing w:line="360" w:lineRule="auto"/>
        <w:ind w:firstLine="420" w:firstLineChars="200"/>
        <w:rPr>
          <w:rFonts w:hint="eastAsia" w:ascii="宋体" w:hAnsi="宋体" w:cstheme="minorEastAsia"/>
          <w:color w:val="FF0000"/>
          <w:sz w:val="21"/>
          <w:szCs w:val="21"/>
        </w:rPr>
      </w:pPr>
      <w:r>
        <w:rPr>
          <w:rFonts w:hint="eastAsia" w:ascii="宋体" w:hAnsi="宋体" w:cstheme="minorEastAsia"/>
          <w:sz w:val="21"/>
          <w:szCs w:val="21"/>
        </w:rPr>
        <w:t>1、利用传输智能体实现单网元/网络/业务级隐患分层自动识别，识别率≥80%。</w:t>
      </w:r>
    </w:p>
    <w:p w14:paraId="1036FDB5">
      <w:pPr>
        <w:spacing w:line="360" w:lineRule="auto"/>
        <w:ind w:firstLine="420" w:firstLineChars="200"/>
        <w:rPr>
          <w:rFonts w:hint="eastAsia" w:ascii="宋体" w:hAnsi="宋体" w:cstheme="minorEastAsia"/>
          <w:color w:val="000000" w:themeColor="text1"/>
          <w:sz w:val="21"/>
          <w:szCs w:val="21"/>
          <w14:textFill>
            <w14:solidFill>
              <w14:schemeClr w14:val="tx1"/>
            </w14:solidFill>
          </w14:textFill>
        </w:rPr>
      </w:pPr>
      <w:r>
        <w:rPr>
          <w:rFonts w:hint="eastAsia" w:ascii="宋体" w:hAnsi="宋体" w:cstheme="minorEastAsia"/>
          <w:color w:val="000000" w:themeColor="text1"/>
          <w:sz w:val="21"/>
          <w:szCs w:val="21"/>
          <w14:textFill>
            <w14:solidFill>
              <w14:schemeClr w14:val="tx1"/>
            </w14:solidFill>
          </w14:textFill>
        </w:rPr>
        <w:t>2、基于传输智能体，智能预测系统/链路/电路运行态势（包括光纤主光衰耗、二干波道光性能不同周期的变化趋势），发现隐患及时预警，并派发隐患消息（包含实时隐患、预测隐患）；</w:t>
      </w:r>
    </w:p>
    <w:p w14:paraId="28AFC9DE">
      <w:pPr>
        <w:spacing w:line="360" w:lineRule="auto"/>
        <w:ind w:firstLine="420" w:firstLineChars="200"/>
        <w:rPr>
          <w:rFonts w:hint="eastAsia" w:ascii="宋体" w:hAnsi="宋体" w:cstheme="minorEastAsia"/>
          <w:color w:val="000000" w:themeColor="text1"/>
          <w:sz w:val="21"/>
          <w:szCs w:val="21"/>
          <w14:textFill>
            <w14:solidFill>
              <w14:schemeClr w14:val="tx1"/>
            </w14:solidFill>
          </w14:textFill>
        </w:rPr>
      </w:pPr>
      <w:r>
        <w:rPr>
          <w:rFonts w:hint="eastAsia" w:ascii="宋体" w:hAnsi="宋体" w:cstheme="minorEastAsia"/>
          <w:color w:val="000000" w:themeColor="text1"/>
          <w:sz w:val="21"/>
          <w:szCs w:val="21"/>
          <w14:textFill>
            <w14:solidFill>
              <w14:schemeClr w14:val="tx1"/>
            </w14:solidFill>
          </w14:textFill>
        </w:rPr>
        <w:t>3、支持识别保护业务隐患（重要业务线路同路由、设备侧共单板）。</w:t>
      </w:r>
    </w:p>
    <w:p w14:paraId="7AE01D91">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2.3.3根因定位</w:t>
      </w:r>
    </w:p>
    <w:p w14:paraId="02DB2E4E">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1、利用传输智能体自动定界定位，精准分析业务影响并输出受影响业务列表及程度，故障根因定位率超 80%。</w:t>
      </w:r>
    </w:p>
    <w:p w14:paraId="2D8C05BB">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2、提供OTN业务端到端维护视图，提供故障一键定位能力。</w:t>
      </w:r>
    </w:p>
    <w:p w14:paraId="6FC4B4E5">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3、提供根因定位能力接口，支持确定性及预测性的故障定位能力。</w:t>
      </w:r>
    </w:p>
    <w:p w14:paraId="685C9D7D">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2.3.4修复方案生成及决策</w:t>
      </w:r>
    </w:p>
    <w:p w14:paraId="4412BE9E">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通过传输智能体，结合现网历史数据，制定优化调整方案，辅助人工决策，结合现网历史数据及特性推演故障影响，借助自动化 / 智能化手段制定优化调整方案，处置自动化率达 85% 以上 。</w:t>
      </w:r>
    </w:p>
    <w:p w14:paraId="1E27970E">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2.3.5故障修复并验证</w:t>
      </w:r>
    </w:p>
    <w:p w14:paraId="6FDABDE3">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提供故障规则编排能力，根据编排规则进行故障修复并验证，能自动实时对效果进行验证，验证率达到90%以上。</w:t>
      </w:r>
    </w:p>
    <w:p w14:paraId="35B3AA72">
      <w:pPr>
        <w:pStyle w:val="5"/>
        <w:numPr>
          <w:ilvl w:val="0"/>
          <w:numId w:val="3"/>
        </w:numPr>
        <w:spacing w:after="156"/>
        <w:ind w:left="432" w:hanging="432"/>
        <w:rPr>
          <w:rFonts w:hint="eastAsia" w:cstheme="minorEastAsia"/>
          <w:b/>
          <w:sz w:val="21"/>
          <w:szCs w:val="21"/>
        </w:rPr>
      </w:pPr>
      <w:r>
        <w:rPr>
          <w:rFonts w:hint="eastAsia" w:cstheme="minorEastAsia"/>
          <w:b/>
          <w:sz w:val="21"/>
          <w:szCs w:val="21"/>
        </w:rPr>
        <w:t>例行巡检</w:t>
      </w:r>
    </w:p>
    <w:p w14:paraId="489EB05B">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2.4.1巡检方案制定</w:t>
      </w:r>
    </w:p>
    <w:p w14:paraId="0AE05DD7">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1、巡检基准值管理，包括主光性能、误码率等重要指标，支持基准值编排。</w:t>
      </w:r>
    </w:p>
    <w:p w14:paraId="5C7CBF38">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2、支持个性化巡检方案定制，能力包括周期随选、系统/网元等目标对象自定义、命名规范/收发光/段衰耗等巡检指标自定义，并具备巡检日志功能。</w:t>
      </w:r>
    </w:p>
    <w:p w14:paraId="38C0B770">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3、通过传输智能体生成巡检方案，提供客户、重保等个性化巡检场景定制化巡检能力；具备巡检派单自动生成处理方案的能力。</w:t>
      </w:r>
    </w:p>
    <w:p w14:paraId="544A1356">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2.4.2巡检方案执行</w:t>
      </w:r>
    </w:p>
    <w:p w14:paraId="38D4A74E">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基于传输智能体生成的巡检方案，巡检方案可编排，通过巡检实现风险自动发现，巡检异常自动派单。巡检自动化执行率达90%以上</w:t>
      </w:r>
    </w:p>
    <w:p w14:paraId="512325BD">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2.4.3巡检结果分析及异常处理</w:t>
      </w:r>
    </w:p>
    <w:p w14:paraId="4C6BABA9">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通过传输智能体，对巡检结果进行自动分析，输出巡检异常结果，并对巡检异常结果，给出处理建议，风险/隐患处理建议自动化生成率=&gt; 95%。</w:t>
      </w:r>
    </w:p>
    <w:p w14:paraId="59A550BA">
      <w:pPr>
        <w:pStyle w:val="5"/>
        <w:numPr>
          <w:ilvl w:val="0"/>
          <w:numId w:val="3"/>
        </w:numPr>
        <w:spacing w:after="156"/>
        <w:ind w:left="432" w:hanging="432"/>
        <w:rPr>
          <w:rFonts w:hint="eastAsia" w:cstheme="minorEastAsia"/>
          <w:b/>
          <w:sz w:val="21"/>
          <w:szCs w:val="21"/>
        </w:rPr>
      </w:pPr>
      <w:r>
        <w:rPr>
          <w:rFonts w:hint="eastAsia" w:cstheme="minorEastAsia"/>
          <w:b/>
          <w:sz w:val="21"/>
          <w:szCs w:val="21"/>
        </w:rPr>
        <w:t>割接维护</w:t>
      </w:r>
    </w:p>
    <w:p w14:paraId="3616E3B6">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2.5.1变更方案设计</w:t>
      </w:r>
    </w:p>
    <w:p w14:paraId="272A856D">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通过传输智能体，变更操作设计方案自动生成。实现网络变更设计场景覆盖率70%。</w:t>
      </w:r>
    </w:p>
    <w:p w14:paraId="254D64F1">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2.5.2风险评估决策</w:t>
      </w:r>
    </w:p>
    <w:p w14:paraId="252629D3">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基于传输智能体实现风险自动评估、风险处置方案智能决策。冲突判断准确率&gt;95%。</w:t>
      </w:r>
    </w:p>
    <w:p w14:paraId="441F46F0">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2.5.3变更操作</w:t>
      </w:r>
    </w:p>
    <w:p w14:paraId="7EF1435E">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提供部分场景自动操作能力，根据专家知识经验学习，提供变更操作注意事项；提供发现异常自动回退、自动通知能力。</w:t>
      </w:r>
    </w:p>
    <w:p w14:paraId="08B279B8">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2.5.4业务验证</w:t>
      </w:r>
    </w:p>
    <w:p w14:paraId="41F43207">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根据影响对象或影响业务清单，通过场景化AI智能配置规则识别网络和业务状态的能力，发起业务测试的能力。系统自动完成90%步骤智能验证。</w:t>
      </w:r>
    </w:p>
    <w:p w14:paraId="50301A7F">
      <w:pPr>
        <w:pStyle w:val="5"/>
        <w:numPr>
          <w:ilvl w:val="0"/>
          <w:numId w:val="3"/>
        </w:numPr>
        <w:spacing w:after="156"/>
        <w:ind w:left="432" w:hanging="432"/>
        <w:rPr>
          <w:rFonts w:hint="eastAsia" w:cstheme="minorEastAsia"/>
          <w:b/>
          <w:sz w:val="21"/>
          <w:szCs w:val="21"/>
        </w:rPr>
      </w:pPr>
      <w:r>
        <w:rPr>
          <w:rFonts w:hint="eastAsia" w:cstheme="minorEastAsia"/>
          <w:b/>
          <w:sz w:val="21"/>
          <w:szCs w:val="21"/>
        </w:rPr>
        <w:t>网络及业务质量优化</w:t>
      </w:r>
    </w:p>
    <w:p w14:paraId="60755FD0">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2.6.1质量监测</w:t>
      </w:r>
    </w:p>
    <w:p w14:paraId="11E99B10">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1、根据可配置规则采集，采集成功率≥95%</w:t>
      </w:r>
    </w:p>
    <w:p w14:paraId="49EE68E3">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2、性能基准值与趋势预测：能够根据用户意图生成基准值、门限值，并进行性能趋势预测。</w:t>
      </w:r>
    </w:p>
    <w:p w14:paraId="5A3AAF85">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3、接口：匹配用户需求和采集策略，通过主/被动方式输出。</w:t>
      </w:r>
    </w:p>
    <w:p w14:paraId="186C601A">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2.6.2质差问题识别</w:t>
      </w:r>
    </w:p>
    <w:p w14:paraId="10AF96AC">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1、利用传输智能体实现单网元/网络/业务级质差自动识别，识别精度≥80%。</w:t>
      </w:r>
    </w:p>
    <w:p w14:paraId="3B33F411">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2、规则：能够使用专家经验、历史记录训练质差识别规则。</w:t>
      </w:r>
    </w:p>
    <w:p w14:paraId="5326F0C3">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3、识别：按规则识别质差问题后产生事件。</w:t>
      </w:r>
    </w:p>
    <w:p w14:paraId="17EF58B6">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4、影响面分析：能够根据多维度确认质差实际影响面。</w:t>
      </w:r>
    </w:p>
    <w:p w14:paraId="542AF8DC">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5、接口：通过主/被动方式输出。</w:t>
      </w:r>
    </w:p>
    <w:p w14:paraId="0F99F959">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2.6.3质差问题定位</w:t>
      </w:r>
    </w:p>
    <w:p w14:paraId="20FF949D">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1、利用传输智能体自动定界定位，精准分析业务影响并输出受影响业务列表及程度，质差问题定位率超 80%。</w:t>
      </w:r>
    </w:p>
    <w:p w14:paraId="07F5173E">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 规则：能够使用专家经验、历史记录训练质差定位规则。</w:t>
      </w:r>
    </w:p>
    <w:p w14:paraId="60894E95">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 接口：通过主/被动方式输出</w:t>
      </w:r>
    </w:p>
    <w:p w14:paraId="0E9898A7">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2.6.4优化方案生成及决策</w:t>
      </w:r>
    </w:p>
    <w:p w14:paraId="0F24EF13">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通过大模型、数字孪生或其他自动化手段，结合现网历史数据及特性推演影响，依定位提出针对网络对象的修复方案，并借助自动化 / 智能化手段评估方案可行性、优化调整方案，方案生成自动化率达 85% 以上 。根据可配置规则或场景化AI智能配置规则给出优化方案建议，仿真验证。1.生成式方案：能够根据训练生成优化方案，并由用户调优。2.动作编排：能够根据方案编排动作</w:t>
      </w:r>
    </w:p>
    <w:p w14:paraId="16F46C6B">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3.方案仿真：能够通过网络仿真方式（如OCh E2E OSNR计算）评估方案可行性。</w:t>
      </w:r>
    </w:p>
    <w:p w14:paraId="39F00768">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2.6.5优化实施及效果验证</w:t>
      </w:r>
    </w:p>
    <w:p w14:paraId="48590602">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1、能提供方案实施接口供流程编排系统调用；方案实施后能自动实时对效果进行验证，验证率达到90%以上</w:t>
      </w:r>
    </w:p>
    <w:p w14:paraId="1A4863C7">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根据可配置规则自动评估实施结果，部分场景按用户要求自动编排实施</w:t>
      </w:r>
    </w:p>
    <w:p w14:paraId="66289618">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1. 动作编排：能够校验编排动作合理性</w:t>
      </w:r>
    </w:p>
    <w:p w14:paraId="3E12F787">
      <w:pPr>
        <w:spacing w:line="360" w:lineRule="auto"/>
        <w:ind w:firstLine="420" w:firstLineChars="200"/>
        <w:rPr>
          <w:rFonts w:hint="eastAsia" w:ascii="宋体" w:hAnsi="宋体" w:cstheme="minorEastAsia"/>
          <w:sz w:val="21"/>
          <w:szCs w:val="21"/>
        </w:rPr>
      </w:pPr>
      <w:r>
        <w:rPr>
          <w:rFonts w:hint="eastAsia" w:ascii="宋体" w:hAnsi="宋体" w:cstheme="minorEastAsia"/>
          <w:sz w:val="21"/>
          <w:szCs w:val="21"/>
        </w:rPr>
        <w:t>2. 动作回退：能够编排回退动作并校验回退动作合理性</w:t>
      </w:r>
    </w:p>
    <w:p w14:paraId="78AEC397">
      <w:pPr>
        <w:pStyle w:val="5"/>
        <w:numPr>
          <w:ilvl w:val="0"/>
          <w:numId w:val="3"/>
        </w:numPr>
        <w:spacing w:after="156"/>
        <w:ind w:left="432" w:hanging="432"/>
        <w:rPr>
          <w:rFonts w:hint="eastAsia" w:cstheme="minorEastAsia"/>
          <w:b/>
          <w:sz w:val="21"/>
          <w:szCs w:val="21"/>
        </w:rPr>
      </w:pPr>
      <w:r>
        <w:rPr>
          <w:rFonts w:hint="eastAsia" w:cstheme="minorEastAsia"/>
          <w:b/>
          <w:sz w:val="21"/>
          <w:szCs w:val="21"/>
        </w:rPr>
        <w:t>消息平台</w:t>
      </w:r>
    </w:p>
    <w:p w14:paraId="639277FB">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2.7.1基准值管理</w:t>
      </w:r>
    </w:p>
    <w:p w14:paraId="0511C967">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具备全网基准值管理工具，包含传输各项性能指标基准值查看编辑控制，并与消息平台联动。</w:t>
      </w:r>
    </w:p>
    <w:p w14:paraId="16683981">
      <w:pPr>
        <w:pStyle w:val="3"/>
        <w:numPr>
          <w:ilvl w:val="0"/>
          <w:numId w:val="0"/>
        </w:numPr>
        <w:spacing w:line="360" w:lineRule="auto"/>
        <w:rPr>
          <w:rFonts w:hint="eastAsia" w:ascii="宋体" w:hAnsi="宋体" w:eastAsia="宋体" w:cstheme="minorEastAsia"/>
          <w:bCs w:val="0"/>
          <w:sz w:val="21"/>
          <w:szCs w:val="21"/>
        </w:rPr>
      </w:pPr>
      <w:r>
        <w:rPr>
          <w:rFonts w:hint="eastAsia" w:ascii="宋体" w:hAnsi="宋体" w:eastAsia="宋体" w:cstheme="minorEastAsia"/>
          <w:bCs w:val="0"/>
          <w:sz w:val="21"/>
          <w:szCs w:val="21"/>
        </w:rPr>
        <w:t>2.7.2消息平台</w:t>
      </w:r>
    </w:p>
    <w:p w14:paraId="3772CF79">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能够进行消息配送配置，配置类型包括云网自智六大场景、各种检查子项，具备三方系统对接使用能力。</w:t>
      </w:r>
    </w:p>
    <w:p w14:paraId="4A8E24FB">
      <w:pPr>
        <w:pStyle w:val="5"/>
        <w:numPr>
          <w:ilvl w:val="0"/>
          <w:numId w:val="3"/>
        </w:numPr>
        <w:spacing w:after="156"/>
        <w:ind w:left="432" w:hanging="432"/>
        <w:rPr>
          <w:rFonts w:hint="eastAsia" w:cstheme="minorEastAsia"/>
          <w:b/>
          <w:sz w:val="21"/>
          <w:szCs w:val="21"/>
        </w:rPr>
      </w:pPr>
      <w:r>
        <w:rPr>
          <w:rFonts w:hint="eastAsia" w:cstheme="minorEastAsia"/>
          <w:b/>
          <w:sz w:val="21"/>
          <w:szCs w:val="21"/>
        </w:rPr>
        <w:t>知识库</w:t>
      </w:r>
    </w:p>
    <w:p w14:paraId="4A2D8AB9">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建立传输编排中心，其中包含告警知识库、告警知识库管理、故障规则识别库、设备知识库、板卡知识库等。</w:t>
      </w:r>
    </w:p>
    <w:p w14:paraId="502FB75E">
      <w:pPr>
        <w:pStyle w:val="5"/>
        <w:numPr>
          <w:ilvl w:val="0"/>
          <w:numId w:val="3"/>
        </w:numPr>
        <w:spacing w:after="156"/>
        <w:ind w:left="432" w:hanging="432"/>
        <w:rPr>
          <w:rFonts w:hint="eastAsia" w:cstheme="minorEastAsia"/>
          <w:b/>
          <w:sz w:val="21"/>
          <w:szCs w:val="21"/>
        </w:rPr>
      </w:pPr>
      <w:r>
        <w:rPr>
          <w:rFonts w:hint="eastAsia" w:cstheme="minorEastAsia"/>
          <w:b/>
          <w:sz w:val="21"/>
          <w:szCs w:val="21"/>
        </w:rPr>
        <w:t>电信L1上云标准</w:t>
      </w:r>
    </w:p>
    <w:p w14:paraId="519A7B05">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本项目应满足电信L1上云标准：</w:t>
      </w:r>
    </w:p>
    <w:p w14:paraId="2E6E61E8">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1. 系统完成去IOE及去Weblogic、Websphere等商业软件，在统一PaaS平台纳管完成前已经完成去IOE的视同为L1。</w:t>
      </w:r>
    </w:p>
    <w:p w14:paraId="5BAEDB1E">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2. 使用统一PaaS清单内组件。</w:t>
      </w:r>
    </w:p>
    <w:p w14:paraId="5E1905EF">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3. 系统全量代码托管到云道平台，实现代码的质量与安全管理。</w:t>
      </w:r>
    </w:p>
    <w:p w14:paraId="01057B38">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4. 在不增加应用改造成本前提下，使用云道打造持续交付能力，提升自动化交付能力。</w:t>
      </w:r>
    </w:p>
    <w:p w14:paraId="4A54BB35">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5. 在不增加应用改造成本前提下，使用云眼提升自动化运维能力。</w:t>
      </w:r>
    </w:p>
    <w:p w14:paraId="6DDBBF06">
      <w:pPr>
        <w:pStyle w:val="5"/>
        <w:numPr>
          <w:ilvl w:val="0"/>
          <w:numId w:val="3"/>
        </w:numPr>
        <w:spacing w:after="156"/>
        <w:ind w:left="432" w:hanging="432"/>
        <w:rPr>
          <w:rFonts w:hint="eastAsia" w:cstheme="minorEastAsia"/>
          <w:b/>
          <w:sz w:val="21"/>
          <w:szCs w:val="21"/>
        </w:rPr>
      </w:pPr>
      <w:r>
        <w:rPr>
          <w:rFonts w:hint="eastAsia" w:cstheme="minorEastAsia"/>
          <w:b/>
          <w:sz w:val="21"/>
          <w:szCs w:val="21"/>
        </w:rPr>
        <w:t>传输网资数据</w:t>
      </w:r>
    </w:p>
    <w:p w14:paraId="2E7C33CB">
      <w:pPr>
        <w:spacing w:line="360" w:lineRule="auto"/>
        <w:ind w:firstLine="420" w:firstLineChars="200"/>
        <w:rPr>
          <w:rFonts w:hint="eastAsia" w:ascii="宋体" w:hAnsi="宋体" w:cstheme="minorEastAsia"/>
          <w:bCs/>
          <w:sz w:val="21"/>
          <w:szCs w:val="21"/>
        </w:rPr>
      </w:pPr>
      <w:r>
        <w:rPr>
          <w:rFonts w:hint="eastAsia" w:ascii="宋体" w:hAnsi="宋体" w:cstheme="minorEastAsia"/>
          <w:bCs/>
          <w:sz w:val="21"/>
          <w:szCs w:val="21"/>
        </w:rPr>
        <w:t>能够提供目前已有系统中的OTN系统OMS绑定关系，沿用相关能力进行运维，并在此基础上进行相关能力研发。</w:t>
      </w:r>
    </w:p>
    <w:p w14:paraId="2F9EAC02">
      <w:pPr>
        <w:pStyle w:val="4"/>
        <w:numPr>
          <w:ilvl w:val="0"/>
          <w:numId w:val="0"/>
        </w:numPr>
        <w:spacing w:before="156" w:after="156"/>
        <w:ind w:left="440" w:hanging="440"/>
        <w:rPr>
          <w:rFonts w:hint="eastAsia" w:cstheme="minorEastAsia"/>
          <w:bCs w:val="0"/>
          <w:sz w:val="21"/>
          <w:szCs w:val="21"/>
        </w:rPr>
      </w:pPr>
      <w:r>
        <w:rPr>
          <w:rFonts w:hint="eastAsia" w:cstheme="minorEastAsia"/>
          <w:bCs w:val="0"/>
          <w:sz w:val="21"/>
          <w:szCs w:val="21"/>
        </w:rPr>
        <w:t>3.非功能性技术规范</w:t>
      </w:r>
    </w:p>
    <w:p w14:paraId="7539A02A">
      <w:pPr>
        <w:pStyle w:val="5"/>
        <w:numPr>
          <w:ilvl w:val="0"/>
          <w:numId w:val="0"/>
        </w:numPr>
        <w:spacing w:after="156"/>
        <w:rPr>
          <w:rFonts w:hint="eastAsia" w:cs="宋体"/>
          <w:b/>
          <w:bCs/>
          <w:color w:val="000000"/>
          <w:sz w:val="21"/>
          <w:szCs w:val="21"/>
        </w:rPr>
      </w:pPr>
      <w:r>
        <w:rPr>
          <w:rFonts w:hint="eastAsia" w:cs="宋体"/>
          <w:b/>
          <w:bCs/>
          <w:color w:val="000000"/>
          <w:sz w:val="21"/>
          <w:szCs w:val="21"/>
        </w:rPr>
        <w:t>3.1性能规范</w:t>
      </w:r>
    </w:p>
    <w:p w14:paraId="3EC26A7D">
      <w:pPr>
        <w:tabs>
          <w:tab w:val="left" w:pos="2586"/>
        </w:tabs>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（1）响应时间</w:t>
      </w:r>
      <w:r>
        <w:rPr>
          <w:rFonts w:hint="eastAsia" w:ascii="宋体" w:hAnsi="宋体" w:cs="宋体"/>
          <w:color w:val="000000"/>
          <w:sz w:val="21"/>
          <w:szCs w:val="21"/>
        </w:rPr>
        <w:tab/>
      </w:r>
    </w:p>
    <w:p w14:paraId="437C015F">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用户发起请求到系统返回响应所需的时间。较短的响应时间可以提高用户体验，通常目标是保持在1秒以内。</w:t>
      </w:r>
    </w:p>
    <w:p w14:paraId="074D69B0">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目标值：≤ 2000ms（核心接口）</w:t>
      </w:r>
    </w:p>
    <w:p w14:paraId="3FDC460D">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可接受范围：500ms ~ 3000ms（部分复杂操作）</w:t>
      </w:r>
    </w:p>
    <w:p w14:paraId="007834A6">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（2）吞吐量</w:t>
      </w:r>
    </w:p>
    <w:p w14:paraId="1E886234">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单位时间内系统处理的请求数量，通常以每秒请求数（RPS）或每秒事务数（TPS）表示。高吞吐量意味着系统能够处理更多的用户请求，是评估系统容量的重要指标。</w:t>
      </w:r>
    </w:p>
    <w:p w14:paraId="712C2A93">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预期值：1000 TPS（每秒事务数）</w:t>
      </w:r>
    </w:p>
    <w:p w14:paraId="466A2BE5">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峰值需求：2000 TPS（在高峰时刻）</w:t>
      </w:r>
    </w:p>
    <w:p w14:paraId="7222D45E">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（3）并发用户数</w:t>
      </w:r>
    </w:p>
    <w:p w14:paraId="3D3A14BB">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系统能同时处理的用户数量。测试系统在高并发情况下的稳定性和性能，确保系统不会因用户数量增加而崩溃。</w:t>
      </w:r>
    </w:p>
    <w:p w14:paraId="783A2A10">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初始测试：1并发用户</w:t>
      </w:r>
    </w:p>
    <w:p w14:paraId="6A6CA9BC">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中级测试：3并发用户</w:t>
      </w:r>
    </w:p>
    <w:p w14:paraId="65B8904C">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高压测试：5并发用户</w:t>
      </w:r>
    </w:p>
    <w:p w14:paraId="7484AF3D">
      <w:pPr>
        <w:pStyle w:val="5"/>
        <w:numPr>
          <w:ilvl w:val="0"/>
          <w:numId w:val="0"/>
        </w:numPr>
        <w:spacing w:after="156"/>
        <w:rPr>
          <w:rFonts w:hint="eastAsia"/>
          <w:b/>
          <w:bCs/>
          <w:sz w:val="21"/>
          <w:szCs w:val="21"/>
        </w:rPr>
      </w:pPr>
      <w:r>
        <w:rPr>
          <w:rFonts w:hint="eastAsia" w:cs="宋体"/>
          <w:b/>
          <w:bCs/>
          <w:color w:val="000000"/>
          <w:sz w:val="21"/>
          <w:szCs w:val="21"/>
        </w:rPr>
        <w:t>3.2兼容性规范</w:t>
      </w:r>
    </w:p>
    <w:tbl>
      <w:tblPr>
        <w:tblStyle w:val="7"/>
        <w:tblW w:w="8600" w:type="dxa"/>
        <w:tblInd w:w="113" w:type="dxa"/>
        <w:tblLayout w:type="autofit"/>
        <w:tblCellMar>
          <w:top w:w="0" w:type="dxa"/>
          <w:left w:w="108" w:type="dxa"/>
          <w:bottom w:w="0" w:type="dxa"/>
          <w:right w:w="108" w:type="dxa"/>
        </w:tblCellMar>
      </w:tblPr>
      <w:tblGrid>
        <w:gridCol w:w="1900"/>
        <w:gridCol w:w="1740"/>
        <w:gridCol w:w="2020"/>
        <w:gridCol w:w="1360"/>
        <w:gridCol w:w="820"/>
        <w:gridCol w:w="760"/>
      </w:tblGrid>
      <w:tr w14:paraId="6840961B">
        <w:tblPrEx>
          <w:tblCellMar>
            <w:top w:w="0" w:type="dxa"/>
            <w:left w:w="108" w:type="dxa"/>
            <w:bottom w:w="0" w:type="dxa"/>
            <w:right w:w="108" w:type="dxa"/>
          </w:tblCellMar>
        </w:tblPrEx>
        <w:trPr>
          <w:trHeight w:val="280" w:hRule="atLeast"/>
        </w:trPr>
        <w:tc>
          <w:tcPr>
            <w:tcW w:w="1900" w:type="dxa"/>
            <w:tcBorders>
              <w:top w:val="single" w:color="auto" w:sz="4" w:space="0"/>
              <w:left w:val="single" w:color="auto" w:sz="4" w:space="0"/>
              <w:bottom w:val="single" w:color="auto" w:sz="4" w:space="0"/>
              <w:right w:val="single" w:color="auto" w:sz="4" w:space="0"/>
            </w:tcBorders>
            <w:noWrap/>
            <w:vAlign w:val="bottom"/>
          </w:tcPr>
          <w:p w14:paraId="2143AC20">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浏览器</w:t>
            </w:r>
          </w:p>
        </w:tc>
        <w:tc>
          <w:tcPr>
            <w:tcW w:w="1740" w:type="dxa"/>
            <w:tcBorders>
              <w:top w:val="single" w:color="auto" w:sz="4" w:space="0"/>
              <w:left w:val="nil"/>
              <w:bottom w:val="single" w:color="auto" w:sz="4" w:space="0"/>
              <w:right w:val="single" w:color="auto" w:sz="4" w:space="0"/>
            </w:tcBorders>
            <w:noWrap/>
            <w:vAlign w:val="bottom"/>
          </w:tcPr>
          <w:p w14:paraId="3C2F0FEE">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版本</w:t>
            </w:r>
          </w:p>
        </w:tc>
        <w:tc>
          <w:tcPr>
            <w:tcW w:w="2020" w:type="dxa"/>
            <w:tcBorders>
              <w:top w:val="single" w:color="auto" w:sz="4" w:space="0"/>
              <w:left w:val="nil"/>
              <w:bottom w:val="single" w:color="auto" w:sz="4" w:space="0"/>
              <w:right w:val="single" w:color="auto" w:sz="4" w:space="0"/>
            </w:tcBorders>
            <w:noWrap/>
            <w:vAlign w:val="bottom"/>
          </w:tcPr>
          <w:p w14:paraId="74830229">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操作系统</w:t>
            </w:r>
          </w:p>
        </w:tc>
        <w:tc>
          <w:tcPr>
            <w:tcW w:w="1360" w:type="dxa"/>
            <w:tcBorders>
              <w:top w:val="single" w:color="auto" w:sz="4" w:space="0"/>
              <w:left w:val="nil"/>
              <w:bottom w:val="single" w:color="auto" w:sz="4" w:space="0"/>
              <w:right w:val="single" w:color="auto" w:sz="4" w:space="0"/>
            </w:tcBorders>
            <w:noWrap/>
            <w:vAlign w:val="bottom"/>
          </w:tcPr>
          <w:p w14:paraId="60F6E3E4">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版本</w:t>
            </w:r>
          </w:p>
        </w:tc>
        <w:tc>
          <w:tcPr>
            <w:tcW w:w="820" w:type="dxa"/>
            <w:tcBorders>
              <w:top w:val="single" w:color="auto" w:sz="4" w:space="0"/>
              <w:left w:val="nil"/>
              <w:bottom w:val="single" w:color="auto" w:sz="4" w:space="0"/>
              <w:right w:val="single" w:color="auto" w:sz="4" w:space="0"/>
            </w:tcBorders>
            <w:noWrap/>
            <w:vAlign w:val="bottom"/>
          </w:tcPr>
          <w:p w14:paraId="7A918B8C">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设备</w:t>
            </w:r>
          </w:p>
        </w:tc>
        <w:tc>
          <w:tcPr>
            <w:tcW w:w="760" w:type="dxa"/>
            <w:tcBorders>
              <w:top w:val="single" w:color="auto" w:sz="4" w:space="0"/>
              <w:left w:val="nil"/>
              <w:bottom w:val="single" w:color="auto" w:sz="4" w:space="0"/>
              <w:right w:val="single" w:color="auto" w:sz="4" w:space="0"/>
            </w:tcBorders>
            <w:noWrap/>
            <w:vAlign w:val="bottom"/>
          </w:tcPr>
          <w:p w14:paraId="3CA38560">
            <w:pPr>
              <w:widowControl/>
              <w:jc w:val="left"/>
              <w:rPr>
                <w:rFonts w:hint="eastAsia" w:ascii="宋体" w:hAnsi="宋体" w:cs="宋体"/>
                <w:b/>
                <w:bCs/>
                <w:color w:val="000000"/>
                <w:kern w:val="0"/>
                <w:sz w:val="21"/>
                <w:szCs w:val="21"/>
              </w:rPr>
            </w:pPr>
            <w:r>
              <w:rPr>
                <w:rFonts w:hint="eastAsia" w:ascii="宋体" w:hAnsi="宋体" w:cs="宋体"/>
                <w:b/>
                <w:bCs/>
                <w:color w:val="000000"/>
                <w:kern w:val="0"/>
                <w:sz w:val="21"/>
                <w:szCs w:val="21"/>
              </w:rPr>
              <w:t>型号</w:t>
            </w:r>
          </w:p>
        </w:tc>
      </w:tr>
      <w:tr w14:paraId="5452EDCE">
        <w:tblPrEx>
          <w:tblCellMar>
            <w:top w:w="0" w:type="dxa"/>
            <w:left w:w="108" w:type="dxa"/>
            <w:bottom w:w="0" w:type="dxa"/>
            <w:right w:w="108" w:type="dxa"/>
          </w:tblCellMar>
        </w:tblPrEx>
        <w:trPr>
          <w:trHeight w:val="280" w:hRule="atLeast"/>
        </w:trPr>
        <w:tc>
          <w:tcPr>
            <w:tcW w:w="1900" w:type="dxa"/>
            <w:tcBorders>
              <w:top w:val="nil"/>
              <w:left w:val="single" w:color="auto" w:sz="4" w:space="0"/>
              <w:bottom w:val="single" w:color="auto" w:sz="4" w:space="0"/>
              <w:right w:val="single" w:color="auto" w:sz="4" w:space="0"/>
            </w:tcBorders>
            <w:noWrap/>
            <w:vAlign w:val="bottom"/>
          </w:tcPr>
          <w:p w14:paraId="10CB68AC">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Google Chrome</w:t>
            </w:r>
          </w:p>
        </w:tc>
        <w:tc>
          <w:tcPr>
            <w:tcW w:w="1740" w:type="dxa"/>
            <w:tcBorders>
              <w:top w:val="nil"/>
              <w:left w:val="nil"/>
              <w:bottom w:val="single" w:color="auto" w:sz="4" w:space="0"/>
              <w:right w:val="single" w:color="auto" w:sz="4" w:space="0"/>
            </w:tcBorders>
            <w:noWrap/>
            <w:vAlign w:val="bottom"/>
          </w:tcPr>
          <w:p w14:paraId="667B404F">
            <w:pPr>
              <w:widowControl/>
              <w:jc w:val="left"/>
              <w:rPr>
                <w:rFonts w:hint="eastAsia" w:ascii="宋体" w:hAnsi="宋体" w:cs="宋体"/>
                <w:color w:val="000000"/>
                <w:kern w:val="0"/>
                <w:sz w:val="21"/>
                <w:szCs w:val="21"/>
              </w:rPr>
            </w:pPr>
          </w:p>
        </w:tc>
        <w:tc>
          <w:tcPr>
            <w:tcW w:w="2020" w:type="dxa"/>
            <w:tcBorders>
              <w:top w:val="nil"/>
              <w:left w:val="nil"/>
              <w:bottom w:val="single" w:color="auto" w:sz="4" w:space="0"/>
              <w:right w:val="single" w:color="auto" w:sz="4" w:space="0"/>
            </w:tcBorders>
            <w:noWrap/>
            <w:vAlign w:val="bottom"/>
          </w:tcPr>
          <w:p w14:paraId="215F0EE3">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Windows</w:t>
            </w:r>
          </w:p>
        </w:tc>
        <w:tc>
          <w:tcPr>
            <w:tcW w:w="1360" w:type="dxa"/>
            <w:tcBorders>
              <w:top w:val="nil"/>
              <w:left w:val="nil"/>
              <w:bottom w:val="single" w:color="auto" w:sz="4" w:space="0"/>
              <w:right w:val="single" w:color="auto" w:sz="4" w:space="0"/>
            </w:tcBorders>
            <w:noWrap/>
            <w:vAlign w:val="bottom"/>
          </w:tcPr>
          <w:p w14:paraId="56CADB6D">
            <w:pPr>
              <w:widowControl/>
              <w:jc w:val="left"/>
              <w:rPr>
                <w:rFonts w:hint="eastAsia" w:ascii="宋体" w:hAnsi="宋体" w:cs="宋体"/>
                <w:color w:val="000000"/>
                <w:kern w:val="0"/>
                <w:sz w:val="21"/>
                <w:szCs w:val="21"/>
              </w:rPr>
            </w:pPr>
          </w:p>
        </w:tc>
        <w:tc>
          <w:tcPr>
            <w:tcW w:w="820" w:type="dxa"/>
            <w:tcBorders>
              <w:top w:val="nil"/>
              <w:left w:val="nil"/>
              <w:bottom w:val="single" w:color="auto" w:sz="4" w:space="0"/>
              <w:right w:val="single" w:color="auto" w:sz="4" w:space="0"/>
            </w:tcBorders>
            <w:noWrap/>
            <w:vAlign w:val="bottom"/>
          </w:tcPr>
          <w:p w14:paraId="3F50D0F2">
            <w:pPr>
              <w:widowControl/>
              <w:jc w:val="left"/>
              <w:rPr>
                <w:rFonts w:hint="eastAsia" w:ascii="宋体" w:hAnsi="宋体" w:cs="宋体"/>
                <w:color w:val="000000"/>
                <w:kern w:val="0"/>
                <w:sz w:val="21"/>
                <w:szCs w:val="21"/>
              </w:rPr>
            </w:pPr>
          </w:p>
        </w:tc>
        <w:tc>
          <w:tcPr>
            <w:tcW w:w="760" w:type="dxa"/>
            <w:tcBorders>
              <w:top w:val="nil"/>
              <w:left w:val="nil"/>
              <w:bottom w:val="single" w:color="auto" w:sz="4" w:space="0"/>
              <w:right w:val="single" w:color="auto" w:sz="4" w:space="0"/>
            </w:tcBorders>
            <w:noWrap/>
            <w:vAlign w:val="bottom"/>
          </w:tcPr>
          <w:p w14:paraId="1A6CA06B">
            <w:pPr>
              <w:widowControl/>
              <w:jc w:val="left"/>
              <w:rPr>
                <w:rFonts w:hint="eastAsia" w:ascii="宋体" w:hAnsi="宋体" w:cs="宋体"/>
                <w:color w:val="000000"/>
                <w:kern w:val="0"/>
                <w:sz w:val="21"/>
                <w:szCs w:val="21"/>
              </w:rPr>
            </w:pPr>
          </w:p>
        </w:tc>
      </w:tr>
      <w:tr w14:paraId="18F29317">
        <w:tblPrEx>
          <w:tblCellMar>
            <w:top w:w="0" w:type="dxa"/>
            <w:left w:w="108" w:type="dxa"/>
            <w:bottom w:w="0" w:type="dxa"/>
            <w:right w:w="108" w:type="dxa"/>
          </w:tblCellMar>
        </w:tblPrEx>
        <w:trPr>
          <w:trHeight w:val="280" w:hRule="atLeast"/>
        </w:trPr>
        <w:tc>
          <w:tcPr>
            <w:tcW w:w="1900" w:type="dxa"/>
            <w:tcBorders>
              <w:top w:val="nil"/>
              <w:left w:val="single" w:color="auto" w:sz="4" w:space="0"/>
              <w:bottom w:val="single" w:color="auto" w:sz="4" w:space="0"/>
              <w:right w:val="single" w:color="auto" w:sz="4" w:space="0"/>
            </w:tcBorders>
            <w:noWrap/>
            <w:vAlign w:val="bottom"/>
          </w:tcPr>
          <w:p w14:paraId="0C79D5E0">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Mozilla Firefox</w:t>
            </w:r>
          </w:p>
        </w:tc>
        <w:tc>
          <w:tcPr>
            <w:tcW w:w="1740" w:type="dxa"/>
            <w:tcBorders>
              <w:top w:val="nil"/>
              <w:left w:val="nil"/>
              <w:bottom w:val="single" w:color="auto" w:sz="4" w:space="0"/>
              <w:right w:val="single" w:color="auto" w:sz="4" w:space="0"/>
            </w:tcBorders>
            <w:noWrap/>
            <w:vAlign w:val="bottom"/>
          </w:tcPr>
          <w:p w14:paraId="390EA447">
            <w:pPr>
              <w:widowControl/>
              <w:jc w:val="left"/>
              <w:rPr>
                <w:rFonts w:hint="eastAsia" w:ascii="宋体" w:hAnsi="宋体" w:cs="宋体"/>
                <w:color w:val="000000"/>
                <w:kern w:val="0"/>
                <w:sz w:val="21"/>
                <w:szCs w:val="21"/>
              </w:rPr>
            </w:pPr>
          </w:p>
        </w:tc>
        <w:tc>
          <w:tcPr>
            <w:tcW w:w="2020" w:type="dxa"/>
            <w:tcBorders>
              <w:top w:val="nil"/>
              <w:left w:val="nil"/>
              <w:bottom w:val="single" w:color="auto" w:sz="4" w:space="0"/>
              <w:right w:val="single" w:color="auto" w:sz="4" w:space="0"/>
            </w:tcBorders>
            <w:noWrap/>
            <w:vAlign w:val="bottom"/>
          </w:tcPr>
          <w:p w14:paraId="01C11096">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Windows</w:t>
            </w:r>
          </w:p>
        </w:tc>
        <w:tc>
          <w:tcPr>
            <w:tcW w:w="1360" w:type="dxa"/>
            <w:tcBorders>
              <w:top w:val="nil"/>
              <w:left w:val="nil"/>
              <w:bottom w:val="single" w:color="auto" w:sz="4" w:space="0"/>
              <w:right w:val="single" w:color="auto" w:sz="4" w:space="0"/>
            </w:tcBorders>
            <w:noWrap/>
            <w:vAlign w:val="bottom"/>
          </w:tcPr>
          <w:p w14:paraId="66A60755">
            <w:pPr>
              <w:widowControl/>
              <w:jc w:val="left"/>
              <w:rPr>
                <w:rFonts w:hint="eastAsia" w:ascii="宋体" w:hAnsi="宋体" w:cs="宋体"/>
                <w:color w:val="000000"/>
                <w:kern w:val="0"/>
                <w:sz w:val="21"/>
                <w:szCs w:val="21"/>
              </w:rPr>
            </w:pPr>
          </w:p>
        </w:tc>
        <w:tc>
          <w:tcPr>
            <w:tcW w:w="820" w:type="dxa"/>
            <w:tcBorders>
              <w:top w:val="nil"/>
              <w:left w:val="nil"/>
              <w:bottom w:val="single" w:color="auto" w:sz="4" w:space="0"/>
              <w:right w:val="single" w:color="auto" w:sz="4" w:space="0"/>
            </w:tcBorders>
            <w:noWrap/>
            <w:vAlign w:val="bottom"/>
          </w:tcPr>
          <w:p w14:paraId="0A74349B">
            <w:pPr>
              <w:widowControl/>
              <w:jc w:val="left"/>
              <w:rPr>
                <w:rFonts w:hint="eastAsia" w:ascii="宋体" w:hAnsi="宋体" w:cs="宋体"/>
                <w:color w:val="000000"/>
                <w:kern w:val="0"/>
                <w:sz w:val="21"/>
                <w:szCs w:val="21"/>
              </w:rPr>
            </w:pPr>
          </w:p>
        </w:tc>
        <w:tc>
          <w:tcPr>
            <w:tcW w:w="760" w:type="dxa"/>
            <w:tcBorders>
              <w:top w:val="nil"/>
              <w:left w:val="nil"/>
              <w:bottom w:val="single" w:color="auto" w:sz="4" w:space="0"/>
              <w:right w:val="single" w:color="auto" w:sz="4" w:space="0"/>
            </w:tcBorders>
            <w:noWrap/>
            <w:vAlign w:val="bottom"/>
          </w:tcPr>
          <w:p w14:paraId="2712D7EE">
            <w:pPr>
              <w:widowControl/>
              <w:jc w:val="left"/>
              <w:rPr>
                <w:rFonts w:hint="eastAsia" w:ascii="宋体" w:hAnsi="宋体" w:cs="宋体"/>
                <w:color w:val="000000"/>
                <w:kern w:val="0"/>
                <w:sz w:val="21"/>
                <w:szCs w:val="21"/>
              </w:rPr>
            </w:pPr>
          </w:p>
        </w:tc>
      </w:tr>
      <w:tr w14:paraId="7584E741">
        <w:tblPrEx>
          <w:tblCellMar>
            <w:top w:w="0" w:type="dxa"/>
            <w:left w:w="108" w:type="dxa"/>
            <w:bottom w:w="0" w:type="dxa"/>
            <w:right w:w="108" w:type="dxa"/>
          </w:tblCellMar>
        </w:tblPrEx>
        <w:trPr>
          <w:trHeight w:val="280" w:hRule="atLeast"/>
        </w:trPr>
        <w:tc>
          <w:tcPr>
            <w:tcW w:w="1900" w:type="dxa"/>
            <w:tcBorders>
              <w:top w:val="nil"/>
              <w:left w:val="single" w:color="auto" w:sz="4" w:space="0"/>
              <w:bottom w:val="single" w:color="auto" w:sz="4" w:space="0"/>
              <w:right w:val="single" w:color="auto" w:sz="4" w:space="0"/>
            </w:tcBorders>
            <w:noWrap/>
            <w:vAlign w:val="bottom"/>
          </w:tcPr>
          <w:p w14:paraId="2D0193BA">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Microsoft Edge</w:t>
            </w:r>
          </w:p>
        </w:tc>
        <w:tc>
          <w:tcPr>
            <w:tcW w:w="1740" w:type="dxa"/>
            <w:tcBorders>
              <w:top w:val="nil"/>
              <w:left w:val="nil"/>
              <w:bottom w:val="single" w:color="auto" w:sz="4" w:space="0"/>
              <w:right w:val="single" w:color="auto" w:sz="4" w:space="0"/>
            </w:tcBorders>
            <w:noWrap/>
            <w:vAlign w:val="bottom"/>
          </w:tcPr>
          <w:p w14:paraId="308D0D27">
            <w:pPr>
              <w:widowControl/>
              <w:jc w:val="left"/>
              <w:rPr>
                <w:rFonts w:hint="eastAsia" w:ascii="宋体" w:hAnsi="宋体" w:cs="宋体"/>
                <w:color w:val="000000"/>
                <w:kern w:val="0"/>
                <w:sz w:val="21"/>
                <w:szCs w:val="21"/>
              </w:rPr>
            </w:pPr>
          </w:p>
        </w:tc>
        <w:tc>
          <w:tcPr>
            <w:tcW w:w="2020" w:type="dxa"/>
            <w:tcBorders>
              <w:top w:val="nil"/>
              <w:left w:val="nil"/>
              <w:bottom w:val="single" w:color="auto" w:sz="4" w:space="0"/>
              <w:right w:val="single" w:color="auto" w:sz="4" w:space="0"/>
            </w:tcBorders>
            <w:noWrap/>
            <w:vAlign w:val="bottom"/>
          </w:tcPr>
          <w:p w14:paraId="2E3E6F0E">
            <w:pPr>
              <w:widowControl/>
              <w:jc w:val="left"/>
              <w:rPr>
                <w:rFonts w:hint="eastAsia" w:ascii="宋体" w:hAnsi="宋体" w:cs="宋体"/>
                <w:color w:val="000000"/>
                <w:kern w:val="0"/>
                <w:sz w:val="21"/>
                <w:szCs w:val="21"/>
              </w:rPr>
            </w:pPr>
            <w:r>
              <w:rPr>
                <w:rFonts w:hint="eastAsia" w:ascii="宋体" w:hAnsi="宋体" w:cs="宋体"/>
                <w:color w:val="000000"/>
                <w:kern w:val="0"/>
                <w:sz w:val="21"/>
                <w:szCs w:val="21"/>
              </w:rPr>
              <w:t>Windows</w:t>
            </w:r>
          </w:p>
        </w:tc>
        <w:tc>
          <w:tcPr>
            <w:tcW w:w="1360" w:type="dxa"/>
            <w:tcBorders>
              <w:top w:val="nil"/>
              <w:left w:val="nil"/>
              <w:bottom w:val="single" w:color="auto" w:sz="4" w:space="0"/>
              <w:right w:val="single" w:color="auto" w:sz="4" w:space="0"/>
            </w:tcBorders>
            <w:noWrap/>
            <w:vAlign w:val="bottom"/>
          </w:tcPr>
          <w:p w14:paraId="2C37366B">
            <w:pPr>
              <w:widowControl/>
              <w:jc w:val="left"/>
              <w:rPr>
                <w:rFonts w:hint="eastAsia" w:ascii="宋体" w:hAnsi="宋体" w:cs="宋体"/>
                <w:color w:val="000000"/>
                <w:kern w:val="0"/>
                <w:sz w:val="21"/>
                <w:szCs w:val="21"/>
              </w:rPr>
            </w:pPr>
          </w:p>
        </w:tc>
        <w:tc>
          <w:tcPr>
            <w:tcW w:w="820" w:type="dxa"/>
            <w:tcBorders>
              <w:top w:val="nil"/>
              <w:left w:val="nil"/>
              <w:bottom w:val="single" w:color="auto" w:sz="4" w:space="0"/>
              <w:right w:val="single" w:color="auto" w:sz="4" w:space="0"/>
            </w:tcBorders>
            <w:noWrap/>
            <w:vAlign w:val="bottom"/>
          </w:tcPr>
          <w:p w14:paraId="5D2F618A">
            <w:pPr>
              <w:widowControl/>
              <w:jc w:val="left"/>
              <w:rPr>
                <w:rFonts w:hint="eastAsia" w:ascii="宋体" w:hAnsi="宋体" w:cs="宋体"/>
                <w:color w:val="000000"/>
                <w:kern w:val="0"/>
                <w:sz w:val="21"/>
                <w:szCs w:val="21"/>
              </w:rPr>
            </w:pPr>
          </w:p>
        </w:tc>
        <w:tc>
          <w:tcPr>
            <w:tcW w:w="760" w:type="dxa"/>
            <w:tcBorders>
              <w:top w:val="nil"/>
              <w:left w:val="nil"/>
              <w:bottom w:val="single" w:color="auto" w:sz="4" w:space="0"/>
              <w:right w:val="single" w:color="auto" w:sz="4" w:space="0"/>
            </w:tcBorders>
            <w:noWrap/>
            <w:vAlign w:val="bottom"/>
          </w:tcPr>
          <w:p w14:paraId="7DBDCD96">
            <w:pPr>
              <w:widowControl/>
              <w:jc w:val="left"/>
              <w:rPr>
                <w:rFonts w:hint="eastAsia" w:ascii="宋体" w:hAnsi="宋体" w:cs="宋体"/>
                <w:color w:val="000000"/>
                <w:kern w:val="0"/>
                <w:sz w:val="21"/>
                <w:szCs w:val="21"/>
              </w:rPr>
            </w:pPr>
          </w:p>
        </w:tc>
      </w:tr>
    </w:tbl>
    <w:p w14:paraId="06A89AE2">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（1）功能测试：</w:t>
      </w:r>
    </w:p>
    <w:p w14:paraId="0D4A83BB">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检查所有功能是否在每个浏览器中正常工作（如表单提交、按钮点击等）。</w:t>
      </w:r>
    </w:p>
    <w:p w14:paraId="7EAC562D">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（2）UI/UX测试：</w:t>
      </w:r>
    </w:p>
    <w:p w14:paraId="3472F3DC">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确保界面布局、字体、颜色和按钮在各个浏览器中一致。</w:t>
      </w:r>
    </w:p>
    <w:p w14:paraId="39020DF9">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检查响应式设计，确保在不同屏幕尺寸下的显示效果。</w:t>
      </w:r>
    </w:p>
    <w:p w14:paraId="1EDED523">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（3）性能测试：</w:t>
      </w:r>
    </w:p>
    <w:p w14:paraId="65A364B9">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测试加载时间和响应速度，确保在不同浏览器上表现良好。</w:t>
      </w:r>
    </w:p>
    <w:p w14:paraId="485BF236">
      <w:pPr>
        <w:pStyle w:val="5"/>
        <w:numPr>
          <w:ilvl w:val="0"/>
          <w:numId w:val="0"/>
        </w:numPr>
        <w:spacing w:after="156"/>
        <w:rPr>
          <w:rFonts w:hint="eastAsia" w:cs="宋体"/>
          <w:b/>
          <w:bCs/>
          <w:color w:val="000000"/>
          <w:sz w:val="21"/>
          <w:szCs w:val="21"/>
        </w:rPr>
      </w:pPr>
      <w:r>
        <w:rPr>
          <w:rFonts w:hint="eastAsia" w:cs="宋体"/>
          <w:b/>
          <w:bCs/>
          <w:color w:val="000000"/>
          <w:sz w:val="21"/>
          <w:szCs w:val="21"/>
        </w:rPr>
        <w:t>3.3安全性规范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6811"/>
      </w:tblGrid>
      <w:tr w14:paraId="76C8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Borders>
              <w:top w:val="single" w:color="auto" w:sz="4" w:space="0"/>
              <w:left w:val="single" w:color="auto" w:sz="4" w:space="0"/>
              <w:bottom w:val="single" w:color="auto" w:sz="4" w:space="0"/>
              <w:right w:val="single" w:color="auto" w:sz="4" w:space="0"/>
            </w:tcBorders>
          </w:tcPr>
          <w:p w14:paraId="0A67D5C4">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需求描述</w:t>
            </w:r>
          </w:p>
        </w:tc>
        <w:tc>
          <w:tcPr>
            <w:tcW w:w="6811" w:type="dxa"/>
            <w:tcBorders>
              <w:top w:val="single" w:color="auto" w:sz="4" w:space="0"/>
              <w:left w:val="single" w:color="auto" w:sz="4" w:space="0"/>
              <w:bottom w:val="single" w:color="auto" w:sz="4" w:space="0"/>
              <w:right w:val="single" w:color="auto" w:sz="4" w:space="0"/>
            </w:tcBorders>
          </w:tcPr>
          <w:p w14:paraId="4C807301">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参数</w:t>
            </w:r>
          </w:p>
        </w:tc>
      </w:tr>
      <w:tr w14:paraId="24D6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361" w:type="dxa"/>
            <w:tcBorders>
              <w:top w:val="single" w:color="auto" w:sz="4" w:space="0"/>
              <w:left w:val="single" w:color="auto" w:sz="4" w:space="0"/>
              <w:bottom w:val="single" w:color="auto" w:sz="4" w:space="0"/>
              <w:right w:val="single" w:color="auto" w:sz="4" w:space="0"/>
            </w:tcBorders>
          </w:tcPr>
          <w:p w14:paraId="106F1D7A">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输入</w:t>
            </w:r>
          </w:p>
        </w:tc>
        <w:tc>
          <w:tcPr>
            <w:tcW w:w="6811" w:type="dxa"/>
            <w:tcBorders>
              <w:top w:val="single" w:color="auto" w:sz="4" w:space="0"/>
              <w:left w:val="single" w:color="auto" w:sz="4" w:space="0"/>
              <w:bottom w:val="single" w:color="auto" w:sz="4" w:space="0"/>
              <w:right w:val="single" w:color="auto" w:sz="4" w:space="0"/>
            </w:tcBorders>
          </w:tcPr>
          <w:p w14:paraId="11CA9C2D">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用户登录、系统内任意操作</w:t>
            </w:r>
          </w:p>
        </w:tc>
      </w:tr>
      <w:tr w14:paraId="559F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61" w:type="dxa"/>
            <w:tcBorders>
              <w:top w:val="single" w:color="auto" w:sz="4" w:space="0"/>
              <w:left w:val="single" w:color="auto" w:sz="4" w:space="0"/>
              <w:bottom w:val="single" w:color="auto" w:sz="4" w:space="0"/>
              <w:right w:val="single" w:color="auto" w:sz="4" w:space="0"/>
            </w:tcBorders>
          </w:tcPr>
          <w:p w14:paraId="47E67AEF">
            <w:pPr>
              <w:widowControl/>
              <w:spacing w:line="360" w:lineRule="auto"/>
              <w:jc w:val="left"/>
              <w:rPr>
                <w:rFonts w:hint="eastAsia" w:ascii="宋体" w:hAnsi="宋体" w:cs="宋体"/>
                <w:bCs/>
                <w:sz w:val="21"/>
                <w:szCs w:val="21"/>
              </w:rPr>
            </w:pPr>
            <w:r>
              <w:rPr>
                <w:rFonts w:hint="eastAsia" w:ascii="宋体" w:hAnsi="宋体" w:cs="宋体"/>
                <w:bCs/>
                <w:kern w:val="0"/>
                <w:sz w:val="21"/>
                <w:szCs w:val="21"/>
                <w:lang w:bidi="ar"/>
              </w:rPr>
              <w:t>处理逻辑</w:t>
            </w:r>
          </w:p>
        </w:tc>
        <w:tc>
          <w:tcPr>
            <w:tcW w:w="6811" w:type="dxa"/>
            <w:tcBorders>
              <w:top w:val="single" w:color="auto" w:sz="4" w:space="0"/>
              <w:left w:val="single" w:color="auto" w:sz="4" w:space="0"/>
              <w:bottom w:val="single" w:color="auto" w:sz="4" w:space="0"/>
              <w:right w:val="single" w:color="auto" w:sz="4" w:space="0"/>
            </w:tcBorders>
          </w:tcPr>
          <w:p w14:paraId="7006F2D8">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登录日志、操作日志、变更记录</w:t>
            </w:r>
          </w:p>
        </w:tc>
      </w:tr>
      <w:tr w14:paraId="49E9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Borders>
              <w:top w:val="single" w:color="auto" w:sz="4" w:space="0"/>
              <w:left w:val="single" w:color="auto" w:sz="4" w:space="0"/>
              <w:bottom w:val="single" w:color="auto" w:sz="4" w:space="0"/>
              <w:right w:val="single" w:color="auto" w:sz="4" w:space="0"/>
            </w:tcBorders>
          </w:tcPr>
          <w:p w14:paraId="5AA840BF">
            <w:pPr>
              <w:widowControl/>
              <w:spacing w:line="360" w:lineRule="auto"/>
              <w:jc w:val="left"/>
              <w:rPr>
                <w:rFonts w:hint="eastAsia" w:ascii="宋体" w:hAnsi="宋体" w:cs="宋体"/>
                <w:bCs/>
                <w:sz w:val="21"/>
                <w:szCs w:val="21"/>
              </w:rPr>
            </w:pPr>
            <w:r>
              <w:rPr>
                <w:rFonts w:hint="eastAsia" w:ascii="宋体" w:hAnsi="宋体" w:cs="宋体"/>
                <w:bCs/>
                <w:kern w:val="0"/>
                <w:sz w:val="21"/>
                <w:szCs w:val="21"/>
                <w:lang w:bidi="ar"/>
              </w:rPr>
              <w:t>输出</w:t>
            </w:r>
          </w:p>
        </w:tc>
        <w:tc>
          <w:tcPr>
            <w:tcW w:w="6811" w:type="dxa"/>
            <w:tcBorders>
              <w:top w:val="single" w:color="auto" w:sz="4" w:space="0"/>
              <w:left w:val="single" w:color="auto" w:sz="4" w:space="0"/>
              <w:bottom w:val="single" w:color="auto" w:sz="4" w:space="0"/>
              <w:right w:val="single" w:color="auto" w:sz="4" w:space="0"/>
            </w:tcBorders>
          </w:tcPr>
          <w:p w14:paraId="03C8D03C">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登录时间、登录用户、登录IP、操作用户、操作类型、操作时间、操作结果</w:t>
            </w:r>
          </w:p>
        </w:tc>
      </w:tr>
      <w:tr w14:paraId="20DC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Borders>
              <w:top w:val="single" w:color="auto" w:sz="4" w:space="0"/>
              <w:left w:val="single" w:color="auto" w:sz="4" w:space="0"/>
              <w:bottom w:val="single" w:color="auto" w:sz="4" w:space="0"/>
              <w:right w:val="single" w:color="auto" w:sz="4" w:space="0"/>
            </w:tcBorders>
          </w:tcPr>
          <w:p w14:paraId="11E4C9DA">
            <w:pPr>
              <w:widowControl/>
              <w:spacing w:line="360" w:lineRule="auto"/>
              <w:jc w:val="left"/>
              <w:rPr>
                <w:rFonts w:hint="eastAsia" w:ascii="宋体" w:hAnsi="宋体" w:cs="宋体"/>
                <w:bCs/>
                <w:sz w:val="21"/>
                <w:szCs w:val="21"/>
              </w:rPr>
            </w:pPr>
            <w:r>
              <w:rPr>
                <w:rFonts w:hint="eastAsia" w:ascii="宋体" w:hAnsi="宋体" w:cs="宋体"/>
                <w:bCs/>
                <w:kern w:val="0"/>
                <w:sz w:val="21"/>
                <w:szCs w:val="21"/>
                <w:lang w:bidi="ar"/>
              </w:rPr>
              <w:t>触发条件</w:t>
            </w:r>
          </w:p>
        </w:tc>
        <w:tc>
          <w:tcPr>
            <w:tcW w:w="6811" w:type="dxa"/>
            <w:tcBorders>
              <w:top w:val="single" w:color="auto" w:sz="4" w:space="0"/>
              <w:left w:val="single" w:color="auto" w:sz="4" w:space="0"/>
              <w:bottom w:val="single" w:color="auto" w:sz="4" w:space="0"/>
              <w:right w:val="single" w:color="auto" w:sz="4" w:space="0"/>
            </w:tcBorders>
          </w:tcPr>
          <w:p w14:paraId="112057FC">
            <w:pPr>
              <w:pStyle w:val="10"/>
              <w:spacing w:line="360" w:lineRule="auto"/>
              <w:jc w:val="left"/>
              <w:rPr>
                <w:rFonts w:hint="eastAsia" w:ascii="宋体" w:hAnsi="宋体" w:eastAsia="宋体" w:cs="宋体"/>
                <w:bCs/>
                <w:sz w:val="21"/>
                <w:szCs w:val="21"/>
              </w:rPr>
            </w:pPr>
            <w:r>
              <w:rPr>
                <w:rFonts w:hint="eastAsia" w:ascii="宋体" w:hAnsi="宋体" w:eastAsia="宋体" w:cs="宋体"/>
                <w:bCs/>
                <w:sz w:val="21"/>
                <w:szCs w:val="21"/>
              </w:rPr>
              <w:t>执行操作</w:t>
            </w:r>
          </w:p>
        </w:tc>
      </w:tr>
    </w:tbl>
    <w:p w14:paraId="384443FA">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（1）登录日志</w:t>
      </w:r>
    </w:p>
    <w:p w14:paraId="2DF0AE54">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系统需详细记录用户的登录行为，包括但不限于登录时间、登录IP地址、登录用户ID、登录成功与否等信息。</w:t>
      </w:r>
    </w:p>
    <w:p w14:paraId="055CA48F">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（2）操作日志</w:t>
      </w:r>
    </w:p>
    <w:p w14:paraId="4E21C5D5">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系统需对用户的所有操作进行记录，应详细记录操作用户、操作用户、操作类型、操作时间、操作结果等关键信息。</w:t>
      </w:r>
    </w:p>
    <w:p w14:paraId="00AF6BF4">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（3）变更记录</w:t>
      </w:r>
    </w:p>
    <w:p w14:paraId="64CD0E82">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对于变更对象所属地市、网元名称、端口名称、性能指标等信息，系统需自动记录变更前后的状态、变更时间、变更用户等信息。</w:t>
      </w:r>
    </w:p>
    <w:p w14:paraId="29B28B23">
      <w:pPr>
        <w:pStyle w:val="4"/>
        <w:numPr>
          <w:ilvl w:val="0"/>
          <w:numId w:val="0"/>
        </w:numPr>
        <w:spacing w:before="156" w:after="156"/>
        <w:ind w:left="440" w:hanging="440"/>
        <w:rPr>
          <w:rFonts w:hint="eastAsia" w:cs="宋体"/>
          <w:bCs w:val="0"/>
          <w:sz w:val="21"/>
          <w:szCs w:val="21"/>
        </w:rPr>
      </w:pPr>
      <w:r>
        <w:rPr>
          <w:rFonts w:hint="eastAsia"/>
          <w:bCs w:val="0"/>
          <w:sz w:val="21"/>
          <w:szCs w:val="21"/>
        </w:rPr>
        <w:t>4.项目管理</w:t>
      </w:r>
    </w:p>
    <w:p w14:paraId="419090F6">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供应商需对项目管理的以下方面做详细说明：进度管理、质量管理、风险管理、项目人员组织管理、变更管理和例会制度等。</w:t>
      </w:r>
    </w:p>
    <w:p w14:paraId="6215FFA3">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另外，供应商应需要满足以下要求：</w:t>
      </w:r>
    </w:p>
    <w:p w14:paraId="00FCFAFE">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1）本期项目实施期间，供应商应安排具有专业技术水平的专职人员参与本项目服务，供应商参与本项目的所有人员，在项目建设期间，不得同时参与其他项目的建设，以保证能够按时完成本次项目服务；</w:t>
      </w:r>
    </w:p>
    <w:p w14:paraId="04358F89">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2）供应商应保证，在本项目服务期间，保证至少5人的常态化技术开发团队支撑；</w:t>
      </w:r>
    </w:p>
    <w:p w14:paraId="15D02329">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3）项目例会、项目协调会等项目相关会议由供应商组织召开；</w:t>
      </w:r>
    </w:p>
    <w:p w14:paraId="6CE19731">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4）各供应商指定一名项目经理和客户经理建立与采购人相关人员的对口联系；</w:t>
      </w:r>
    </w:p>
    <w:p w14:paraId="257235AF">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5）项目经理在工程期间现场工作，电话要保持7*24小时通畅，如遇到特殊情况需提前通知采购人相关人员；</w:t>
      </w:r>
    </w:p>
    <w:p w14:paraId="2982426F">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6）定期组织和参加每周的工程和维护例会，并及时提交相关周报；</w:t>
      </w:r>
    </w:p>
    <w:p w14:paraId="053B5739">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7）项目在验收前开发团队的项目经理不能撤离，在验收后按照合同的约定需要有专业的维护团队进入岗位；</w:t>
      </w:r>
    </w:p>
    <w:p w14:paraId="508DD057">
      <w:pPr>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8）供应商要提供整体的项目管理方案，项目的重大事件或者管理变更需要得到采购人相关人员同意；关键性操作（如：重启服务器、管理员账号生成、权限的修改等）需以邮件或书面的方式得到采购人相关人员同意。</w:t>
      </w:r>
    </w:p>
    <w:p w14:paraId="6B7E8101">
      <w:pPr>
        <w:pStyle w:val="4"/>
        <w:numPr>
          <w:ilvl w:val="0"/>
          <w:numId w:val="0"/>
        </w:numPr>
        <w:spacing w:before="156" w:after="156"/>
        <w:ind w:left="440" w:hanging="440"/>
        <w:rPr>
          <w:rFonts w:hint="eastAsia" w:cs="宋体"/>
          <w:bCs w:val="0"/>
          <w:sz w:val="21"/>
          <w:szCs w:val="21"/>
        </w:rPr>
      </w:pPr>
      <w:r>
        <w:rPr>
          <w:rFonts w:hint="eastAsia"/>
          <w:bCs w:val="0"/>
          <w:sz w:val="21"/>
          <w:szCs w:val="21"/>
        </w:rPr>
        <w:t>5.项目人员要求</w:t>
      </w:r>
    </w:p>
    <w:p w14:paraId="02EDF667">
      <w:pPr>
        <w:autoSpaceDE w:val="0"/>
        <w:spacing w:line="440" w:lineRule="exact"/>
        <w:ind w:firstLine="420" w:firstLineChars="200"/>
        <w:rPr>
          <w:rFonts w:hint="eastAsia" w:ascii="宋体" w:hAnsi="宋体"/>
          <w:sz w:val="21"/>
          <w:szCs w:val="21"/>
        </w:rPr>
      </w:pPr>
      <w:r>
        <w:rPr>
          <w:rFonts w:hint="eastAsia" w:ascii="宋体" w:hAnsi="宋体"/>
          <w:sz w:val="21"/>
          <w:szCs w:val="21"/>
        </w:rPr>
        <w:t>（1）项目经理要求：需提供至少1名项目经理，项目经理应具有项目管理能力。</w:t>
      </w:r>
    </w:p>
    <w:p w14:paraId="6B2F39AA">
      <w:pPr>
        <w:autoSpaceDE w:val="0"/>
        <w:spacing w:line="440" w:lineRule="exact"/>
        <w:ind w:firstLine="420" w:firstLineChars="200"/>
        <w:rPr>
          <w:rFonts w:hint="eastAsia" w:ascii="宋体" w:hAnsi="宋体"/>
          <w:sz w:val="21"/>
          <w:szCs w:val="21"/>
        </w:rPr>
      </w:pPr>
      <w:r>
        <w:rPr>
          <w:rFonts w:hint="eastAsia" w:ascii="宋体" w:hAnsi="宋体"/>
          <w:sz w:val="21"/>
          <w:szCs w:val="21"/>
        </w:rPr>
        <w:t>（2）</w:t>
      </w:r>
      <w:r>
        <w:rPr>
          <w:rFonts w:hint="eastAsia" w:ascii="宋体" w:hAnsi="宋体"/>
          <w:b/>
          <w:bCs/>
          <w:sz w:val="21"/>
          <w:szCs w:val="21"/>
          <w:u w:val="single"/>
        </w:rPr>
        <w:t>★项目人员要求：供应商需为本项目提供至少4名项目人员（含项目经理），供应商应根据采购人的要求紧急故障处置需在2小时内赶赴现场支撑，特殊情况和重保期间需提供24小时现场支撑服务，项目人员不可随意更换，且项目人员需具备对传输OTN系统业务熟悉人员。★</w:t>
      </w:r>
    </w:p>
    <w:p w14:paraId="0DC4217A">
      <w:pPr>
        <w:pStyle w:val="4"/>
        <w:numPr>
          <w:ilvl w:val="0"/>
          <w:numId w:val="0"/>
        </w:numPr>
        <w:spacing w:before="156" w:after="156"/>
        <w:ind w:left="440" w:hanging="440"/>
        <w:rPr>
          <w:rFonts w:hint="eastAsia"/>
          <w:bCs w:val="0"/>
          <w:sz w:val="21"/>
          <w:szCs w:val="21"/>
        </w:rPr>
      </w:pPr>
      <w:r>
        <w:rPr>
          <w:rFonts w:hint="eastAsia"/>
          <w:bCs w:val="0"/>
          <w:sz w:val="21"/>
          <w:szCs w:val="21"/>
        </w:rPr>
        <w:t>6.进度计划要求</w:t>
      </w:r>
    </w:p>
    <w:p w14:paraId="72536B48">
      <w:pPr>
        <w:autoSpaceDE w:val="0"/>
        <w:spacing w:line="440" w:lineRule="exact"/>
        <w:ind w:firstLine="420" w:firstLineChars="200"/>
        <w:rPr>
          <w:rFonts w:hint="eastAsia" w:ascii="宋体" w:hAnsi="宋体"/>
          <w:sz w:val="21"/>
          <w:szCs w:val="21"/>
        </w:rPr>
      </w:pPr>
      <w:r>
        <w:rPr>
          <w:rFonts w:hint="eastAsia" w:ascii="宋体" w:hAnsi="宋体"/>
          <w:sz w:val="21"/>
          <w:szCs w:val="21"/>
        </w:rPr>
        <w:t>1）合同签订之日起69天内完成系统开发和测试，产品符合技术规范要求落地，并推广至地市。硬件维护人员和应用软件开发人员共同负责系统的维护；须对用户进行有关应用软件、使用的授课培训，并严格考核，合格上岗；验收时将协助用户生成运行报告。</w:t>
      </w:r>
    </w:p>
    <w:p w14:paraId="0547914F">
      <w:pPr>
        <w:autoSpaceDE w:val="0"/>
        <w:spacing w:line="440" w:lineRule="exact"/>
        <w:ind w:firstLine="420" w:firstLineChars="200"/>
        <w:rPr>
          <w:rFonts w:hint="eastAsia" w:ascii="宋体" w:hAnsi="宋体"/>
          <w:sz w:val="21"/>
          <w:szCs w:val="21"/>
        </w:rPr>
      </w:pPr>
      <w:r>
        <w:rPr>
          <w:rFonts w:hint="eastAsia" w:ascii="宋体" w:hAnsi="宋体"/>
          <w:sz w:val="21"/>
          <w:szCs w:val="21"/>
        </w:rPr>
        <w:t>2）正常情况下，所有功能、性能等指标达到询比文件的要求时，可进行验收。由于系统设计或软件自身缺陷等造成某些指标达不到要求，允许供应商更换或进行修复，验收顺延1个月，在全部达到要求时，双方签署验收文件。</w:t>
      </w:r>
    </w:p>
    <w:p w14:paraId="39125BCC">
      <w:pPr>
        <w:autoSpaceDE w:val="0"/>
        <w:spacing w:line="440" w:lineRule="exact"/>
        <w:ind w:firstLine="420" w:firstLineChars="200"/>
        <w:rPr>
          <w:rFonts w:hint="eastAsia" w:ascii="宋体" w:hAnsi="宋体" w:cs="宋体"/>
          <w:color w:val="000000"/>
          <w:sz w:val="21"/>
          <w:szCs w:val="21"/>
        </w:rPr>
      </w:pPr>
      <w:r>
        <w:rPr>
          <w:rFonts w:hint="eastAsia" w:ascii="宋体" w:hAnsi="宋体"/>
          <w:sz w:val="21"/>
          <w:szCs w:val="21"/>
        </w:rPr>
        <w:t>3）为确保上述进度的实施，双方建立项目周会制度，及时协调、解决各阶段出现的问题。</w:t>
      </w:r>
    </w:p>
    <w:p w14:paraId="10588152">
      <w:pPr>
        <w:spacing w:line="360" w:lineRule="auto"/>
        <w:ind w:firstLine="420" w:firstLineChars="200"/>
        <w:rPr>
          <w:rFonts w:hint="eastAsia" w:ascii="宋体" w:hAnsi="宋体" w:cs="宋体"/>
          <w:color w:val="000000"/>
          <w:sz w:val="21"/>
          <w:szCs w:val="21"/>
        </w:rPr>
      </w:pPr>
    </w:p>
    <w:p w14:paraId="2E65E2F5">
      <w:pPr>
        <w:pStyle w:val="4"/>
        <w:numPr>
          <w:ilvl w:val="0"/>
          <w:numId w:val="0"/>
        </w:numPr>
        <w:spacing w:before="156" w:after="156"/>
        <w:ind w:left="440" w:hanging="440"/>
        <w:rPr>
          <w:rFonts w:hint="eastAsia" w:cs="宋体"/>
          <w:bCs w:val="0"/>
          <w:sz w:val="21"/>
          <w:szCs w:val="21"/>
        </w:rPr>
      </w:pPr>
      <w:r>
        <w:rPr>
          <w:rFonts w:hint="eastAsia"/>
          <w:bCs w:val="0"/>
          <w:sz w:val="21"/>
          <w:szCs w:val="21"/>
        </w:rPr>
        <w:t>7.培训服务要求</w:t>
      </w:r>
    </w:p>
    <w:p w14:paraId="15C0A560">
      <w:pPr>
        <w:pStyle w:val="5"/>
        <w:numPr>
          <w:ilvl w:val="0"/>
          <w:numId w:val="0"/>
        </w:numPr>
        <w:spacing w:after="156"/>
        <w:rPr>
          <w:rFonts w:hint="eastAsia"/>
          <w:b/>
          <w:sz w:val="21"/>
          <w:szCs w:val="21"/>
        </w:rPr>
      </w:pPr>
      <w:r>
        <w:rPr>
          <w:b/>
          <w:sz w:val="21"/>
          <w:szCs w:val="21"/>
        </w:rPr>
        <w:t>7.1</w:t>
      </w:r>
      <w:r>
        <w:rPr>
          <w:rFonts w:hint="eastAsia"/>
          <w:b/>
          <w:sz w:val="21"/>
          <w:szCs w:val="21"/>
        </w:rPr>
        <w:t>技术培训</w:t>
      </w:r>
    </w:p>
    <w:p w14:paraId="1A951B96">
      <w:pPr>
        <w:topLinePunct w:val="0"/>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供应商应根据采购人的要求，不定期为采购人指定的人员提供免费的技术指导和培训，使参加受训的人员理解并掌握数据中心资产管理系统使用和数据分析、数据建模、数据应用等相关操作。在采购人具备良好学习能力和学习态度的前提下，培训后能使部门相关数据分人员，具备独立使用数据中心资产管理系统能力，并能自助进行相关数据分析。</w:t>
      </w:r>
    </w:p>
    <w:p w14:paraId="654FF672">
      <w:pPr>
        <w:pStyle w:val="5"/>
        <w:numPr>
          <w:ilvl w:val="0"/>
          <w:numId w:val="0"/>
        </w:numPr>
        <w:spacing w:after="156"/>
        <w:rPr>
          <w:rFonts w:hint="eastAsia"/>
          <w:b/>
          <w:sz w:val="21"/>
          <w:szCs w:val="21"/>
        </w:rPr>
      </w:pPr>
      <w:r>
        <w:rPr>
          <w:b/>
          <w:sz w:val="21"/>
          <w:szCs w:val="21"/>
        </w:rPr>
        <w:t>7.2</w:t>
      </w:r>
      <w:r>
        <w:rPr>
          <w:rFonts w:hint="eastAsia"/>
          <w:b/>
          <w:sz w:val="21"/>
          <w:szCs w:val="21"/>
        </w:rPr>
        <w:t>培训计划</w:t>
      </w:r>
    </w:p>
    <w:p w14:paraId="47AE7304">
      <w:pPr>
        <w:topLinePunct w:val="0"/>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供应商应提供详细的培训计划。培训计划中应说明培训的方式、内容、人数、时间、地点、课程安排等问题。供应商的培训人员需要在培训期间做到脱产现场培训。</w:t>
      </w:r>
    </w:p>
    <w:p w14:paraId="0A7F471C">
      <w:pPr>
        <w:pStyle w:val="5"/>
        <w:numPr>
          <w:ilvl w:val="0"/>
          <w:numId w:val="0"/>
        </w:numPr>
        <w:spacing w:after="156"/>
        <w:rPr>
          <w:rFonts w:hint="eastAsia"/>
          <w:b/>
          <w:sz w:val="21"/>
          <w:szCs w:val="21"/>
        </w:rPr>
      </w:pPr>
      <w:r>
        <w:rPr>
          <w:b/>
          <w:sz w:val="21"/>
          <w:szCs w:val="21"/>
        </w:rPr>
        <w:t>7.3</w:t>
      </w:r>
      <w:r>
        <w:rPr>
          <w:rFonts w:hint="eastAsia"/>
          <w:b/>
          <w:sz w:val="21"/>
          <w:szCs w:val="21"/>
        </w:rPr>
        <w:t>技术文件</w:t>
      </w:r>
    </w:p>
    <w:p w14:paraId="4FD7AACD">
      <w:pPr>
        <w:topLinePunct w:val="0"/>
        <w:spacing w:line="360" w:lineRule="auto"/>
        <w:ind w:firstLine="420" w:firstLineChars="200"/>
        <w:rPr>
          <w:rFonts w:hint="eastAsia" w:ascii="宋体" w:hAnsi="宋体" w:cs="宋体"/>
          <w:color w:val="000000"/>
          <w:sz w:val="21"/>
          <w:szCs w:val="21"/>
        </w:rPr>
      </w:pPr>
      <w:r>
        <w:rPr>
          <w:rFonts w:hint="eastAsia" w:ascii="宋体" w:hAnsi="宋体"/>
          <w:sz w:val="21"/>
          <w:szCs w:val="21"/>
        </w:rPr>
        <w:t>供</w:t>
      </w:r>
      <w:r>
        <w:rPr>
          <w:rFonts w:hint="eastAsia" w:ascii="宋体" w:hAnsi="宋体" w:cs="宋体"/>
          <w:color w:val="000000"/>
          <w:sz w:val="21"/>
          <w:szCs w:val="21"/>
        </w:rPr>
        <w:t>应商应提供相关系统平台软件的全套技术文件、说明书等文件资料，包括技术文件、系统文件、软件系统技术文件、安装调测文件、维护操作文件、接口协议文件和买方认为必要的其它相关技术文件，并提供系统操作、安装及维护手册。</w:t>
      </w:r>
    </w:p>
    <w:p w14:paraId="1FC06C11">
      <w:pPr>
        <w:topLinePunct w:val="0"/>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提供的技术文件应与提供的软件产品相一致，技术文件应该全面、完整、详细；</w:t>
      </w:r>
    </w:p>
    <w:p w14:paraId="33FE89BD">
      <w:pPr>
        <w:topLinePunct w:val="0"/>
        <w:spacing w:line="360" w:lineRule="auto"/>
        <w:ind w:firstLine="420" w:firstLineChars="200"/>
        <w:rPr>
          <w:rFonts w:hint="eastAsia" w:ascii="宋体" w:hAnsi="宋体" w:cs="宋体"/>
          <w:color w:val="000000"/>
          <w:sz w:val="21"/>
          <w:szCs w:val="21"/>
        </w:rPr>
      </w:pPr>
      <w:r>
        <w:rPr>
          <w:rFonts w:hint="eastAsia" w:ascii="宋体" w:hAnsi="宋体" w:cs="宋体"/>
          <w:color w:val="000000"/>
          <w:sz w:val="21"/>
          <w:szCs w:val="21"/>
        </w:rPr>
        <w:t>文档和资料应提供电子文档和纸面文档，文件格式为Word文档或PDF文档或其他可视化文件。</w:t>
      </w:r>
    </w:p>
    <w:p w14:paraId="0BDADE78">
      <w:pPr>
        <w:pStyle w:val="4"/>
        <w:numPr>
          <w:ilvl w:val="0"/>
          <w:numId w:val="0"/>
        </w:numPr>
        <w:spacing w:before="156" w:after="156"/>
        <w:ind w:left="440" w:hanging="440"/>
        <w:rPr>
          <w:rFonts w:hint="eastAsia"/>
          <w:bCs w:val="0"/>
          <w:sz w:val="21"/>
          <w:szCs w:val="21"/>
        </w:rPr>
      </w:pPr>
      <w:r>
        <w:rPr>
          <w:rFonts w:hint="eastAsia"/>
          <w:bCs w:val="0"/>
          <w:sz w:val="21"/>
          <w:szCs w:val="21"/>
        </w:rPr>
        <w:t>8.网络与信息安全要求</w:t>
      </w:r>
    </w:p>
    <w:p w14:paraId="5727589F">
      <w:pPr>
        <w:spacing w:line="360" w:lineRule="auto"/>
        <w:ind w:firstLine="420" w:firstLineChars="200"/>
        <w:rPr>
          <w:rFonts w:hint="eastAsia" w:ascii="宋体" w:hAnsi="宋体"/>
          <w:sz w:val="21"/>
          <w:szCs w:val="21"/>
        </w:rPr>
      </w:pPr>
      <w:r>
        <w:rPr>
          <w:rFonts w:hint="eastAsia" w:ascii="宋体" w:hAnsi="宋体" w:cs="宋体"/>
          <w:sz w:val="21"/>
          <w:szCs w:val="21"/>
        </w:rPr>
        <w:t>供应商必须遵守电信相关操作规范、安全管理制度，建立科学的作业管理，保证项目过程中相关系统的可靠性、连续性和安全性；依据本项目的要求，制定网络信息安全保障方案；在项目实施过程中提供的规范书、维护手册、应急预案等文档必须包含安全内容。</w:t>
      </w:r>
    </w:p>
    <w:p w14:paraId="1B7FC29A">
      <w:pPr>
        <w:topLinePunct w:val="0"/>
        <w:spacing w:line="360" w:lineRule="auto"/>
        <w:ind w:firstLine="420" w:firstLineChars="200"/>
        <w:rPr>
          <w:rFonts w:hint="eastAsia" w:ascii="宋体" w:hAnsi="宋体"/>
          <w:sz w:val="21"/>
          <w:szCs w:val="21"/>
        </w:rPr>
      </w:pPr>
      <w:r>
        <w:rPr>
          <w:rFonts w:hint="eastAsia" w:ascii="宋体" w:hAnsi="宋体"/>
          <w:sz w:val="21"/>
          <w:szCs w:val="21"/>
        </w:rPr>
        <w:t>建立风险防范和预警管理机制，就项目管理中发现的潜在风险及时预警并编制重大风险应急预案，按采购人要求实施重大风险应急预案演练及落实相关改进措施。确保项目过程中的主机安全、网络安全、业务安全、应用安全、存储安全、信息安全等。</w:t>
      </w:r>
    </w:p>
    <w:p w14:paraId="0F594492">
      <w:pPr>
        <w:topLinePunct w:val="0"/>
        <w:spacing w:line="360" w:lineRule="auto"/>
        <w:ind w:firstLine="420" w:firstLineChars="200"/>
        <w:rPr>
          <w:rFonts w:hint="eastAsia" w:ascii="宋体" w:hAnsi="宋体"/>
          <w:sz w:val="21"/>
          <w:szCs w:val="21"/>
        </w:rPr>
      </w:pPr>
      <w:r>
        <w:rPr>
          <w:rFonts w:hint="eastAsia" w:ascii="宋体" w:hAnsi="宋体"/>
          <w:sz w:val="21"/>
          <w:szCs w:val="21"/>
        </w:rPr>
        <w:t>工作终端均安装网络安全防护软件；工作账号实名，妥善保管密码，不设置弱口令并定期更改口令。</w:t>
      </w:r>
    </w:p>
    <w:p w14:paraId="6EA85879">
      <w:pPr>
        <w:topLinePunct w:val="0"/>
        <w:spacing w:line="360" w:lineRule="auto"/>
        <w:ind w:firstLine="420" w:firstLineChars="200"/>
        <w:rPr>
          <w:rFonts w:hint="eastAsia" w:ascii="宋体" w:hAnsi="宋体"/>
          <w:sz w:val="21"/>
          <w:szCs w:val="21"/>
        </w:rPr>
      </w:pPr>
      <w:r>
        <w:rPr>
          <w:rFonts w:hint="eastAsia" w:ascii="宋体" w:hAnsi="宋体"/>
          <w:sz w:val="21"/>
          <w:szCs w:val="21"/>
        </w:rPr>
        <w:t>更换服务人员时及时通知中国电信停用相关账号权限。</w:t>
      </w:r>
    </w:p>
    <w:p w14:paraId="4B570614">
      <w:pPr>
        <w:topLinePunct w:val="0"/>
        <w:spacing w:line="360" w:lineRule="auto"/>
        <w:ind w:firstLine="420" w:firstLineChars="200"/>
        <w:rPr>
          <w:rFonts w:hint="eastAsia" w:ascii="宋体" w:hAnsi="宋体"/>
          <w:sz w:val="21"/>
          <w:szCs w:val="21"/>
        </w:rPr>
      </w:pPr>
      <w:r>
        <w:rPr>
          <w:rFonts w:hint="eastAsia" w:ascii="宋体" w:hAnsi="宋体"/>
          <w:sz w:val="21"/>
          <w:szCs w:val="21"/>
        </w:rPr>
        <w:t>未经采购人授权，不在相关系统中部署无关应用、添加无关账号及开放端口服务；如实记录关键操作日志。</w:t>
      </w:r>
    </w:p>
    <w:p w14:paraId="64910B4C">
      <w:pPr>
        <w:topLinePunct w:val="0"/>
        <w:spacing w:line="360" w:lineRule="auto"/>
        <w:ind w:firstLine="420" w:firstLineChars="200"/>
        <w:rPr>
          <w:rFonts w:hint="eastAsia" w:ascii="宋体" w:hAnsi="宋体"/>
          <w:sz w:val="21"/>
          <w:szCs w:val="21"/>
        </w:rPr>
      </w:pPr>
      <w:r>
        <w:rPr>
          <w:rFonts w:hint="eastAsia" w:ascii="宋体" w:hAnsi="宋体"/>
          <w:sz w:val="21"/>
          <w:szCs w:val="21"/>
        </w:rPr>
        <w:t>在接到中国电信网络与信息安全风险预警、事件信息后，第一时间处置、整改。</w:t>
      </w:r>
    </w:p>
    <w:p w14:paraId="2B6B613D">
      <w:pPr>
        <w:topLinePunct w:val="0"/>
        <w:spacing w:line="360" w:lineRule="auto"/>
        <w:ind w:firstLine="420" w:firstLineChars="200"/>
        <w:rPr>
          <w:rFonts w:hint="eastAsia" w:ascii="宋体" w:hAnsi="宋体"/>
          <w:sz w:val="21"/>
          <w:szCs w:val="21"/>
        </w:rPr>
      </w:pPr>
      <w:r>
        <w:rPr>
          <w:rFonts w:hint="eastAsia" w:ascii="宋体" w:hAnsi="宋体"/>
          <w:sz w:val="21"/>
          <w:szCs w:val="21"/>
        </w:rPr>
        <w:t>严格执行</w:t>
      </w:r>
      <w:r>
        <w:rPr>
          <w:rFonts w:ascii="宋体" w:hAnsi="宋体"/>
          <w:sz w:val="21"/>
          <w:szCs w:val="21"/>
        </w:rPr>
        <w:t>“</w:t>
      </w:r>
      <w:r>
        <w:rPr>
          <w:rFonts w:hint="eastAsia" w:ascii="宋体" w:hAnsi="宋体"/>
          <w:sz w:val="21"/>
          <w:szCs w:val="21"/>
        </w:rPr>
        <w:t>先备案、后接入</w:t>
      </w:r>
      <w:r>
        <w:rPr>
          <w:rFonts w:ascii="宋体" w:hAnsi="宋体"/>
          <w:sz w:val="21"/>
          <w:szCs w:val="21"/>
        </w:rPr>
        <w:t>”</w:t>
      </w:r>
      <w:r>
        <w:rPr>
          <w:rFonts w:hint="eastAsia" w:ascii="宋体" w:hAnsi="宋体"/>
          <w:sz w:val="21"/>
          <w:szCs w:val="21"/>
        </w:rPr>
        <w:t>管理规定，不经营、不接入未备案、虚假备案网站（包括但不限于通过域名、</w:t>
      </w:r>
      <w:r>
        <w:rPr>
          <w:rFonts w:ascii="宋体" w:hAnsi="宋体"/>
          <w:sz w:val="21"/>
          <w:szCs w:val="21"/>
        </w:rPr>
        <w:t>IP</w:t>
      </w:r>
      <w:r>
        <w:rPr>
          <w:rFonts w:hint="eastAsia" w:ascii="宋体" w:hAnsi="宋体"/>
          <w:sz w:val="21"/>
          <w:szCs w:val="21"/>
        </w:rPr>
        <w:t>地址等方式实现访问的网站），保证网站主体信息准确性和内容合法，保证网站全部服务、应用和内容无保密信息、有害信息、低俗信息以及其它不良信息与行为。</w:t>
      </w:r>
    </w:p>
    <w:p w14:paraId="4EAD5DA5">
      <w:pPr>
        <w:topLinePunct w:val="0"/>
        <w:spacing w:line="360" w:lineRule="auto"/>
        <w:ind w:firstLine="420" w:firstLineChars="200"/>
        <w:rPr>
          <w:rFonts w:hint="eastAsia" w:ascii="宋体" w:hAnsi="宋体"/>
          <w:sz w:val="21"/>
          <w:szCs w:val="21"/>
        </w:rPr>
      </w:pPr>
      <w:r>
        <w:rPr>
          <w:rFonts w:ascii="宋体" w:hAnsi="宋体"/>
          <w:sz w:val="21"/>
          <w:szCs w:val="21"/>
        </w:rPr>
        <w:sym w:font="Times New Roman" w:char="F0D8"/>
      </w:r>
      <w:r>
        <w:rPr>
          <w:rFonts w:hint="eastAsia" w:ascii="宋体" w:hAnsi="宋体"/>
          <w:sz w:val="21"/>
          <w:szCs w:val="21"/>
        </w:rPr>
        <w:t>不利用中国电信通信网络和业务平台，私自收集、存储、传输、销毁用户的各类个人信息；严格保守中国电信的商业秘密，不以任何形式向第三方披露，不私自复制、存储、传输和转借他人及公司。</w:t>
      </w:r>
    </w:p>
    <w:p w14:paraId="3084BB7E">
      <w:pPr>
        <w:pStyle w:val="4"/>
        <w:numPr>
          <w:ilvl w:val="0"/>
          <w:numId w:val="0"/>
        </w:numPr>
        <w:spacing w:before="156" w:after="156"/>
        <w:ind w:left="440" w:hanging="440"/>
        <w:rPr>
          <w:rFonts w:hint="eastAsia"/>
          <w:bCs w:val="0"/>
          <w:sz w:val="21"/>
          <w:szCs w:val="21"/>
        </w:rPr>
      </w:pPr>
      <w:r>
        <w:rPr>
          <w:rFonts w:hint="eastAsia"/>
          <w:bCs w:val="0"/>
          <w:sz w:val="21"/>
          <w:szCs w:val="21"/>
        </w:rPr>
        <w:t>9.验收考核要求</w:t>
      </w:r>
    </w:p>
    <w:p w14:paraId="0A104FA6">
      <w:pPr>
        <w:rPr>
          <w:rFonts w:hint="eastAsia" w:ascii="宋体" w:hAnsi="宋体"/>
          <w:sz w:val="21"/>
          <w:szCs w:val="21"/>
        </w:rPr>
      </w:pPr>
    </w:p>
    <w:tbl>
      <w:tblPr>
        <w:tblStyle w:val="8"/>
        <w:tblpPr w:leftFromText="180" w:rightFromText="180" w:vertAnchor="page" w:horzAnchor="margin" w:tblpY="2434"/>
        <w:tblW w:w="86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2"/>
        <w:gridCol w:w="1428"/>
        <w:gridCol w:w="2171"/>
        <w:gridCol w:w="2517"/>
        <w:gridCol w:w="1646"/>
      </w:tblGrid>
      <w:tr w14:paraId="2C19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8694" w:type="dxa"/>
            <w:gridSpan w:val="5"/>
          </w:tcPr>
          <w:p w14:paraId="105BC824">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功能验收清单</w:t>
            </w:r>
          </w:p>
        </w:tc>
      </w:tr>
      <w:tr w14:paraId="7E3D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32" w:type="dxa"/>
          </w:tcPr>
          <w:p w14:paraId="72C35BD7">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序号</w:t>
            </w:r>
          </w:p>
        </w:tc>
        <w:tc>
          <w:tcPr>
            <w:tcW w:w="1428" w:type="dxa"/>
          </w:tcPr>
          <w:p w14:paraId="4BA74C8D">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需求分类</w:t>
            </w:r>
          </w:p>
        </w:tc>
        <w:tc>
          <w:tcPr>
            <w:tcW w:w="2171" w:type="dxa"/>
          </w:tcPr>
          <w:p w14:paraId="6C30AA64">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需求</w:t>
            </w:r>
          </w:p>
        </w:tc>
        <w:tc>
          <w:tcPr>
            <w:tcW w:w="2517" w:type="dxa"/>
          </w:tcPr>
          <w:p w14:paraId="2205B11F">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功能</w:t>
            </w:r>
          </w:p>
        </w:tc>
        <w:tc>
          <w:tcPr>
            <w:tcW w:w="1646" w:type="dxa"/>
          </w:tcPr>
          <w:p w14:paraId="4F68B03A">
            <w:pPr>
              <w:jc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结果</w:t>
            </w:r>
          </w:p>
        </w:tc>
      </w:tr>
      <w:tr w14:paraId="5F61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932" w:type="dxa"/>
          </w:tcPr>
          <w:p w14:paraId="18E01FF7">
            <w:pPr>
              <w:jc w:val="center"/>
              <w:rPr>
                <w:rFonts w:hint="eastAsia" w:ascii="宋体" w:hAnsi="宋体" w:cs="宋体"/>
                <w:color w:val="000000"/>
                <w:kern w:val="0"/>
                <w:sz w:val="21"/>
                <w:szCs w:val="21"/>
              </w:rPr>
            </w:pPr>
            <w:r>
              <w:rPr>
                <w:rFonts w:hint="eastAsia" w:ascii="宋体" w:hAnsi="宋体" w:cs="宋体"/>
                <w:color w:val="000000"/>
                <w:kern w:val="0"/>
                <w:sz w:val="21"/>
                <w:szCs w:val="21"/>
              </w:rPr>
              <w:t>1</w:t>
            </w:r>
          </w:p>
        </w:tc>
        <w:tc>
          <w:tcPr>
            <w:tcW w:w="1428" w:type="dxa"/>
            <w:vMerge w:val="restart"/>
          </w:tcPr>
          <w:p w14:paraId="6936FCC0">
            <w:pPr>
              <w:jc w:val="center"/>
              <w:rPr>
                <w:rFonts w:hint="eastAsia" w:ascii="宋体" w:hAnsi="宋体" w:cs="宋体"/>
                <w:kern w:val="0"/>
                <w:sz w:val="21"/>
                <w:szCs w:val="21"/>
              </w:rPr>
            </w:pPr>
            <w:r>
              <w:rPr>
                <w:rFonts w:hint="eastAsia" w:ascii="宋体" w:hAnsi="宋体" w:cs="宋体"/>
                <w:kern w:val="0"/>
                <w:sz w:val="21"/>
                <w:szCs w:val="21"/>
              </w:rPr>
              <w:t>云网规划</w:t>
            </w:r>
          </w:p>
        </w:tc>
        <w:tc>
          <w:tcPr>
            <w:tcW w:w="2171" w:type="dxa"/>
          </w:tcPr>
          <w:p w14:paraId="7D8B5086">
            <w:pPr>
              <w:rPr>
                <w:rFonts w:hint="eastAsia" w:ascii="宋体" w:hAnsi="宋体"/>
                <w:color w:val="000000"/>
                <w:kern w:val="0"/>
                <w:sz w:val="21"/>
                <w:szCs w:val="21"/>
              </w:rPr>
            </w:pPr>
            <w:r>
              <w:rPr>
                <w:rFonts w:hint="eastAsia" w:ascii="宋体" w:hAnsi="宋体"/>
                <w:color w:val="000000"/>
                <w:kern w:val="0"/>
                <w:sz w:val="21"/>
                <w:szCs w:val="21"/>
              </w:rPr>
              <w:t>需求预测与评估</w:t>
            </w:r>
          </w:p>
        </w:tc>
        <w:tc>
          <w:tcPr>
            <w:tcW w:w="2517" w:type="dxa"/>
          </w:tcPr>
          <w:p w14:paraId="649D31C5">
            <w:pPr>
              <w:rPr>
                <w:rFonts w:hint="eastAsia" w:ascii="宋体" w:hAnsi="宋体" w:cs="宋体"/>
                <w:color w:val="000000"/>
                <w:kern w:val="0"/>
                <w:sz w:val="21"/>
                <w:szCs w:val="21"/>
              </w:rPr>
            </w:pPr>
            <w:r>
              <w:rPr>
                <w:rFonts w:hint="eastAsia" w:ascii="宋体" w:hAnsi="宋体" w:cs="宋体"/>
                <w:color w:val="000000"/>
                <w:kern w:val="0"/>
                <w:sz w:val="21"/>
                <w:szCs w:val="21"/>
              </w:rPr>
              <w:t>OCH波道路径自动规划，实现高效波道资源调度。</w:t>
            </w:r>
          </w:p>
        </w:tc>
        <w:tc>
          <w:tcPr>
            <w:tcW w:w="1646" w:type="dxa"/>
          </w:tcPr>
          <w:p w14:paraId="7D8B2D9A">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36D6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932" w:type="dxa"/>
          </w:tcPr>
          <w:p w14:paraId="35E1D0EE">
            <w:pPr>
              <w:jc w:val="center"/>
              <w:rPr>
                <w:rFonts w:hint="eastAsia" w:ascii="宋体" w:hAnsi="宋体" w:cs="宋体"/>
                <w:color w:val="000000"/>
                <w:kern w:val="0"/>
                <w:sz w:val="21"/>
                <w:szCs w:val="21"/>
              </w:rPr>
            </w:pPr>
            <w:r>
              <w:rPr>
                <w:rFonts w:hint="eastAsia" w:ascii="宋体" w:hAnsi="宋体" w:cs="宋体"/>
                <w:color w:val="000000"/>
                <w:kern w:val="0"/>
                <w:sz w:val="21"/>
                <w:szCs w:val="21"/>
              </w:rPr>
              <w:t>2</w:t>
            </w:r>
          </w:p>
        </w:tc>
        <w:tc>
          <w:tcPr>
            <w:tcW w:w="1428" w:type="dxa"/>
            <w:vMerge w:val="continue"/>
          </w:tcPr>
          <w:p w14:paraId="33191C9E">
            <w:pPr>
              <w:jc w:val="center"/>
              <w:rPr>
                <w:rFonts w:hint="eastAsia" w:ascii="宋体" w:hAnsi="宋体" w:cs="宋体"/>
                <w:kern w:val="0"/>
                <w:sz w:val="21"/>
                <w:szCs w:val="21"/>
              </w:rPr>
            </w:pPr>
          </w:p>
        </w:tc>
        <w:tc>
          <w:tcPr>
            <w:tcW w:w="2171" w:type="dxa"/>
          </w:tcPr>
          <w:p w14:paraId="656BB14A">
            <w:pPr>
              <w:rPr>
                <w:rFonts w:hint="eastAsia" w:ascii="宋体" w:hAnsi="宋体" w:cs="宋体"/>
                <w:color w:val="000000"/>
                <w:kern w:val="0"/>
                <w:sz w:val="21"/>
                <w:szCs w:val="21"/>
              </w:rPr>
            </w:pPr>
            <w:r>
              <w:rPr>
                <w:rFonts w:hint="eastAsia" w:ascii="宋体" w:hAnsi="宋体" w:cs="宋体"/>
                <w:color w:val="000000"/>
                <w:kern w:val="0"/>
                <w:sz w:val="21"/>
                <w:szCs w:val="21"/>
              </w:rPr>
              <w:t>方案规划与评估</w:t>
            </w:r>
          </w:p>
        </w:tc>
        <w:tc>
          <w:tcPr>
            <w:tcW w:w="2517" w:type="dxa"/>
          </w:tcPr>
          <w:p w14:paraId="6F7D4031">
            <w:pPr>
              <w:rPr>
                <w:rFonts w:hint="eastAsia" w:ascii="宋体" w:hAnsi="宋体" w:cs="宋体"/>
                <w:color w:val="000000"/>
                <w:kern w:val="0"/>
                <w:sz w:val="21"/>
                <w:szCs w:val="21"/>
              </w:rPr>
            </w:pPr>
            <w:r>
              <w:rPr>
                <w:rFonts w:hint="eastAsia" w:ascii="宋体" w:hAnsi="宋体" w:cs="宋体"/>
                <w:color w:val="000000"/>
                <w:kern w:val="0"/>
                <w:sz w:val="21"/>
                <w:szCs w:val="21"/>
              </w:rPr>
              <w:t>根据洞察结果提出需求预测。</w:t>
            </w:r>
          </w:p>
        </w:tc>
        <w:tc>
          <w:tcPr>
            <w:tcW w:w="1646" w:type="dxa"/>
          </w:tcPr>
          <w:p w14:paraId="33148F9D">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3342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32" w:type="dxa"/>
          </w:tcPr>
          <w:p w14:paraId="542C2EC6">
            <w:pPr>
              <w:jc w:val="center"/>
              <w:rPr>
                <w:rFonts w:hint="eastAsia" w:ascii="宋体" w:hAnsi="宋体"/>
                <w:kern w:val="0"/>
                <w:sz w:val="21"/>
                <w:szCs w:val="21"/>
              </w:rPr>
            </w:pPr>
            <w:r>
              <w:rPr>
                <w:rFonts w:hint="eastAsia" w:ascii="宋体" w:hAnsi="宋体"/>
                <w:kern w:val="0"/>
                <w:sz w:val="21"/>
                <w:szCs w:val="21"/>
              </w:rPr>
              <w:t>3</w:t>
            </w:r>
          </w:p>
        </w:tc>
        <w:tc>
          <w:tcPr>
            <w:tcW w:w="1428" w:type="dxa"/>
            <w:vMerge w:val="restart"/>
            <w:vAlign w:val="center"/>
          </w:tcPr>
          <w:p w14:paraId="3E0B4ECD">
            <w:pPr>
              <w:jc w:val="center"/>
              <w:rPr>
                <w:rFonts w:hint="eastAsia" w:ascii="宋体" w:hAnsi="宋体" w:cs="宋体"/>
                <w:color w:val="000000"/>
                <w:kern w:val="0"/>
                <w:sz w:val="21"/>
                <w:szCs w:val="21"/>
              </w:rPr>
            </w:pPr>
            <w:r>
              <w:rPr>
                <w:rFonts w:hint="eastAsia" w:ascii="宋体" w:hAnsi="宋体" w:cs="宋体"/>
                <w:color w:val="000000"/>
                <w:kern w:val="0"/>
                <w:sz w:val="21"/>
                <w:szCs w:val="21"/>
              </w:rPr>
              <w:t>云网建设</w:t>
            </w:r>
          </w:p>
        </w:tc>
        <w:tc>
          <w:tcPr>
            <w:tcW w:w="2171" w:type="dxa"/>
            <w:vAlign w:val="center"/>
          </w:tcPr>
          <w:p w14:paraId="52DAE563">
            <w:pPr>
              <w:rPr>
                <w:rFonts w:hint="eastAsia" w:ascii="宋体" w:hAnsi="宋体"/>
                <w:color w:val="000000"/>
                <w:kern w:val="0"/>
                <w:sz w:val="21"/>
                <w:szCs w:val="21"/>
              </w:rPr>
            </w:pPr>
            <w:r>
              <w:rPr>
                <w:rFonts w:hint="eastAsia" w:ascii="宋体" w:hAnsi="宋体"/>
                <w:color w:val="000000"/>
                <w:kern w:val="0"/>
                <w:sz w:val="21"/>
                <w:szCs w:val="21"/>
              </w:rPr>
              <w:t>集成设计与数据制作</w:t>
            </w:r>
          </w:p>
        </w:tc>
        <w:tc>
          <w:tcPr>
            <w:tcW w:w="2517" w:type="dxa"/>
          </w:tcPr>
          <w:p w14:paraId="329EFBC7">
            <w:pPr>
              <w:rPr>
                <w:rFonts w:hint="eastAsia" w:ascii="宋体" w:hAnsi="宋体" w:cs="宋体"/>
                <w:color w:val="000000"/>
                <w:kern w:val="0"/>
                <w:sz w:val="21"/>
                <w:szCs w:val="21"/>
              </w:rPr>
            </w:pPr>
            <w:r>
              <w:rPr>
                <w:rFonts w:hint="eastAsia" w:ascii="宋体" w:hAnsi="宋体" w:cs="宋体"/>
                <w:color w:val="000000"/>
                <w:kern w:val="0"/>
                <w:sz w:val="21"/>
                <w:szCs w:val="21"/>
              </w:rPr>
              <w:t>完成精品专线CPE采集管理。</w:t>
            </w:r>
          </w:p>
        </w:tc>
        <w:tc>
          <w:tcPr>
            <w:tcW w:w="1646" w:type="dxa"/>
          </w:tcPr>
          <w:p w14:paraId="182DE1F4">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2DE5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080358A0">
            <w:pPr>
              <w:jc w:val="center"/>
              <w:rPr>
                <w:rFonts w:hint="eastAsia" w:ascii="宋体" w:hAnsi="宋体"/>
                <w:kern w:val="0"/>
                <w:sz w:val="21"/>
                <w:szCs w:val="21"/>
              </w:rPr>
            </w:pPr>
            <w:r>
              <w:rPr>
                <w:rFonts w:hint="eastAsia" w:ascii="宋体" w:hAnsi="宋体"/>
                <w:kern w:val="0"/>
                <w:sz w:val="21"/>
                <w:szCs w:val="21"/>
              </w:rPr>
              <w:t>4</w:t>
            </w:r>
          </w:p>
        </w:tc>
        <w:tc>
          <w:tcPr>
            <w:tcW w:w="1428" w:type="dxa"/>
            <w:vMerge w:val="continue"/>
            <w:vAlign w:val="center"/>
          </w:tcPr>
          <w:p w14:paraId="036B95B8">
            <w:pPr>
              <w:jc w:val="center"/>
              <w:rPr>
                <w:rFonts w:hint="eastAsia" w:ascii="宋体" w:hAnsi="宋体" w:cs="宋体"/>
                <w:color w:val="000000"/>
                <w:kern w:val="0"/>
                <w:sz w:val="21"/>
                <w:szCs w:val="21"/>
              </w:rPr>
            </w:pPr>
          </w:p>
        </w:tc>
        <w:tc>
          <w:tcPr>
            <w:tcW w:w="2171" w:type="dxa"/>
            <w:vAlign w:val="center"/>
          </w:tcPr>
          <w:p w14:paraId="515B7209">
            <w:pPr>
              <w:rPr>
                <w:rFonts w:hint="eastAsia" w:ascii="宋体" w:hAnsi="宋体"/>
                <w:color w:val="000000"/>
                <w:kern w:val="0"/>
                <w:sz w:val="21"/>
                <w:szCs w:val="21"/>
              </w:rPr>
            </w:pPr>
            <w:r>
              <w:rPr>
                <w:rFonts w:hint="eastAsia" w:ascii="宋体" w:hAnsi="宋体"/>
                <w:color w:val="000000"/>
                <w:kern w:val="0"/>
                <w:sz w:val="21"/>
                <w:szCs w:val="21"/>
              </w:rPr>
              <w:t>云网安装部署</w:t>
            </w:r>
          </w:p>
        </w:tc>
        <w:tc>
          <w:tcPr>
            <w:tcW w:w="2517" w:type="dxa"/>
          </w:tcPr>
          <w:p w14:paraId="3C3293F8">
            <w:pPr>
              <w:rPr>
                <w:rFonts w:hint="eastAsia" w:ascii="宋体" w:hAnsi="宋体" w:cs="宋体"/>
                <w:color w:val="000000"/>
                <w:kern w:val="0"/>
                <w:sz w:val="21"/>
                <w:szCs w:val="21"/>
              </w:rPr>
            </w:pPr>
            <w:r>
              <w:rPr>
                <w:rFonts w:hint="eastAsia" w:ascii="宋体" w:hAnsi="宋体" w:cs="宋体"/>
                <w:color w:val="000000"/>
                <w:kern w:val="0"/>
                <w:sz w:val="21"/>
                <w:szCs w:val="21"/>
              </w:rPr>
              <w:t>完成精品专线CPE的安装部署验证。</w:t>
            </w:r>
          </w:p>
        </w:tc>
        <w:tc>
          <w:tcPr>
            <w:tcW w:w="1646" w:type="dxa"/>
          </w:tcPr>
          <w:p w14:paraId="7B635C9E">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2D4B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499DF47C">
            <w:pPr>
              <w:jc w:val="center"/>
              <w:rPr>
                <w:rFonts w:hint="eastAsia" w:ascii="宋体" w:hAnsi="宋体"/>
                <w:kern w:val="0"/>
                <w:sz w:val="21"/>
                <w:szCs w:val="21"/>
              </w:rPr>
            </w:pPr>
            <w:r>
              <w:rPr>
                <w:rFonts w:hint="eastAsia" w:ascii="宋体" w:hAnsi="宋体"/>
                <w:kern w:val="0"/>
                <w:sz w:val="21"/>
                <w:szCs w:val="21"/>
              </w:rPr>
              <w:t>5</w:t>
            </w:r>
          </w:p>
        </w:tc>
        <w:tc>
          <w:tcPr>
            <w:tcW w:w="1428" w:type="dxa"/>
            <w:vMerge w:val="continue"/>
            <w:vAlign w:val="center"/>
          </w:tcPr>
          <w:p w14:paraId="4BB91369">
            <w:pPr>
              <w:jc w:val="center"/>
              <w:rPr>
                <w:rFonts w:hint="eastAsia" w:ascii="宋体" w:hAnsi="宋体" w:cs="宋体"/>
                <w:color w:val="000000"/>
                <w:kern w:val="0"/>
                <w:sz w:val="21"/>
                <w:szCs w:val="21"/>
              </w:rPr>
            </w:pPr>
          </w:p>
        </w:tc>
        <w:tc>
          <w:tcPr>
            <w:tcW w:w="2171" w:type="dxa"/>
            <w:vAlign w:val="center"/>
          </w:tcPr>
          <w:p w14:paraId="162A7F3C">
            <w:pPr>
              <w:rPr>
                <w:rFonts w:hint="eastAsia" w:ascii="宋体" w:hAnsi="宋体"/>
                <w:color w:val="000000"/>
                <w:kern w:val="0"/>
                <w:sz w:val="21"/>
                <w:szCs w:val="21"/>
              </w:rPr>
            </w:pPr>
            <w:r>
              <w:rPr>
                <w:rFonts w:hint="eastAsia" w:ascii="宋体" w:hAnsi="宋体"/>
                <w:color w:val="000000"/>
                <w:kern w:val="0"/>
                <w:sz w:val="21"/>
                <w:szCs w:val="21"/>
              </w:rPr>
              <w:t>云网配置与调测</w:t>
            </w:r>
          </w:p>
        </w:tc>
        <w:tc>
          <w:tcPr>
            <w:tcW w:w="2517" w:type="dxa"/>
          </w:tcPr>
          <w:p w14:paraId="775FDD56">
            <w:pPr>
              <w:rPr>
                <w:rFonts w:hint="eastAsia" w:ascii="宋体" w:hAnsi="宋体" w:cs="宋体"/>
                <w:color w:val="000000"/>
                <w:kern w:val="0"/>
                <w:sz w:val="21"/>
                <w:szCs w:val="21"/>
              </w:rPr>
            </w:pPr>
            <w:r>
              <w:rPr>
                <w:rFonts w:hint="eastAsia" w:ascii="宋体" w:hAnsi="宋体" w:cs="宋体"/>
                <w:color w:val="000000"/>
                <w:kern w:val="0"/>
                <w:sz w:val="21"/>
                <w:szCs w:val="21"/>
              </w:rPr>
              <w:t>完成精品专线CPE的配置与调测。</w:t>
            </w:r>
          </w:p>
        </w:tc>
        <w:tc>
          <w:tcPr>
            <w:tcW w:w="1646" w:type="dxa"/>
          </w:tcPr>
          <w:p w14:paraId="33BB2374">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21BD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55A9D95F">
            <w:pPr>
              <w:jc w:val="center"/>
              <w:rPr>
                <w:rFonts w:hint="eastAsia" w:ascii="宋体" w:hAnsi="宋体"/>
                <w:kern w:val="0"/>
                <w:sz w:val="21"/>
                <w:szCs w:val="21"/>
              </w:rPr>
            </w:pPr>
            <w:r>
              <w:rPr>
                <w:rFonts w:hint="eastAsia" w:ascii="宋体" w:hAnsi="宋体"/>
                <w:kern w:val="0"/>
                <w:sz w:val="21"/>
                <w:szCs w:val="21"/>
              </w:rPr>
              <w:t>6</w:t>
            </w:r>
          </w:p>
        </w:tc>
        <w:tc>
          <w:tcPr>
            <w:tcW w:w="1428" w:type="dxa"/>
            <w:vMerge w:val="continue"/>
            <w:vAlign w:val="center"/>
          </w:tcPr>
          <w:p w14:paraId="7004FB62">
            <w:pPr>
              <w:jc w:val="center"/>
              <w:rPr>
                <w:rFonts w:hint="eastAsia" w:ascii="宋体" w:hAnsi="宋体" w:cs="宋体"/>
                <w:color w:val="000000"/>
                <w:kern w:val="0"/>
                <w:sz w:val="21"/>
                <w:szCs w:val="21"/>
              </w:rPr>
            </w:pPr>
          </w:p>
        </w:tc>
        <w:tc>
          <w:tcPr>
            <w:tcW w:w="2171" w:type="dxa"/>
            <w:vAlign w:val="center"/>
          </w:tcPr>
          <w:p w14:paraId="0A2CD1B2">
            <w:pPr>
              <w:rPr>
                <w:rFonts w:hint="eastAsia" w:ascii="宋体" w:hAnsi="宋体"/>
                <w:color w:val="000000"/>
                <w:kern w:val="0"/>
                <w:sz w:val="21"/>
                <w:szCs w:val="21"/>
              </w:rPr>
            </w:pPr>
            <w:r>
              <w:rPr>
                <w:rFonts w:hint="eastAsia" w:ascii="宋体" w:hAnsi="宋体"/>
                <w:color w:val="000000"/>
                <w:kern w:val="0"/>
                <w:sz w:val="21"/>
                <w:szCs w:val="21"/>
              </w:rPr>
              <w:t>验收交维</w:t>
            </w:r>
          </w:p>
        </w:tc>
        <w:tc>
          <w:tcPr>
            <w:tcW w:w="2517" w:type="dxa"/>
          </w:tcPr>
          <w:p w14:paraId="74754D23">
            <w:pPr>
              <w:rPr>
                <w:rFonts w:hint="eastAsia" w:ascii="宋体" w:hAnsi="宋体" w:cs="宋体"/>
                <w:color w:val="000000"/>
                <w:kern w:val="0"/>
                <w:sz w:val="21"/>
                <w:szCs w:val="21"/>
              </w:rPr>
            </w:pPr>
            <w:r>
              <w:rPr>
                <w:rFonts w:hint="eastAsia" w:ascii="宋体" w:hAnsi="宋体" w:cs="宋体"/>
                <w:color w:val="000000"/>
                <w:kern w:val="0"/>
                <w:sz w:val="21"/>
                <w:szCs w:val="21"/>
              </w:rPr>
              <w:t>完成设备纳管配置、稽核、功能验收、关键配置整改。</w:t>
            </w:r>
          </w:p>
        </w:tc>
        <w:tc>
          <w:tcPr>
            <w:tcW w:w="1646" w:type="dxa"/>
          </w:tcPr>
          <w:p w14:paraId="531D2FC0">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4897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932" w:type="dxa"/>
          </w:tcPr>
          <w:p w14:paraId="056D9D0C">
            <w:pPr>
              <w:jc w:val="center"/>
              <w:rPr>
                <w:rFonts w:hint="eastAsia" w:ascii="宋体" w:hAnsi="宋体"/>
                <w:kern w:val="0"/>
                <w:sz w:val="21"/>
                <w:szCs w:val="21"/>
              </w:rPr>
            </w:pPr>
            <w:r>
              <w:rPr>
                <w:rFonts w:hint="eastAsia" w:ascii="宋体" w:hAnsi="宋体"/>
                <w:kern w:val="0"/>
                <w:sz w:val="21"/>
                <w:szCs w:val="21"/>
              </w:rPr>
              <w:t>7</w:t>
            </w:r>
          </w:p>
        </w:tc>
        <w:tc>
          <w:tcPr>
            <w:tcW w:w="1428" w:type="dxa"/>
            <w:vMerge w:val="restart"/>
            <w:vAlign w:val="center"/>
          </w:tcPr>
          <w:p w14:paraId="592E98DE">
            <w:pPr>
              <w:jc w:val="center"/>
              <w:rPr>
                <w:rFonts w:hint="eastAsia" w:ascii="宋体" w:hAnsi="宋体" w:cs="宋体"/>
                <w:color w:val="000000"/>
                <w:kern w:val="0"/>
                <w:sz w:val="21"/>
                <w:szCs w:val="21"/>
              </w:rPr>
            </w:pPr>
            <w:r>
              <w:rPr>
                <w:rFonts w:hint="eastAsia" w:ascii="宋体" w:hAnsi="宋体" w:cs="宋体"/>
                <w:color w:val="000000"/>
                <w:kern w:val="0"/>
                <w:sz w:val="21"/>
                <w:szCs w:val="21"/>
              </w:rPr>
              <w:t>监控排障</w:t>
            </w:r>
          </w:p>
        </w:tc>
        <w:tc>
          <w:tcPr>
            <w:tcW w:w="2171" w:type="dxa"/>
            <w:vAlign w:val="center"/>
          </w:tcPr>
          <w:p w14:paraId="6BAB6FBC">
            <w:pPr>
              <w:rPr>
                <w:rFonts w:hint="eastAsia" w:ascii="宋体" w:hAnsi="宋体"/>
                <w:color w:val="000000"/>
                <w:kern w:val="0"/>
                <w:sz w:val="21"/>
                <w:szCs w:val="21"/>
              </w:rPr>
            </w:pPr>
            <w:r>
              <w:rPr>
                <w:rFonts w:hint="eastAsia" w:ascii="宋体" w:hAnsi="宋体"/>
                <w:color w:val="000000"/>
                <w:kern w:val="0"/>
                <w:sz w:val="21"/>
                <w:szCs w:val="21"/>
              </w:rPr>
              <w:t>故障识别</w:t>
            </w:r>
          </w:p>
        </w:tc>
        <w:tc>
          <w:tcPr>
            <w:tcW w:w="2517" w:type="dxa"/>
          </w:tcPr>
          <w:p w14:paraId="2AEA7F80">
            <w:pPr>
              <w:rPr>
                <w:rFonts w:hint="eastAsia" w:ascii="宋体" w:hAnsi="宋体" w:cs="宋体"/>
                <w:color w:val="000000"/>
                <w:kern w:val="0"/>
                <w:sz w:val="21"/>
                <w:szCs w:val="21"/>
              </w:rPr>
            </w:pPr>
            <w:r>
              <w:rPr>
                <w:rFonts w:hint="eastAsia" w:ascii="宋体" w:hAnsi="宋体" w:cs="宋体"/>
                <w:color w:val="000000"/>
                <w:kern w:val="0"/>
                <w:sz w:val="21"/>
                <w:szCs w:val="21"/>
              </w:rPr>
              <w:t>提供业务端到端路径及其上下层关系查询能力；完成基础信息查询类任务，包括业务/通道/系统相关的性能及状态信息、故障影响面清单、故障识别规则维护等。</w:t>
            </w:r>
          </w:p>
        </w:tc>
        <w:tc>
          <w:tcPr>
            <w:tcW w:w="1646" w:type="dxa"/>
          </w:tcPr>
          <w:p w14:paraId="012A2340">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5BCC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652422FD">
            <w:pPr>
              <w:jc w:val="center"/>
              <w:rPr>
                <w:rFonts w:hint="eastAsia" w:ascii="宋体" w:hAnsi="宋体"/>
                <w:kern w:val="0"/>
                <w:sz w:val="21"/>
                <w:szCs w:val="21"/>
              </w:rPr>
            </w:pPr>
            <w:r>
              <w:rPr>
                <w:rFonts w:hint="eastAsia" w:ascii="宋体" w:hAnsi="宋体"/>
                <w:kern w:val="0"/>
                <w:sz w:val="21"/>
                <w:szCs w:val="21"/>
              </w:rPr>
              <w:t>8</w:t>
            </w:r>
          </w:p>
        </w:tc>
        <w:tc>
          <w:tcPr>
            <w:tcW w:w="1428" w:type="dxa"/>
            <w:vMerge w:val="continue"/>
            <w:vAlign w:val="center"/>
          </w:tcPr>
          <w:p w14:paraId="365F41DE">
            <w:pPr>
              <w:jc w:val="center"/>
              <w:rPr>
                <w:rFonts w:hint="eastAsia" w:ascii="宋体" w:hAnsi="宋体" w:cs="宋体"/>
                <w:color w:val="000000"/>
                <w:kern w:val="0"/>
                <w:sz w:val="21"/>
                <w:szCs w:val="21"/>
              </w:rPr>
            </w:pPr>
          </w:p>
        </w:tc>
        <w:tc>
          <w:tcPr>
            <w:tcW w:w="2171" w:type="dxa"/>
            <w:vAlign w:val="center"/>
          </w:tcPr>
          <w:p w14:paraId="7F6EA215">
            <w:pPr>
              <w:rPr>
                <w:rFonts w:hint="eastAsia" w:ascii="宋体" w:hAnsi="宋体"/>
                <w:color w:val="000000"/>
                <w:kern w:val="0"/>
                <w:sz w:val="21"/>
                <w:szCs w:val="21"/>
              </w:rPr>
            </w:pPr>
            <w:r>
              <w:rPr>
                <w:rFonts w:hint="eastAsia" w:ascii="宋体" w:hAnsi="宋体"/>
                <w:color w:val="000000"/>
                <w:kern w:val="0"/>
                <w:sz w:val="21"/>
                <w:szCs w:val="21"/>
              </w:rPr>
              <w:t>隐患发现</w:t>
            </w:r>
          </w:p>
        </w:tc>
        <w:tc>
          <w:tcPr>
            <w:tcW w:w="2517" w:type="dxa"/>
          </w:tcPr>
          <w:p w14:paraId="524D07EC">
            <w:pPr>
              <w:rPr>
                <w:rFonts w:hint="eastAsia" w:ascii="宋体" w:hAnsi="宋体" w:cs="宋体"/>
                <w:color w:val="000000"/>
                <w:kern w:val="0"/>
                <w:sz w:val="21"/>
                <w:szCs w:val="21"/>
              </w:rPr>
            </w:pPr>
            <w:r>
              <w:rPr>
                <w:rFonts w:hint="eastAsia" w:ascii="宋体" w:hAnsi="宋体" w:cs="宋体"/>
                <w:color w:val="000000"/>
                <w:kern w:val="0"/>
                <w:sz w:val="21"/>
                <w:szCs w:val="21"/>
              </w:rPr>
              <w:t>实现单网元/网络/业务级隐患分层自动识别；智能预测系统/链路/电路运行态势。</w:t>
            </w:r>
          </w:p>
        </w:tc>
        <w:tc>
          <w:tcPr>
            <w:tcW w:w="1646" w:type="dxa"/>
          </w:tcPr>
          <w:p w14:paraId="7035D228">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75B3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4493E2B3">
            <w:pPr>
              <w:jc w:val="center"/>
              <w:rPr>
                <w:rFonts w:hint="eastAsia" w:ascii="宋体" w:hAnsi="宋体"/>
                <w:kern w:val="0"/>
                <w:sz w:val="21"/>
                <w:szCs w:val="21"/>
              </w:rPr>
            </w:pPr>
            <w:r>
              <w:rPr>
                <w:rFonts w:hint="eastAsia" w:ascii="宋体" w:hAnsi="宋体"/>
                <w:kern w:val="0"/>
                <w:sz w:val="21"/>
                <w:szCs w:val="21"/>
              </w:rPr>
              <w:t>9</w:t>
            </w:r>
          </w:p>
        </w:tc>
        <w:tc>
          <w:tcPr>
            <w:tcW w:w="1428" w:type="dxa"/>
            <w:vMerge w:val="continue"/>
            <w:vAlign w:val="center"/>
          </w:tcPr>
          <w:p w14:paraId="786CCA63">
            <w:pPr>
              <w:jc w:val="center"/>
              <w:rPr>
                <w:rFonts w:hint="eastAsia" w:ascii="宋体" w:hAnsi="宋体" w:cs="宋体"/>
                <w:color w:val="000000"/>
                <w:kern w:val="0"/>
                <w:sz w:val="21"/>
                <w:szCs w:val="21"/>
              </w:rPr>
            </w:pPr>
          </w:p>
        </w:tc>
        <w:tc>
          <w:tcPr>
            <w:tcW w:w="2171" w:type="dxa"/>
            <w:vAlign w:val="center"/>
          </w:tcPr>
          <w:p w14:paraId="009D1E3F">
            <w:pPr>
              <w:rPr>
                <w:rFonts w:hint="eastAsia" w:ascii="宋体" w:hAnsi="宋体"/>
                <w:color w:val="000000"/>
                <w:kern w:val="0"/>
                <w:sz w:val="21"/>
                <w:szCs w:val="21"/>
              </w:rPr>
            </w:pPr>
            <w:r>
              <w:rPr>
                <w:rFonts w:hint="eastAsia" w:ascii="宋体" w:hAnsi="宋体"/>
                <w:color w:val="000000"/>
                <w:kern w:val="0"/>
                <w:sz w:val="21"/>
                <w:szCs w:val="21"/>
              </w:rPr>
              <w:t>根因定位</w:t>
            </w:r>
          </w:p>
        </w:tc>
        <w:tc>
          <w:tcPr>
            <w:tcW w:w="2517" w:type="dxa"/>
          </w:tcPr>
          <w:p w14:paraId="269E081E">
            <w:pPr>
              <w:rPr>
                <w:rFonts w:hint="eastAsia" w:ascii="宋体" w:hAnsi="宋体" w:cs="宋体"/>
                <w:color w:val="000000"/>
                <w:kern w:val="0"/>
                <w:sz w:val="21"/>
                <w:szCs w:val="21"/>
              </w:rPr>
            </w:pPr>
            <w:r>
              <w:rPr>
                <w:rFonts w:hint="eastAsia" w:ascii="宋体" w:hAnsi="宋体" w:cs="宋体"/>
                <w:color w:val="000000"/>
                <w:kern w:val="0"/>
                <w:sz w:val="21"/>
                <w:szCs w:val="21"/>
              </w:rPr>
              <w:t>自动定界定位，精准分析业务影响并输出受影响业务列表及程度；支持确定性及预测性的故障定位能力。</w:t>
            </w:r>
          </w:p>
        </w:tc>
        <w:tc>
          <w:tcPr>
            <w:tcW w:w="1646" w:type="dxa"/>
          </w:tcPr>
          <w:p w14:paraId="17AA2757">
            <w:pPr>
              <w:rPr>
                <w:rFonts w:hint="eastAsia" w:ascii="宋体" w:hAnsi="宋体"/>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62E1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14CAED7C">
            <w:pPr>
              <w:jc w:val="center"/>
              <w:rPr>
                <w:rFonts w:hint="eastAsia" w:ascii="宋体" w:hAnsi="宋体"/>
                <w:kern w:val="0"/>
                <w:sz w:val="21"/>
                <w:szCs w:val="21"/>
              </w:rPr>
            </w:pPr>
            <w:r>
              <w:rPr>
                <w:rFonts w:hint="eastAsia" w:ascii="宋体" w:hAnsi="宋体"/>
                <w:kern w:val="0"/>
                <w:sz w:val="21"/>
                <w:szCs w:val="21"/>
              </w:rPr>
              <w:t>10</w:t>
            </w:r>
          </w:p>
        </w:tc>
        <w:tc>
          <w:tcPr>
            <w:tcW w:w="1428" w:type="dxa"/>
            <w:vMerge w:val="continue"/>
            <w:vAlign w:val="center"/>
          </w:tcPr>
          <w:p w14:paraId="480570CF">
            <w:pPr>
              <w:jc w:val="center"/>
              <w:rPr>
                <w:rFonts w:hint="eastAsia" w:ascii="宋体" w:hAnsi="宋体" w:cs="宋体"/>
                <w:color w:val="000000"/>
                <w:kern w:val="0"/>
                <w:sz w:val="21"/>
                <w:szCs w:val="21"/>
              </w:rPr>
            </w:pPr>
          </w:p>
        </w:tc>
        <w:tc>
          <w:tcPr>
            <w:tcW w:w="2171" w:type="dxa"/>
            <w:vAlign w:val="center"/>
          </w:tcPr>
          <w:p w14:paraId="13C588F9">
            <w:pPr>
              <w:rPr>
                <w:rFonts w:hint="eastAsia" w:ascii="宋体" w:hAnsi="宋体"/>
                <w:color w:val="000000"/>
                <w:kern w:val="0"/>
                <w:sz w:val="21"/>
                <w:szCs w:val="21"/>
              </w:rPr>
            </w:pPr>
            <w:r>
              <w:rPr>
                <w:rFonts w:hint="eastAsia" w:ascii="宋体" w:hAnsi="宋体"/>
                <w:color w:val="000000"/>
                <w:kern w:val="0"/>
                <w:sz w:val="21"/>
                <w:szCs w:val="21"/>
              </w:rPr>
              <w:t>修复方案及决策</w:t>
            </w:r>
          </w:p>
        </w:tc>
        <w:tc>
          <w:tcPr>
            <w:tcW w:w="2517" w:type="dxa"/>
          </w:tcPr>
          <w:p w14:paraId="1C246EC8">
            <w:pPr>
              <w:rPr>
                <w:rFonts w:hint="eastAsia" w:ascii="宋体" w:hAnsi="宋体" w:cs="宋体"/>
                <w:color w:val="000000"/>
                <w:kern w:val="0"/>
                <w:sz w:val="21"/>
                <w:szCs w:val="21"/>
              </w:rPr>
            </w:pPr>
            <w:r>
              <w:rPr>
                <w:rFonts w:hint="eastAsia" w:ascii="宋体" w:hAnsi="宋体" w:cs="宋体"/>
                <w:color w:val="000000"/>
                <w:kern w:val="0"/>
                <w:sz w:val="21"/>
                <w:szCs w:val="21"/>
              </w:rPr>
              <w:t>制定优化调整方案，辅助人工决策。</w:t>
            </w:r>
          </w:p>
        </w:tc>
        <w:tc>
          <w:tcPr>
            <w:tcW w:w="1646" w:type="dxa"/>
          </w:tcPr>
          <w:p w14:paraId="3CBABC95">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7431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7E86F6F8">
            <w:pPr>
              <w:jc w:val="center"/>
              <w:rPr>
                <w:rFonts w:hint="eastAsia" w:ascii="宋体" w:hAnsi="宋体"/>
                <w:kern w:val="0"/>
                <w:sz w:val="21"/>
                <w:szCs w:val="21"/>
              </w:rPr>
            </w:pPr>
            <w:r>
              <w:rPr>
                <w:rFonts w:hint="eastAsia" w:ascii="宋体" w:hAnsi="宋体"/>
                <w:kern w:val="0"/>
                <w:sz w:val="21"/>
                <w:szCs w:val="21"/>
              </w:rPr>
              <w:t>11</w:t>
            </w:r>
          </w:p>
        </w:tc>
        <w:tc>
          <w:tcPr>
            <w:tcW w:w="1428" w:type="dxa"/>
            <w:vMerge w:val="continue"/>
            <w:vAlign w:val="center"/>
          </w:tcPr>
          <w:p w14:paraId="1ABD8DD8">
            <w:pPr>
              <w:jc w:val="center"/>
              <w:rPr>
                <w:rFonts w:hint="eastAsia" w:ascii="宋体" w:hAnsi="宋体" w:cs="宋体"/>
                <w:color w:val="000000"/>
                <w:kern w:val="0"/>
                <w:sz w:val="21"/>
                <w:szCs w:val="21"/>
              </w:rPr>
            </w:pPr>
          </w:p>
        </w:tc>
        <w:tc>
          <w:tcPr>
            <w:tcW w:w="2171" w:type="dxa"/>
            <w:vAlign w:val="center"/>
          </w:tcPr>
          <w:p w14:paraId="74F753C8">
            <w:pPr>
              <w:rPr>
                <w:rFonts w:hint="eastAsia" w:ascii="宋体" w:hAnsi="宋体"/>
                <w:color w:val="000000"/>
                <w:kern w:val="0"/>
                <w:sz w:val="21"/>
                <w:szCs w:val="21"/>
              </w:rPr>
            </w:pPr>
            <w:r>
              <w:rPr>
                <w:rFonts w:hint="eastAsia" w:ascii="宋体" w:hAnsi="宋体"/>
                <w:color w:val="000000"/>
                <w:kern w:val="0"/>
                <w:sz w:val="21"/>
                <w:szCs w:val="21"/>
              </w:rPr>
              <w:t>故障修复验证</w:t>
            </w:r>
          </w:p>
        </w:tc>
        <w:tc>
          <w:tcPr>
            <w:tcW w:w="2517" w:type="dxa"/>
          </w:tcPr>
          <w:p w14:paraId="4F562853">
            <w:pPr>
              <w:rPr>
                <w:rFonts w:hint="eastAsia" w:ascii="宋体" w:hAnsi="宋体" w:cs="宋体"/>
                <w:color w:val="000000"/>
                <w:kern w:val="0"/>
                <w:sz w:val="21"/>
                <w:szCs w:val="21"/>
              </w:rPr>
            </w:pPr>
            <w:r>
              <w:rPr>
                <w:rFonts w:hint="eastAsia" w:ascii="宋体" w:hAnsi="宋体" w:cs="宋体"/>
                <w:color w:val="000000"/>
                <w:kern w:val="0"/>
                <w:sz w:val="21"/>
                <w:szCs w:val="21"/>
              </w:rPr>
              <w:t>进行故障修复并验证，能自动实时对效果进行验证。</w:t>
            </w:r>
          </w:p>
        </w:tc>
        <w:tc>
          <w:tcPr>
            <w:tcW w:w="1646" w:type="dxa"/>
          </w:tcPr>
          <w:p w14:paraId="3755DDFB">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00A6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32C321D0">
            <w:pPr>
              <w:jc w:val="center"/>
              <w:rPr>
                <w:rFonts w:hint="eastAsia" w:ascii="宋体" w:hAnsi="宋体"/>
                <w:kern w:val="0"/>
                <w:sz w:val="21"/>
                <w:szCs w:val="21"/>
              </w:rPr>
            </w:pPr>
            <w:r>
              <w:rPr>
                <w:rFonts w:hint="eastAsia" w:ascii="宋体" w:hAnsi="宋体"/>
                <w:kern w:val="0"/>
                <w:sz w:val="21"/>
                <w:szCs w:val="21"/>
              </w:rPr>
              <w:t>12</w:t>
            </w:r>
          </w:p>
        </w:tc>
        <w:tc>
          <w:tcPr>
            <w:tcW w:w="1428" w:type="dxa"/>
            <w:vMerge w:val="restart"/>
            <w:vAlign w:val="center"/>
          </w:tcPr>
          <w:p w14:paraId="02F4E615">
            <w:pPr>
              <w:jc w:val="center"/>
              <w:rPr>
                <w:rFonts w:hint="eastAsia" w:ascii="宋体" w:hAnsi="宋体" w:cs="宋体"/>
                <w:color w:val="000000"/>
                <w:kern w:val="0"/>
                <w:sz w:val="21"/>
                <w:szCs w:val="21"/>
              </w:rPr>
            </w:pPr>
            <w:r>
              <w:rPr>
                <w:rFonts w:hint="eastAsia" w:ascii="宋体" w:hAnsi="宋体" w:cs="宋体"/>
                <w:color w:val="000000"/>
                <w:kern w:val="0"/>
                <w:sz w:val="21"/>
                <w:szCs w:val="21"/>
              </w:rPr>
              <w:t>例行巡检</w:t>
            </w:r>
          </w:p>
        </w:tc>
        <w:tc>
          <w:tcPr>
            <w:tcW w:w="2171" w:type="dxa"/>
            <w:vAlign w:val="center"/>
          </w:tcPr>
          <w:p w14:paraId="082B6BFB">
            <w:pPr>
              <w:rPr>
                <w:rFonts w:hint="eastAsia" w:ascii="宋体" w:hAnsi="宋体"/>
                <w:color w:val="000000"/>
                <w:kern w:val="0"/>
                <w:sz w:val="21"/>
                <w:szCs w:val="21"/>
              </w:rPr>
            </w:pPr>
            <w:r>
              <w:rPr>
                <w:rFonts w:hint="eastAsia" w:ascii="宋体" w:hAnsi="宋体"/>
                <w:color w:val="000000"/>
                <w:kern w:val="0"/>
                <w:sz w:val="21"/>
                <w:szCs w:val="21"/>
              </w:rPr>
              <w:t>巡检方案制定</w:t>
            </w:r>
          </w:p>
        </w:tc>
        <w:tc>
          <w:tcPr>
            <w:tcW w:w="2517" w:type="dxa"/>
          </w:tcPr>
          <w:p w14:paraId="04DA2015">
            <w:pPr>
              <w:rPr>
                <w:rFonts w:hint="eastAsia" w:ascii="宋体" w:hAnsi="宋体" w:cs="宋体"/>
                <w:color w:val="000000"/>
                <w:kern w:val="0"/>
                <w:sz w:val="21"/>
                <w:szCs w:val="21"/>
              </w:rPr>
            </w:pPr>
            <w:r>
              <w:rPr>
                <w:rFonts w:hint="eastAsia" w:ascii="宋体" w:hAnsi="宋体" w:cs="宋体"/>
                <w:color w:val="000000"/>
                <w:kern w:val="0"/>
                <w:sz w:val="21"/>
                <w:szCs w:val="21"/>
              </w:rPr>
              <w:t>巡检基准值管理；支持个性化巡检方案定制；具备巡检派单自动生成处理方案的能力。</w:t>
            </w:r>
          </w:p>
        </w:tc>
        <w:tc>
          <w:tcPr>
            <w:tcW w:w="1646" w:type="dxa"/>
          </w:tcPr>
          <w:p w14:paraId="3F0D69F6">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075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1A9E36EF">
            <w:pPr>
              <w:jc w:val="center"/>
              <w:rPr>
                <w:rFonts w:hint="eastAsia" w:ascii="宋体" w:hAnsi="宋体"/>
                <w:kern w:val="0"/>
                <w:sz w:val="21"/>
                <w:szCs w:val="21"/>
              </w:rPr>
            </w:pPr>
            <w:r>
              <w:rPr>
                <w:rFonts w:hint="eastAsia" w:ascii="宋体" w:hAnsi="宋体"/>
                <w:kern w:val="0"/>
                <w:sz w:val="21"/>
                <w:szCs w:val="21"/>
              </w:rPr>
              <w:t>13</w:t>
            </w:r>
          </w:p>
        </w:tc>
        <w:tc>
          <w:tcPr>
            <w:tcW w:w="1428" w:type="dxa"/>
            <w:vMerge w:val="continue"/>
            <w:vAlign w:val="center"/>
          </w:tcPr>
          <w:p w14:paraId="42AE3A21">
            <w:pPr>
              <w:jc w:val="center"/>
              <w:rPr>
                <w:rFonts w:hint="eastAsia" w:ascii="宋体" w:hAnsi="宋体" w:cs="宋体"/>
                <w:color w:val="000000"/>
                <w:kern w:val="0"/>
                <w:sz w:val="21"/>
                <w:szCs w:val="21"/>
              </w:rPr>
            </w:pPr>
          </w:p>
        </w:tc>
        <w:tc>
          <w:tcPr>
            <w:tcW w:w="2171" w:type="dxa"/>
            <w:vAlign w:val="center"/>
          </w:tcPr>
          <w:p w14:paraId="30F8D806">
            <w:pPr>
              <w:rPr>
                <w:rFonts w:hint="eastAsia" w:ascii="宋体" w:hAnsi="宋体"/>
                <w:color w:val="000000"/>
                <w:kern w:val="0"/>
                <w:sz w:val="21"/>
                <w:szCs w:val="21"/>
              </w:rPr>
            </w:pPr>
            <w:r>
              <w:rPr>
                <w:rFonts w:hint="eastAsia" w:ascii="宋体" w:hAnsi="宋体"/>
                <w:color w:val="000000"/>
                <w:kern w:val="0"/>
                <w:sz w:val="21"/>
                <w:szCs w:val="21"/>
              </w:rPr>
              <w:t>巡检方案执行</w:t>
            </w:r>
          </w:p>
        </w:tc>
        <w:tc>
          <w:tcPr>
            <w:tcW w:w="2517" w:type="dxa"/>
          </w:tcPr>
          <w:p w14:paraId="558419AC">
            <w:pPr>
              <w:rPr>
                <w:rFonts w:hint="eastAsia" w:ascii="宋体" w:hAnsi="宋体" w:cs="宋体"/>
                <w:color w:val="000000"/>
                <w:kern w:val="0"/>
                <w:sz w:val="21"/>
                <w:szCs w:val="21"/>
              </w:rPr>
            </w:pPr>
            <w:r>
              <w:rPr>
                <w:rFonts w:hint="eastAsia" w:ascii="宋体" w:hAnsi="宋体" w:cs="宋体"/>
                <w:color w:val="000000"/>
                <w:kern w:val="0"/>
                <w:sz w:val="21"/>
                <w:szCs w:val="21"/>
              </w:rPr>
              <w:t>巡检自动化执行率达90%以上</w:t>
            </w:r>
          </w:p>
        </w:tc>
        <w:tc>
          <w:tcPr>
            <w:tcW w:w="1646" w:type="dxa"/>
          </w:tcPr>
          <w:p w14:paraId="47D9BDDD">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55DA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7DEA5993">
            <w:pPr>
              <w:jc w:val="center"/>
              <w:rPr>
                <w:rFonts w:hint="eastAsia" w:ascii="宋体" w:hAnsi="宋体"/>
                <w:kern w:val="0"/>
                <w:sz w:val="21"/>
                <w:szCs w:val="21"/>
              </w:rPr>
            </w:pPr>
            <w:r>
              <w:rPr>
                <w:rFonts w:hint="eastAsia" w:ascii="宋体" w:hAnsi="宋体"/>
                <w:kern w:val="0"/>
                <w:sz w:val="21"/>
                <w:szCs w:val="21"/>
              </w:rPr>
              <w:t>14</w:t>
            </w:r>
          </w:p>
        </w:tc>
        <w:tc>
          <w:tcPr>
            <w:tcW w:w="1428" w:type="dxa"/>
            <w:vMerge w:val="continue"/>
            <w:vAlign w:val="center"/>
          </w:tcPr>
          <w:p w14:paraId="227B5557">
            <w:pPr>
              <w:jc w:val="center"/>
              <w:rPr>
                <w:rFonts w:hint="eastAsia" w:ascii="宋体" w:hAnsi="宋体" w:cs="宋体"/>
                <w:color w:val="000000"/>
                <w:kern w:val="0"/>
                <w:sz w:val="21"/>
                <w:szCs w:val="21"/>
              </w:rPr>
            </w:pPr>
          </w:p>
        </w:tc>
        <w:tc>
          <w:tcPr>
            <w:tcW w:w="2171" w:type="dxa"/>
            <w:vAlign w:val="center"/>
          </w:tcPr>
          <w:p w14:paraId="7085A4AC">
            <w:pPr>
              <w:rPr>
                <w:rFonts w:hint="eastAsia" w:ascii="宋体" w:hAnsi="宋体"/>
                <w:color w:val="000000"/>
                <w:kern w:val="0"/>
                <w:sz w:val="21"/>
                <w:szCs w:val="21"/>
              </w:rPr>
            </w:pPr>
            <w:r>
              <w:rPr>
                <w:rFonts w:hint="eastAsia" w:ascii="宋体" w:hAnsi="宋体"/>
                <w:color w:val="000000"/>
                <w:kern w:val="0"/>
                <w:sz w:val="21"/>
                <w:szCs w:val="21"/>
              </w:rPr>
              <w:t>巡检结果分析及异常处理</w:t>
            </w:r>
          </w:p>
        </w:tc>
        <w:tc>
          <w:tcPr>
            <w:tcW w:w="2517" w:type="dxa"/>
          </w:tcPr>
          <w:p w14:paraId="520B51EB">
            <w:pPr>
              <w:rPr>
                <w:rFonts w:hint="eastAsia" w:ascii="宋体" w:hAnsi="宋体" w:cs="宋体"/>
                <w:color w:val="000000"/>
                <w:kern w:val="0"/>
                <w:sz w:val="21"/>
                <w:szCs w:val="21"/>
              </w:rPr>
            </w:pPr>
            <w:r>
              <w:rPr>
                <w:rFonts w:hint="eastAsia" w:ascii="宋体" w:hAnsi="宋体" w:cs="宋体"/>
                <w:color w:val="000000"/>
                <w:kern w:val="0"/>
                <w:sz w:val="21"/>
                <w:szCs w:val="21"/>
              </w:rPr>
              <w:t>巡检异常结果，并对巡检异常结果，给出处理建议。</w:t>
            </w:r>
          </w:p>
        </w:tc>
        <w:tc>
          <w:tcPr>
            <w:tcW w:w="1646" w:type="dxa"/>
          </w:tcPr>
          <w:p w14:paraId="175292E5">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66936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28FBAD19">
            <w:pPr>
              <w:jc w:val="center"/>
              <w:rPr>
                <w:rFonts w:hint="eastAsia" w:ascii="宋体" w:hAnsi="宋体"/>
                <w:kern w:val="0"/>
                <w:sz w:val="21"/>
                <w:szCs w:val="21"/>
              </w:rPr>
            </w:pPr>
            <w:r>
              <w:rPr>
                <w:rFonts w:hint="eastAsia" w:ascii="宋体" w:hAnsi="宋体"/>
                <w:kern w:val="0"/>
                <w:sz w:val="21"/>
                <w:szCs w:val="21"/>
              </w:rPr>
              <w:t>15</w:t>
            </w:r>
          </w:p>
        </w:tc>
        <w:tc>
          <w:tcPr>
            <w:tcW w:w="1428" w:type="dxa"/>
            <w:vMerge w:val="restart"/>
            <w:vAlign w:val="center"/>
          </w:tcPr>
          <w:p w14:paraId="5A2C5A9E">
            <w:pPr>
              <w:jc w:val="center"/>
              <w:rPr>
                <w:rFonts w:hint="eastAsia" w:ascii="宋体" w:hAnsi="宋体" w:cs="宋体"/>
                <w:color w:val="000000"/>
                <w:kern w:val="0"/>
                <w:sz w:val="21"/>
                <w:szCs w:val="21"/>
              </w:rPr>
            </w:pPr>
            <w:r>
              <w:rPr>
                <w:rFonts w:hint="eastAsia" w:ascii="宋体" w:hAnsi="宋体" w:cs="宋体"/>
                <w:color w:val="000000"/>
                <w:kern w:val="0"/>
                <w:sz w:val="21"/>
                <w:szCs w:val="21"/>
              </w:rPr>
              <w:t>割接维护</w:t>
            </w:r>
          </w:p>
        </w:tc>
        <w:tc>
          <w:tcPr>
            <w:tcW w:w="2171" w:type="dxa"/>
            <w:vAlign w:val="center"/>
          </w:tcPr>
          <w:p w14:paraId="729D44A0">
            <w:pPr>
              <w:rPr>
                <w:rFonts w:hint="eastAsia" w:ascii="宋体" w:hAnsi="宋体"/>
                <w:color w:val="000000"/>
                <w:kern w:val="0"/>
                <w:sz w:val="21"/>
                <w:szCs w:val="21"/>
              </w:rPr>
            </w:pPr>
            <w:r>
              <w:rPr>
                <w:rFonts w:hint="eastAsia" w:ascii="宋体" w:hAnsi="宋体"/>
                <w:color w:val="000000"/>
                <w:kern w:val="0"/>
                <w:sz w:val="21"/>
                <w:szCs w:val="21"/>
              </w:rPr>
              <w:t>变更方案设计</w:t>
            </w:r>
          </w:p>
        </w:tc>
        <w:tc>
          <w:tcPr>
            <w:tcW w:w="2517" w:type="dxa"/>
          </w:tcPr>
          <w:p w14:paraId="165E972D">
            <w:pPr>
              <w:rPr>
                <w:rFonts w:hint="eastAsia" w:ascii="宋体" w:hAnsi="宋体" w:cs="宋体"/>
                <w:color w:val="000000"/>
                <w:kern w:val="0"/>
                <w:sz w:val="21"/>
                <w:szCs w:val="21"/>
              </w:rPr>
            </w:pPr>
            <w:r>
              <w:rPr>
                <w:rFonts w:hint="eastAsia" w:ascii="宋体" w:hAnsi="宋体" w:cs="宋体"/>
                <w:color w:val="000000"/>
                <w:kern w:val="0"/>
                <w:sz w:val="21"/>
                <w:szCs w:val="21"/>
              </w:rPr>
              <w:t>变更操作设计方案自动生成。</w:t>
            </w:r>
          </w:p>
        </w:tc>
        <w:tc>
          <w:tcPr>
            <w:tcW w:w="1646" w:type="dxa"/>
          </w:tcPr>
          <w:p w14:paraId="45DA664D">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57DF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3EE4485E">
            <w:pPr>
              <w:jc w:val="center"/>
              <w:rPr>
                <w:rFonts w:hint="eastAsia" w:ascii="宋体" w:hAnsi="宋体"/>
                <w:kern w:val="0"/>
                <w:sz w:val="21"/>
                <w:szCs w:val="21"/>
              </w:rPr>
            </w:pPr>
            <w:r>
              <w:rPr>
                <w:rFonts w:hint="eastAsia" w:ascii="宋体" w:hAnsi="宋体"/>
                <w:kern w:val="0"/>
                <w:sz w:val="21"/>
                <w:szCs w:val="21"/>
              </w:rPr>
              <w:t>16</w:t>
            </w:r>
          </w:p>
        </w:tc>
        <w:tc>
          <w:tcPr>
            <w:tcW w:w="1428" w:type="dxa"/>
            <w:vMerge w:val="continue"/>
            <w:vAlign w:val="center"/>
          </w:tcPr>
          <w:p w14:paraId="56B918A9">
            <w:pPr>
              <w:jc w:val="center"/>
              <w:rPr>
                <w:rFonts w:hint="eastAsia" w:ascii="宋体" w:hAnsi="宋体" w:cs="宋体"/>
                <w:color w:val="000000"/>
                <w:kern w:val="0"/>
                <w:sz w:val="21"/>
                <w:szCs w:val="21"/>
              </w:rPr>
            </w:pPr>
          </w:p>
        </w:tc>
        <w:tc>
          <w:tcPr>
            <w:tcW w:w="2171" w:type="dxa"/>
            <w:vAlign w:val="center"/>
          </w:tcPr>
          <w:p w14:paraId="15F3F56C">
            <w:pPr>
              <w:rPr>
                <w:rFonts w:hint="eastAsia" w:ascii="宋体" w:hAnsi="宋体"/>
                <w:color w:val="000000"/>
                <w:kern w:val="0"/>
                <w:sz w:val="21"/>
                <w:szCs w:val="21"/>
              </w:rPr>
            </w:pPr>
            <w:r>
              <w:rPr>
                <w:rFonts w:hint="eastAsia" w:ascii="宋体" w:hAnsi="宋体"/>
                <w:color w:val="000000"/>
                <w:kern w:val="0"/>
                <w:sz w:val="21"/>
                <w:szCs w:val="21"/>
              </w:rPr>
              <w:t>风险评估决策</w:t>
            </w:r>
          </w:p>
        </w:tc>
        <w:tc>
          <w:tcPr>
            <w:tcW w:w="2517" w:type="dxa"/>
          </w:tcPr>
          <w:p w14:paraId="4B1AE489">
            <w:pPr>
              <w:rPr>
                <w:rFonts w:hint="eastAsia" w:ascii="宋体" w:hAnsi="宋体" w:cs="宋体"/>
                <w:color w:val="000000"/>
                <w:kern w:val="0"/>
                <w:sz w:val="21"/>
                <w:szCs w:val="21"/>
              </w:rPr>
            </w:pPr>
            <w:r>
              <w:rPr>
                <w:rFonts w:hint="eastAsia" w:ascii="宋体" w:hAnsi="宋体" w:cs="宋体"/>
                <w:color w:val="000000"/>
                <w:kern w:val="0"/>
                <w:sz w:val="21"/>
                <w:szCs w:val="21"/>
              </w:rPr>
              <w:t>自动评估、风险处置方案智能决策。</w:t>
            </w:r>
          </w:p>
        </w:tc>
        <w:tc>
          <w:tcPr>
            <w:tcW w:w="1646" w:type="dxa"/>
          </w:tcPr>
          <w:p w14:paraId="61BE2D5D">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089F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2AE35063">
            <w:pPr>
              <w:jc w:val="center"/>
              <w:rPr>
                <w:rFonts w:hint="eastAsia" w:ascii="宋体" w:hAnsi="宋体"/>
                <w:kern w:val="0"/>
                <w:sz w:val="21"/>
                <w:szCs w:val="21"/>
              </w:rPr>
            </w:pPr>
            <w:r>
              <w:rPr>
                <w:rFonts w:hint="eastAsia" w:ascii="宋体" w:hAnsi="宋体"/>
                <w:kern w:val="0"/>
                <w:sz w:val="21"/>
                <w:szCs w:val="21"/>
              </w:rPr>
              <w:t>17</w:t>
            </w:r>
          </w:p>
        </w:tc>
        <w:tc>
          <w:tcPr>
            <w:tcW w:w="1428" w:type="dxa"/>
            <w:vMerge w:val="continue"/>
            <w:vAlign w:val="center"/>
          </w:tcPr>
          <w:p w14:paraId="6D8FB157">
            <w:pPr>
              <w:jc w:val="center"/>
              <w:rPr>
                <w:rFonts w:hint="eastAsia" w:ascii="宋体" w:hAnsi="宋体" w:cs="宋体"/>
                <w:color w:val="000000"/>
                <w:kern w:val="0"/>
                <w:sz w:val="21"/>
                <w:szCs w:val="21"/>
              </w:rPr>
            </w:pPr>
          </w:p>
        </w:tc>
        <w:tc>
          <w:tcPr>
            <w:tcW w:w="2171" w:type="dxa"/>
            <w:vAlign w:val="center"/>
          </w:tcPr>
          <w:p w14:paraId="3C934C78">
            <w:pPr>
              <w:rPr>
                <w:rFonts w:hint="eastAsia" w:ascii="宋体" w:hAnsi="宋体"/>
                <w:color w:val="000000"/>
                <w:kern w:val="0"/>
                <w:sz w:val="21"/>
                <w:szCs w:val="21"/>
              </w:rPr>
            </w:pPr>
            <w:r>
              <w:rPr>
                <w:rFonts w:hint="eastAsia" w:ascii="宋体" w:hAnsi="宋体"/>
                <w:color w:val="000000"/>
                <w:kern w:val="0"/>
                <w:sz w:val="21"/>
                <w:szCs w:val="21"/>
              </w:rPr>
              <w:t>变更操作</w:t>
            </w:r>
          </w:p>
        </w:tc>
        <w:tc>
          <w:tcPr>
            <w:tcW w:w="2517" w:type="dxa"/>
          </w:tcPr>
          <w:p w14:paraId="79E966CA">
            <w:pPr>
              <w:rPr>
                <w:rFonts w:hint="eastAsia" w:ascii="宋体" w:hAnsi="宋体" w:cs="宋体"/>
                <w:color w:val="000000"/>
                <w:kern w:val="0"/>
                <w:sz w:val="21"/>
                <w:szCs w:val="21"/>
              </w:rPr>
            </w:pPr>
            <w:r>
              <w:rPr>
                <w:rFonts w:hint="eastAsia" w:ascii="宋体" w:hAnsi="宋体" w:cs="宋体"/>
                <w:color w:val="000000"/>
                <w:kern w:val="0"/>
                <w:sz w:val="21"/>
                <w:szCs w:val="21"/>
              </w:rPr>
              <w:t>提供变更操作注意事项；提供发现异常自动回退、自动通知能力。</w:t>
            </w:r>
          </w:p>
        </w:tc>
        <w:tc>
          <w:tcPr>
            <w:tcW w:w="1646" w:type="dxa"/>
          </w:tcPr>
          <w:p w14:paraId="0A19535D">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71EC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7683ADF9">
            <w:pPr>
              <w:jc w:val="center"/>
              <w:rPr>
                <w:rFonts w:hint="eastAsia" w:ascii="宋体" w:hAnsi="宋体"/>
                <w:kern w:val="0"/>
                <w:sz w:val="21"/>
                <w:szCs w:val="21"/>
              </w:rPr>
            </w:pPr>
            <w:r>
              <w:rPr>
                <w:rFonts w:hint="eastAsia" w:ascii="宋体" w:hAnsi="宋体"/>
                <w:kern w:val="0"/>
                <w:sz w:val="21"/>
                <w:szCs w:val="21"/>
              </w:rPr>
              <w:t>18</w:t>
            </w:r>
          </w:p>
        </w:tc>
        <w:tc>
          <w:tcPr>
            <w:tcW w:w="1428" w:type="dxa"/>
            <w:vMerge w:val="continue"/>
            <w:vAlign w:val="center"/>
          </w:tcPr>
          <w:p w14:paraId="34B61CEC">
            <w:pPr>
              <w:jc w:val="center"/>
              <w:rPr>
                <w:rFonts w:hint="eastAsia" w:ascii="宋体" w:hAnsi="宋体" w:cs="宋体"/>
                <w:color w:val="000000"/>
                <w:kern w:val="0"/>
                <w:sz w:val="21"/>
                <w:szCs w:val="21"/>
              </w:rPr>
            </w:pPr>
          </w:p>
        </w:tc>
        <w:tc>
          <w:tcPr>
            <w:tcW w:w="2171" w:type="dxa"/>
            <w:vAlign w:val="center"/>
          </w:tcPr>
          <w:p w14:paraId="49806020">
            <w:pPr>
              <w:rPr>
                <w:rFonts w:hint="eastAsia" w:ascii="宋体" w:hAnsi="宋体"/>
                <w:color w:val="000000"/>
                <w:kern w:val="0"/>
                <w:sz w:val="21"/>
                <w:szCs w:val="21"/>
              </w:rPr>
            </w:pPr>
            <w:r>
              <w:rPr>
                <w:rFonts w:hint="eastAsia" w:ascii="宋体" w:hAnsi="宋体"/>
                <w:color w:val="000000"/>
                <w:kern w:val="0"/>
                <w:sz w:val="21"/>
                <w:szCs w:val="21"/>
              </w:rPr>
              <w:t>业务验证</w:t>
            </w:r>
          </w:p>
        </w:tc>
        <w:tc>
          <w:tcPr>
            <w:tcW w:w="2517" w:type="dxa"/>
          </w:tcPr>
          <w:p w14:paraId="5CF49606">
            <w:pPr>
              <w:rPr>
                <w:rFonts w:hint="eastAsia" w:ascii="宋体" w:hAnsi="宋体" w:cs="宋体"/>
                <w:color w:val="000000"/>
                <w:kern w:val="0"/>
                <w:sz w:val="21"/>
                <w:szCs w:val="21"/>
              </w:rPr>
            </w:pPr>
            <w:r>
              <w:rPr>
                <w:rFonts w:hint="eastAsia" w:ascii="宋体" w:hAnsi="宋体" w:cs="宋体"/>
                <w:color w:val="000000"/>
                <w:kern w:val="0"/>
                <w:sz w:val="21"/>
                <w:szCs w:val="21"/>
              </w:rPr>
              <w:t>配置规则识别网络和业务状态的能力，发起业务测试的能力。</w:t>
            </w:r>
          </w:p>
        </w:tc>
        <w:tc>
          <w:tcPr>
            <w:tcW w:w="1646" w:type="dxa"/>
          </w:tcPr>
          <w:p w14:paraId="2E2C3B53">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12A4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1D2F0BBD">
            <w:pPr>
              <w:jc w:val="center"/>
              <w:rPr>
                <w:rFonts w:hint="eastAsia" w:ascii="宋体" w:hAnsi="宋体"/>
                <w:kern w:val="0"/>
                <w:sz w:val="21"/>
                <w:szCs w:val="21"/>
              </w:rPr>
            </w:pPr>
            <w:r>
              <w:rPr>
                <w:rFonts w:hint="eastAsia" w:ascii="宋体" w:hAnsi="宋体"/>
                <w:kern w:val="0"/>
                <w:sz w:val="21"/>
                <w:szCs w:val="21"/>
              </w:rPr>
              <w:t>19</w:t>
            </w:r>
          </w:p>
        </w:tc>
        <w:tc>
          <w:tcPr>
            <w:tcW w:w="1428" w:type="dxa"/>
            <w:vMerge w:val="restart"/>
            <w:vAlign w:val="center"/>
          </w:tcPr>
          <w:p w14:paraId="30E21279">
            <w:pPr>
              <w:jc w:val="center"/>
              <w:rPr>
                <w:rFonts w:hint="eastAsia" w:ascii="宋体" w:hAnsi="宋体" w:cs="宋体"/>
                <w:color w:val="000000"/>
                <w:kern w:val="0"/>
                <w:sz w:val="21"/>
                <w:szCs w:val="21"/>
              </w:rPr>
            </w:pPr>
            <w:r>
              <w:rPr>
                <w:rFonts w:hint="eastAsia" w:ascii="宋体" w:hAnsi="宋体" w:cs="宋体"/>
                <w:color w:val="000000"/>
                <w:kern w:val="0"/>
                <w:sz w:val="21"/>
                <w:szCs w:val="21"/>
              </w:rPr>
              <w:t>网络及业务质量优化</w:t>
            </w:r>
          </w:p>
        </w:tc>
        <w:tc>
          <w:tcPr>
            <w:tcW w:w="2171" w:type="dxa"/>
            <w:vAlign w:val="center"/>
          </w:tcPr>
          <w:p w14:paraId="6BEB8A5D">
            <w:pPr>
              <w:rPr>
                <w:rFonts w:hint="eastAsia" w:ascii="宋体" w:hAnsi="宋体"/>
                <w:color w:val="000000"/>
                <w:kern w:val="0"/>
                <w:sz w:val="21"/>
                <w:szCs w:val="21"/>
              </w:rPr>
            </w:pPr>
            <w:r>
              <w:rPr>
                <w:rFonts w:hint="eastAsia" w:ascii="宋体" w:hAnsi="宋体"/>
                <w:color w:val="000000"/>
                <w:kern w:val="0"/>
                <w:sz w:val="21"/>
                <w:szCs w:val="21"/>
              </w:rPr>
              <w:t>质量检测</w:t>
            </w:r>
          </w:p>
        </w:tc>
        <w:tc>
          <w:tcPr>
            <w:tcW w:w="2517" w:type="dxa"/>
          </w:tcPr>
          <w:p w14:paraId="46280CE4">
            <w:pPr>
              <w:rPr>
                <w:rFonts w:hint="eastAsia" w:ascii="宋体" w:hAnsi="宋体" w:cs="宋体"/>
                <w:color w:val="000000"/>
                <w:kern w:val="0"/>
                <w:sz w:val="21"/>
                <w:szCs w:val="21"/>
              </w:rPr>
            </w:pPr>
            <w:r>
              <w:rPr>
                <w:rFonts w:hint="eastAsia" w:ascii="宋体" w:hAnsi="宋体" w:cs="宋体"/>
                <w:color w:val="000000"/>
                <w:kern w:val="0"/>
                <w:sz w:val="21"/>
                <w:szCs w:val="21"/>
              </w:rPr>
              <w:t>生成基准值、门限值，并进行性能趋势预测。</w:t>
            </w:r>
          </w:p>
        </w:tc>
        <w:tc>
          <w:tcPr>
            <w:tcW w:w="1646" w:type="dxa"/>
          </w:tcPr>
          <w:p w14:paraId="09837174">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12C3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408B59A5">
            <w:pPr>
              <w:jc w:val="center"/>
              <w:rPr>
                <w:rFonts w:hint="eastAsia" w:ascii="宋体" w:hAnsi="宋体"/>
                <w:kern w:val="0"/>
                <w:sz w:val="21"/>
                <w:szCs w:val="21"/>
              </w:rPr>
            </w:pPr>
            <w:r>
              <w:rPr>
                <w:rFonts w:hint="eastAsia" w:ascii="宋体" w:hAnsi="宋体"/>
                <w:kern w:val="0"/>
                <w:sz w:val="21"/>
                <w:szCs w:val="21"/>
              </w:rPr>
              <w:t>20</w:t>
            </w:r>
          </w:p>
        </w:tc>
        <w:tc>
          <w:tcPr>
            <w:tcW w:w="1428" w:type="dxa"/>
            <w:vMerge w:val="continue"/>
            <w:vAlign w:val="center"/>
          </w:tcPr>
          <w:p w14:paraId="3CFAE45C">
            <w:pPr>
              <w:rPr>
                <w:rFonts w:hint="eastAsia" w:ascii="宋体" w:hAnsi="宋体" w:cs="宋体"/>
                <w:color w:val="000000"/>
                <w:kern w:val="0"/>
                <w:sz w:val="21"/>
                <w:szCs w:val="21"/>
              </w:rPr>
            </w:pPr>
          </w:p>
        </w:tc>
        <w:tc>
          <w:tcPr>
            <w:tcW w:w="2171" w:type="dxa"/>
            <w:vAlign w:val="center"/>
          </w:tcPr>
          <w:p w14:paraId="001779F6">
            <w:pPr>
              <w:rPr>
                <w:rFonts w:hint="eastAsia" w:ascii="宋体" w:hAnsi="宋体"/>
                <w:color w:val="000000"/>
                <w:kern w:val="0"/>
                <w:sz w:val="21"/>
                <w:szCs w:val="21"/>
              </w:rPr>
            </w:pPr>
            <w:r>
              <w:rPr>
                <w:rFonts w:hint="eastAsia" w:ascii="宋体" w:hAnsi="宋体"/>
                <w:color w:val="000000"/>
                <w:kern w:val="0"/>
                <w:sz w:val="21"/>
                <w:szCs w:val="21"/>
              </w:rPr>
              <w:t>质差问题识别</w:t>
            </w:r>
          </w:p>
        </w:tc>
        <w:tc>
          <w:tcPr>
            <w:tcW w:w="2517" w:type="dxa"/>
          </w:tcPr>
          <w:p w14:paraId="1FAE925C">
            <w:pPr>
              <w:rPr>
                <w:rFonts w:hint="eastAsia" w:ascii="宋体" w:hAnsi="宋体" w:cs="宋体"/>
                <w:color w:val="000000"/>
                <w:kern w:val="0"/>
                <w:sz w:val="21"/>
                <w:szCs w:val="21"/>
              </w:rPr>
            </w:pPr>
            <w:r>
              <w:rPr>
                <w:rFonts w:hint="eastAsia" w:ascii="宋体" w:hAnsi="宋体" w:cs="宋体"/>
                <w:color w:val="000000"/>
                <w:kern w:val="0"/>
                <w:sz w:val="21"/>
                <w:szCs w:val="21"/>
              </w:rPr>
              <w:t>利用传输智能体实现单网元/网络/业务级质差自动识别。</w:t>
            </w:r>
          </w:p>
        </w:tc>
        <w:tc>
          <w:tcPr>
            <w:tcW w:w="1646" w:type="dxa"/>
          </w:tcPr>
          <w:p w14:paraId="07318B8C">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312D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67021324">
            <w:pPr>
              <w:jc w:val="center"/>
              <w:rPr>
                <w:rFonts w:hint="eastAsia" w:ascii="宋体" w:hAnsi="宋体"/>
                <w:kern w:val="0"/>
                <w:sz w:val="21"/>
                <w:szCs w:val="21"/>
              </w:rPr>
            </w:pPr>
            <w:r>
              <w:rPr>
                <w:rFonts w:hint="eastAsia" w:ascii="宋体" w:hAnsi="宋体"/>
                <w:kern w:val="0"/>
                <w:sz w:val="21"/>
                <w:szCs w:val="21"/>
              </w:rPr>
              <w:t>21</w:t>
            </w:r>
          </w:p>
        </w:tc>
        <w:tc>
          <w:tcPr>
            <w:tcW w:w="1428" w:type="dxa"/>
            <w:vMerge w:val="continue"/>
            <w:vAlign w:val="center"/>
          </w:tcPr>
          <w:p w14:paraId="55A542C3">
            <w:pPr>
              <w:rPr>
                <w:rFonts w:hint="eastAsia" w:ascii="宋体" w:hAnsi="宋体" w:cs="宋体"/>
                <w:color w:val="000000"/>
                <w:kern w:val="0"/>
                <w:sz w:val="21"/>
                <w:szCs w:val="21"/>
              </w:rPr>
            </w:pPr>
          </w:p>
        </w:tc>
        <w:tc>
          <w:tcPr>
            <w:tcW w:w="2171" w:type="dxa"/>
            <w:vAlign w:val="center"/>
          </w:tcPr>
          <w:p w14:paraId="3FFF2841">
            <w:pPr>
              <w:rPr>
                <w:rFonts w:hint="eastAsia" w:ascii="宋体" w:hAnsi="宋体"/>
                <w:color w:val="000000"/>
                <w:kern w:val="0"/>
                <w:sz w:val="21"/>
                <w:szCs w:val="21"/>
              </w:rPr>
            </w:pPr>
            <w:r>
              <w:rPr>
                <w:rFonts w:hint="eastAsia" w:ascii="宋体" w:hAnsi="宋体"/>
                <w:color w:val="000000"/>
                <w:kern w:val="0"/>
                <w:sz w:val="21"/>
                <w:szCs w:val="21"/>
              </w:rPr>
              <w:t>质差问题定位</w:t>
            </w:r>
          </w:p>
        </w:tc>
        <w:tc>
          <w:tcPr>
            <w:tcW w:w="2517" w:type="dxa"/>
          </w:tcPr>
          <w:p w14:paraId="3AB8114B">
            <w:pPr>
              <w:rPr>
                <w:rFonts w:hint="eastAsia" w:ascii="宋体" w:hAnsi="宋体" w:cs="宋体"/>
                <w:color w:val="000000"/>
                <w:kern w:val="0"/>
                <w:sz w:val="21"/>
                <w:szCs w:val="21"/>
              </w:rPr>
            </w:pPr>
            <w:r>
              <w:rPr>
                <w:rFonts w:hint="eastAsia" w:ascii="宋体" w:hAnsi="宋体" w:cs="宋体"/>
                <w:color w:val="000000"/>
                <w:kern w:val="0"/>
                <w:sz w:val="21"/>
                <w:szCs w:val="21"/>
              </w:rPr>
              <w:t>利用传输智能体自动定界定位，精准分析业务影响并输出受影响业务列表及程度。</w:t>
            </w:r>
          </w:p>
        </w:tc>
        <w:tc>
          <w:tcPr>
            <w:tcW w:w="1646" w:type="dxa"/>
          </w:tcPr>
          <w:p w14:paraId="427C2F41">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351E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419D428B">
            <w:pPr>
              <w:jc w:val="center"/>
              <w:rPr>
                <w:rFonts w:hint="eastAsia" w:ascii="宋体" w:hAnsi="宋体"/>
                <w:kern w:val="0"/>
                <w:sz w:val="21"/>
                <w:szCs w:val="21"/>
              </w:rPr>
            </w:pPr>
            <w:r>
              <w:rPr>
                <w:rFonts w:hint="eastAsia" w:ascii="宋体" w:hAnsi="宋体"/>
                <w:kern w:val="0"/>
                <w:sz w:val="21"/>
                <w:szCs w:val="21"/>
              </w:rPr>
              <w:t>22</w:t>
            </w:r>
          </w:p>
        </w:tc>
        <w:tc>
          <w:tcPr>
            <w:tcW w:w="1428" w:type="dxa"/>
            <w:vMerge w:val="continue"/>
            <w:vAlign w:val="center"/>
          </w:tcPr>
          <w:p w14:paraId="490EA7A9">
            <w:pPr>
              <w:rPr>
                <w:rFonts w:hint="eastAsia" w:ascii="宋体" w:hAnsi="宋体" w:cs="宋体"/>
                <w:color w:val="000000"/>
                <w:kern w:val="0"/>
                <w:sz w:val="21"/>
                <w:szCs w:val="21"/>
              </w:rPr>
            </w:pPr>
          </w:p>
        </w:tc>
        <w:tc>
          <w:tcPr>
            <w:tcW w:w="2171" w:type="dxa"/>
            <w:vAlign w:val="center"/>
          </w:tcPr>
          <w:p w14:paraId="5242DE14">
            <w:pPr>
              <w:rPr>
                <w:rFonts w:hint="eastAsia" w:ascii="宋体" w:hAnsi="宋体"/>
                <w:color w:val="000000"/>
                <w:kern w:val="0"/>
                <w:sz w:val="21"/>
                <w:szCs w:val="21"/>
              </w:rPr>
            </w:pPr>
            <w:r>
              <w:rPr>
                <w:rFonts w:hint="eastAsia" w:ascii="宋体" w:hAnsi="宋体"/>
                <w:color w:val="000000"/>
                <w:kern w:val="0"/>
                <w:sz w:val="21"/>
                <w:szCs w:val="21"/>
              </w:rPr>
              <w:t>优化方案生成及决策</w:t>
            </w:r>
          </w:p>
        </w:tc>
        <w:tc>
          <w:tcPr>
            <w:tcW w:w="2517" w:type="dxa"/>
          </w:tcPr>
          <w:p w14:paraId="6A4E7D61">
            <w:pPr>
              <w:rPr>
                <w:rFonts w:hint="eastAsia" w:ascii="宋体" w:hAnsi="宋体" w:cs="宋体"/>
                <w:color w:val="000000"/>
                <w:kern w:val="0"/>
                <w:sz w:val="21"/>
                <w:szCs w:val="21"/>
              </w:rPr>
            </w:pPr>
            <w:r>
              <w:rPr>
                <w:rFonts w:hint="eastAsia" w:ascii="宋体" w:hAnsi="宋体" w:cs="宋体"/>
                <w:color w:val="000000"/>
                <w:kern w:val="0"/>
                <w:sz w:val="21"/>
                <w:szCs w:val="21"/>
              </w:rPr>
              <w:t>能够通过网络仿真方式评估方案可行性。</w:t>
            </w:r>
          </w:p>
        </w:tc>
        <w:tc>
          <w:tcPr>
            <w:tcW w:w="1646" w:type="dxa"/>
          </w:tcPr>
          <w:p w14:paraId="602CE374">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49B1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78689A76">
            <w:pPr>
              <w:jc w:val="center"/>
              <w:rPr>
                <w:rFonts w:hint="eastAsia" w:ascii="宋体" w:hAnsi="宋体"/>
                <w:kern w:val="0"/>
                <w:sz w:val="21"/>
                <w:szCs w:val="21"/>
              </w:rPr>
            </w:pPr>
            <w:r>
              <w:rPr>
                <w:rFonts w:hint="eastAsia" w:ascii="宋体" w:hAnsi="宋体"/>
                <w:kern w:val="0"/>
                <w:sz w:val="21"/>
                <w:szCs w:val="21"/>
              </w:rPr>
              <w:t>23</w:t>
            </w:r>
          </w:p>
        </w:tc>
        <w:tc>
          <w:tcPr>
            <w:tcW w:w="1428" w:type="dxa"/>
            <w:vMerge w:val="continue"/>
            <w:vAlign w:val="center"/>
          </w:tcPr>
          <w:p w14:paraId="5FFA9741">
            <w:pPr>
              <w:rPr>
                <w:rFonts w:hint="eastAsia" w:ascii="宋体" w:hAnsi="宋体" w:cs="宋体"/>
                <w:color w:val="000000"/>
                <w:kern w:val="0"/>
                <w:sz w:val="21"/>
                <w:szCs w:val="21"/>
              </w:rPr>
            </w:pPr>
          </w:p>
        </w:tc>
        <w:tc>
          <w:tcPr>
            <w:tcW w:w="2171" w:type="dxa"/>
            <w:vAlign w:val="center"/>
          </w:tcPr>
          <w:p w14:paraId="2B897227">
            <w:pPr>
              <w:rPr>
                <w:rFonts w:hint="eastAsia" w:ascii="宋体" w:hAnsi="宋体"/>
                <w:color w:val="000000"/>
                <w:kern w:val="0"/>
                <w:sz w:val="21"/>
                <w:szCs w:val="21"/>
              </w:rPr>
            </w:pPr>
            <w:r>
              <w:rPr>
                <w:rFonts w:hint="eastAsia" w:ascii="宋体" w:hAnsi="宋体"/>
                <w:color w:val="000000"/>
                <w:kern w:val="0"/>
                <w:sz w:val="21"/>
                <w:szCs w:val="21"/>
              </w:rPr>
              <w:t>优化实施及效果验证</w:t>
            </w:r>
          </w:p>
        </w:tc>
        <w:tc>
          <w:tcPr>
            <w:tcW w:w="2517" w:type="dxa"/>
          </w:tcPr>
          <w:p w14:paraId="52ED1E54">
            <w:pPr>
              <w:rPr>
                <w:rFonts w:hint="eastAsia" w:ascii="宋体" w:hAnsi="宋体" w:cs="宋体"/>
                <w:color w:val="000000"/>
                <w:kern w:val="0"/>
                <w:sz w:val="21"/>
                <w:szCs w:val="21"/>
              </w:rPr>
            </w:pPr>
            <w:r>
              <w:rPr>
                <w:rFonts w:hint="eastAsia" w:ascii="宋体" w:hAnsi="宋体" w:cs="宋体"/>
                <w:color w:val="000000"/>
                <w:kern w:val="0"/>
                <w:sz w:val="21"/>
                <w:szCs w:val="21"/>
              </w:rPr>
              <w:t>方案实施后能自动实时对效果进行验证。</w:t>
            </w:r>
          </w:p>
        </w:tc>
        <w:tc>
          <w:tcPr>
            <w:tcW w:w="1646" w:type="dxa"/>
          </w:tcPr>
          <w:p w14:paraId="6DB16663">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12BC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46940DED">
            <w:pPr>
              <w:jc w:val="center"/>
              <w:rPr>
                <w:rFonts w:hint="eastAsia" w:ascii="宋体" w:hAnsi="宋体"/>
                <w:kern w:val="0"/>
                <w:sz w:val="21"/>
                <w:szCs w:val="21"/>
              </w:rPr>
            </w:pPr>
            <w:r>
              <w:rPr>
                <w:rFonts w:hint="eastAsia" w:ascii="宋体" w:hAnsi="宋体"/>
                <w:kern w:val="0"/>
                <w:sz w:val="21"/>
                <w:szCs w:val="21"/>
              </w:rPr>
              <w:t>24</w:t>
            </w:r>
          </w:p>
        </w:tc>
        <w:tc>
          <w:tcPr>
            <w:tcW w:w="1428" w:type="dxa"/>
            <w:vAlign w:val="center"/>
          </w:tcPr>
          <w:p w14:paraId="38E70EC5">
            <w:pPr>
              <w:rPr>
                <w:rFonts w:hint="eastAsia" w:ascii="宋体" w:hAnsi="宋体" w:cs="宋体"/>
                <w:color w:val="000000"/>
                <w:kern w:val="0"/>
                <w:sz w:val="21"/>
                <w:szCs w:val="21"/>
              </w:rPr>
            </w:pPr>
            <w:r>
              <w:rPr>
                <w:rFonts w:hint="eastAsia" w:ascii="宋体" w:hAnsi="宋体" w:cs="宋体"/>
                <w:color w:val="000000"/>
                <w:kern w:val="0"/>
                <w:sz w:val="21"/>
                <w:szCs w:val="21"/>
              </w:rPr>
              <w:t>消息平台</w:t>
            </w:r>
          </w:p>
        </w:tc>
        <w:tc>
          <w:tcPr>
            <w:tcW w:w="2171" w:type="dxa"/>
            <w:vAlign w:val="center"/>
          </w:tcPr>
          <w:p w14:paraId="132E74F5">
            <w:pPr>
              <w:rPr>
                <w:rFonts w:hint="eastAsia" w:ascii="宋体" w:hAnsi="宋体"/>
                <w:color w:val="000000"/>
                <w:kern w:val="0"/>
                <w:sz w:val="21"/>
                <w:szCs w:val="21"/>
              </w:rPr>
            </w:pPr>
            <w:r>
              <w:rPr>
                <w:rFonts w:ascii="宋体" w:hAnsi="宋体"/>
                <w:color w:val="000000"/>
                <w:kern w:val="0"/>
                <w:sz w:val="21"/>
                <w:szCs w:val="21"/>
              </w:rPr>
              <w:t>消息平台</w:t>
            </w:r>
          </w:p>
        </w:tc>
        <w:tc>
          <w:tcPr>
            <w:tcW w:w="2517" w:type="dxa"/>
          </w:tcPr>
          <w:p w14:paraId="7849A93A">
            <w:pPr>
              <w:rPr>
                <w:rFonts w:hint="eastAsia" w:ascii="宋体" w:hAnsi="宋体" w:cs="宋体"/>
                <w:color w:val="000000"/>
                <w:kern w:val="0"/>
                <w:sz w:val="21"/>
                <w:szCs w:val="21"/>
              </w:rPr>
            </w:pPr>
            <w:r>
              <w:rPr>
                <w:rFonts w:ascii="宋体" w:hAnsi="宋体" w:cs="宋体"/>
                <w:color w:val="000000"/>
                <w:kern w:val="0"/>
                <w:sz w:val="21"/>
                <w:szCs w:val="21"/>
              </w:rPr>
              <w:t>基准值管理；</w:t>
            </w:r>
            <w:r>
              <w:rPr>
                <w:rFonts w:hint="eastAsia" w:ascii="宋体" w:hAnsi="宋体" w:cs="宋体"/>
                <w:color w:val="000000"/>
                <w:kern w:val="0"/>
                <w:sz w:val="21"/>
                <w:szCs w:val="21"/>
              </w:rPr>
              <w:t>能够进行消息配送配置。</w:t>
            </w:r>
          </w:p>
        </w:tc>
        <w:tc>
          <w:tcPr>
            <w:tcW w:w="1646" w:type="dxa"/>
          </w:tcPr>
          <w:p w14:paraId="3CEE0830">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r w14:paraId="0A35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32" w:type="dxa"/>
          </w:tcPr>
          <w:p w14:paraId="73BCD442">
            <w:pPr>
              <w:jc w:val="center"/>
              <w:rPr>
                <w:rFonts w:hint="eastAsia" w:ascii="宋体" w:hAnsi="宋体"/>
                <w:kern w:val="0"/>
                <w:sz w:val="21"/>
                <w:szCs w:val="21"/>
              </w:rPr>
            </w:pPr>
            <w:r>
              <w:rPr>
                <w:rFonts w:hint="eastAsia" w:ascii="宋体" w:hAnsi="宋体"/>
                <w:kern w:val="0"/>
                <w:sz w:val="21"/>
                <w:szCs w:val="21"/>
              </w:rPr>
              <w:t>25</w:t>
            </w:r>
          </w:p>
        </w:tc>
        <w:tc>
          <w:tcPr>
            <w:tcW w:w="1428" w:type="dxa"/>
            <w:vAlign w:val="center"/>
          </w:tcPr>
          <w:p w14:paraId="2E27DEBD">
            <w:pPr>
              <w:rPr>
                <w:rFonts w:hint="eastAsia" w:ascii="宋体" w:hAnsi="宋体" w:cs="宋体"/>
                <w:color w:val="000000"/>
                <w:kern w:val="0"/>
                <w:sz w:val="21"/>
                <w:szCs w:val="21"/>
              </w:rPr>
            </w:pPr>
            <w:r>
              <w:rPr>
                <w:rFonts w:hint="eastAsia" w:ascii="宋体" w:hAnsi="宋体" w:cs="宋体"/>
                <w:color w:val="000000"/>
                <w:kern w:val="0"/>
                <w:sz w:val="21"/>
                <w:szCs w:val="21"/>
              </w:rPr>
              <w:t>传输知识库</w:t>
            </w:r>
          </w:p>
        </w:tc>
        <w:tc>
          <w:tcPr>
            <w:tcW w:w="2171" w:type="dxa"/>
            <w:vAlign w:val="center"/>
          </w:tcPr>
          <w:p w14:paraId="4A98CEC1">
            <w:pPr>
              <w:rPr>
                <w:rFonts w:hint="eastAsia" w:ascii="宋体" w:hAnsi="宋体"/>
                <w:color w:val="000000"/>
                <w:kern w:val="0"/>
                <w:sz w:val="21"/>
                <w:szCs w:val="21"/>
              </w:rPr>
            </w:pPr>
            <w:r>
              <w:rPr>
                <w:rFonts w:hint="eastAsia" w:ascii="宋体" w:hAnsi="宋体" w:cs="宋体"/>
                <w:color w:val="000000"/>
                <w:kern w:val="0"/>
                <w:sz w:val="21"/>
                <w:szCs w:val="21"/>
              </w:rPr>
              <w:t>传输知识库</w:t>
            </w:r>
          </w:p>
        </w:tc>
        <w:tc>
          <w:tcPr>
            <w:tcW w:w="2517" w:type="dxa"/>
          </w:tcPr>
          <w:p w14:paraId="634090A3">
            <w:pPr>
              <w:rPr>
                <w:rFonts w:hint="eastAsia" w:ascii="宋体" w:hAnsi="宋体" w:cs="宋体"/>
                <w:color w:val="000000"/>
                <w:kern w:val="0"/>
                <w:sz w:val="21"/>
                <w:szCs w:val="21"/>
              </w:rPr>
            </w:pPr>
            <w:r>
              <w:rPr>
                <w:rFonts w:hint="eastAsia" w:ascii="宋体" w:hAnsi="宋体" w:cs="宋体"/>
                <w:color w:val="000000"/>
                <w:kern w:val="0"/>
                <w:sz w:val="21"/>
                <w:szCs w:val="21"/>
              </w:rPr>
              <w:t>告警知识库、告警知识库管理、故障规则识别库、设备知识库、板卡知识库等。</w:t>
            </w:r>
          </w:p>
        </w:tc>
        <w:tc>
          <w:tcPr>
            <w:tcW w:w="1646" w:type="dxa"/>
          </w:tcPr>
          <w:p w14:paraId="3EF9A4D7">
            <w:pPr>
              <w:rPr>
                <w:rFonts w:hint="eastAsia" w:ascii="宋体" w:hAnsi="宋体" w:cs="宋体"/>
                <w:color w:val="000000"/>
                <w:kern w:val="0"/>
                <w:sz w:val="21"/>
                <w:szCs w:val="21"/>
              </w:rPr>
            </w:pPr>
            <w:r>
              <w:rPr>
                <w:rFonts w:hint="eastAsia" w:ascii="宋体" w:hAnsi="宋体" w:cs="宋体"/>
                <w:color w:val="000000"/>
                <w:kern w:val="0"/>
                <w:sz w:val="21"/>
                <w:szCs w:val="21"/>
              </w:rPr>
              <w:sym w:font="Wingdings 2" w:char="00A3"/>
            </w:r>
            <w:r>
              <w:rPr>
                <w:rFonts w:hint="eastAsia" w:ascii="宋体" w:hAnsi="宋体" w:cs="宋体"/>
                <w:color w:val="000000"/>
                <w:kern w:val="0"/>
                <w:sz w:val="21"/>
                <w:szCs w:val="21"/>
              </w:rPr>
              <w:t>通过  □不通过</w:t>
            </w:r>
          </w:p>
        </w:tc>
      </w:tr>
    </w:tbl>
    <w:p w14:paraId="3DBE338D">
      <w:pPr>
        <w:numPr>
          <w:ilvl w:val="0"/>
          <w:numId w:val="4"/>
        </w:numPr>
        <w:autoSpaceDE w:val="0"/>
        <w:spacing w:line="440" w:lineRule="exact"/>
        <w:ind w:left="0" w:firstLine="420" w:firstLineChars="200"/>
        <w:rPr>
          <w:rFonts w:hint="eastAsia" w:ascii="宋体" w:hAnsi="宋体"/>
          <w:sz w:val="21"/>
          <w:szCs w:val="21"/>
        </w:rPr>
      </w:pPr>
      <w:r>
        <w:rPr>
          <w:rFonts w:hint="eastAsia" w:ascii="宋体" w:hAnsi="宋体"/>
          <w:sz w:val="21"/>
          <w:szCs w:val="21"/>
        </w:rPr>
        <w:t>验收工作的时间安排由双方协商决定，由采购人组织实施。</w:t>
      </w:r>
    </w:p>
    <w:p w14:paraId="44CC7313">
      <w:pPr>
        <w:numPr>
          <w:ilvl w:val="0"/>
          <w:numId w:val="4"/>
        </w:numPr>
        <w:autoSpaceDE w:val="0"/>
        <w:spacing w:line="440" w:lineRule="exact"/>
        <w:ind w:left="0" w:firstLine="420" w:firstLineChars="200"/>
        <w:rPr>
          <w:rFonts w:hint="eastAsia" w:ascii="宋体" w:hAnsi="宋体"/>
          <w:sz w:val="21"/>
          <w:szCs w:val="21"/>
        </w:rPr>
      </w:pPr>
      <w:r>
        <w:rPr>
          <w:rFonts w:hint="eastAsia" w:ascii="宋体" w:hAnsi="宋体"/>
          <w:sz w:val="21"/>
          <w:szCs w:val="21"/>
        </w:rPr>
        <w:t>项目验收的组成人员应包括项目组成员、相关技术管理部门成员等。</w:t>
      </w:r>
    </w:p>
    <w:p w14:paraId="72678B59">
      <w:pPr>
        <w:numPr>
          <w:ilvl w:val="0"/>
          <w:numId w:val="4"/>
        </w:numPr>
        <w:autoSpaceDE w:val="0"/>
        <w:spacing w:line="440" w:lineRule="exact"/>
        <w:ind w:left="0" w:firstLine="420" w:firstLineChars="200"/>
        <w:rPr>
          <w:rFonts w:hint="eastAsia" w:ascii="宋体" w:hAnsi="宋体"/>
          <w:sz w:val="21"/>
          <w:szCs w:val="21"/>
        </w:rPr>
      </w:pPr>
      <w:r>
        <w:rPr>
          <w:rFonts w:hint="eastAsia" w:ascii="宋体" w:hAnsi="宋体"/>
          <w:sz w:val="21"/>
          <w:szCs w:val="21"/>
        </w:rPr>
        <w:t>项目验收的标准应在项目建议书中充分明确，并经双方认可。</w:t>
      </w:r>
    </w:p>
    <w:p w14:paraId="0959C14F">
      <w:pPr>
        <w:numPr>
          <w:ilvl w:val="0"/>
          <w:numId w:val="4"/>
        </w:numPr>
        <w:autoSpaceDE w:val="0"/>
        <w:spacing w:line="440" w:lineRule="exact"/>
        <w:ind w:left="0" w:firstLine="420" w:firstLineChars="200"/>
        <w:rPr>
          <w:rFonts w:hint="eastAsia" w:ascii="宋体" w:hAnsi="宋体"/>
          <w:sz w:val="21"/>
          <w:szCs w:val="21"/>
        </w:rPr>
      </w:pPr>
      <w:r>
        <w:rPr>
          <w:rFonts w:hint="eastAsia" w:ascii="宋体" w:hAnsi="宋体"/>
          <w:sz w:val="21"/>
          <w:szCs w:val="21"/>
        </w:rPr>
        <w:t>所有性能指标达到技术规范书的要求时，可进行验收。由于云网规划、云网建设、监控排障、例行巡检、割接维护、网络及业务质量优化场景指标达不到要求，允许供应商更换或进行修复，但验收顺延1个月，在全部达到要求时，双方签署最终验收文件。</w:t>
      </w:r>
    </w:p>
    <w:p w14:paraId="2C69A030">
      <w:pPr>
        <w:numPr>
          <w:ilvl w:val="0"/>
          <w:numId w:val="4"/>
        </w:numPr>
        <w:autoSpaceDE w:val="0"/>
        <w:spacing w:line="440" w:lineRule="exact"/>
        <w:ind w:left="0" w:firstLine="420" w:firstLineChars="200"/>
        <w:rPr>
          <w:rFonts w:hint="eastAsia" w:ascii="宋体" w:hAnsi="宋体"/>
          <w:sz w:val="21"/>
          <w:szCs w:val="21"/>
        </w:rPr>
      </w:pPr>
      <w:r>
        <w:rPr>
          <w:rFonts w:hint="eastAsia" w:ascii="宋体" w:hAnsi="宋体"/>
          <w:sz w:val="21"/>
          <w:szCs w:val="21"/>
        </w:rPr>
        <w:t>根据系统业务需求，实现提供自测文档，列明系统功能、流程、接口清单，供验收核对。</w:t>
      </w:r>
    </w:p>
    <w:p w14:paraId="581918D9">
      <w:pPr>
        <w:pStyle w:val="5"/>
        <w:numPr>
          <w:ilvl w:val="0"/>
          <w:numId w:val="0"/>
        </w:numPr>
        <w:spacing w:after="156"/>
        <w:rPr>
          <w:rFonts w:hint="eastAsia"/>
          <w:b/>
          <w:sz w:val="21"/>
          <w:szCs w:val="21"/>
        </w:rPr>
      </w:pPr>
      <w:r>
        <w:rPr>
          <w:b/>
          <w:sz w:val="21"/>
          <w:szCs w:val="21"/>
        </w:rPr>
        <w:t>9.1</w:t>
      </w:r>
      <w:r>
        <w:rPr>
          <w:rFonts w:hint="eastAsia"/>
          <w:b/>
          <w:sz w:val="21"/>
          <w:szCs w:val="21"/>
        </w:rPr>
        <w:t>初验标准</w:t>
      </w:r>
    </w:p>
    <w:p w14:paraId="55DB1D44">
      <w:pPr>
        <w:autoSpaceDE w:val="0"/>
        <w:spacing w:line="440" w:lineRule="exact"/>
        <w:ind w:firstLine="420" w:firstLineChars="200"/>
        <w:rPr>
          <w:rFonts w:hint="eastAsia" w:ascii="宋体" w:hAnsi="宋体"/>
          <w:sz w:val="21"/>
          <w:szCs w:val="21"/>
        </w:rPr>
      </w:pPr>
      <w:r>
        <w:rPr>
          <w:rFonts w:hint="eastAsia" w:ascii="宋体" w:hAnsi="宋体"/>
          <w:sz w:val="21"/>
          <w:szCs w:val="21"/>
        </w:rPr>
        <w:t>项目上线后，按照“服务内容”进行功能初验，确保期间各个项目功能能够支撑业务需要，并且能够正常使用，不产生支付交易相关任何逻辑异常，系统运行平稳,无因新增模块引发的生产故障产生。如产生上述相关任何异常情况,视为初验不通过，需要立即优化整改。</w:t>
      </w:r>
    </w:p>
    <w:p w14:paraId="51FE8AC6">
      <w:pPr>
        <w:pStyle w:val="5"/>
        <w:numPr>
          <w:ilvl w:val="0"/>
          <w:numId w:val="0"/>
        </w:numPr>
        <w:spacing w:after="156"/>
        <w:rPr>
          <w:rFonts w:hint="eastAsia"/>
          <w:b/>
          <w:sz w:val="21"/>
          <w:szCs w:val="21"/>
        </w:rPr>
      </w:pPr>
      <w:r>
        <w:rPr>
          <w:b/>
          <w:sz w:val="21"/>
          <w:szCs w:val="21"/>
        </w:rPr>
        <w:t>9.2</w:t>
      </w:r>
      <w:r>
        <w:rPr>
          <w:rFonts w:hint="eastAsia"/>
          <w:b/>
          <w:sz w:val="21"/>
          <w:szCs w:val="21"/>
        </w:rPr>
        <w:t>终验标准</w:t>
      </w:r>
    </w:p>
    <w:p w14:paraId="45D64284">
      <w:pPr>
        <w:topLinePunct w:val="0"/>
        <w:spacing w:line="360" w:lineRule="auto"/>
        <w:ind w:firstLine="420" w:firstLineChars="200"/>
        <w:rPr>
          <w:rFonts w:hint="eastAsia" w:ascii="宋体" w:hAnsi="宋体"/>
          <w:sz w:val="21"/>
          <w:szCs w:val="21"/>
        </w:rPr>
      </w:pPr>
      <w:r>
        <w:rPr>
          <w:rFonts w:hint="eastAsia" w:ascii="宋体" w:hAnsi="宋体"/>
          <w:sz w:val="21"/>
          <w:szCs w:val="21"/>
        </w:rPr>
        <w:t>功能性初验的基础上，平稳运行1个月，无任何性能异常以及业务逻辑异常，与系统之间数据交互无任何异常，无任何因新增功能引发的系统故障，确保该系统具备稳定性和健壮性;如出现系统停止服务、性能卡顿、功能页面无法访问等现象，视为终验不通过，需要立即整改。</w:t>
      </w:r>
      <w:bookmarkEnd w:id="16"/>
    </w:p>
    <w:p w14:paraId="50EBF0AA">
      <w:pPr>
        <w:pStyle w:val="5"/>
        <w:numPr>
          <w:ilvl w:val="0"/>
          <w:numId w:val="0"/>
        </w:numPr>
        <w:spacing w:after="156"/>
        <w:rPr>
          <w:rFonts w:hint="eastAsia"/>
          <w:b/>
          <w:sz w:val="21"/>
          <w:szCs w:val="21"/>
        </w:rPr>
      </w:pPr>
      <w:r>
        <w:rPr>
          <w:rFonts w:hint="eastAsia"/>
          <w:b/>
          <w:sz w:val="21"/>
          <w:szCs w:val="21"/>
        </w:rPr>
        <w:t>9.3考核要求</w:t>
      </w:r>
    </w:p>
    <w:p w14:paraId="067C9549">
      <w:pPr>
        <w:topLinePunct w:val="0"/>
        <w:spacing w:line="360" w:lineRule="auto"/>
        <w:ind w:firstLine="420" w:firstLineChars="200"/>
        <w:rPr>
          <w:rFonts w:hint="eastAsia" w:ascii="宋体" w:hAnsi="宋体"/>
          <w:sz w:val="21"/>
          <w:szCs w:val="21"/>
        </w:rPr>
      </w:pPr>
      <w:r>
        <w:rPr>
          <w:rFonts w:hint="eastAsia" w:ascii="宋体" w:hAnsi="宋体"/>
          <w:sz w:val="21"/>
          <w:szCs w:val="21"/>
        </w:rPr>
        <w:t>乙方未能按本合同完成交付研究开发成果，影响甲方相关云网自智水平L4指标考核的，根据甲乙双方协商情况扣除合同总额的5%-20%。</w:t>
      </w:r>
      <w:bookmarkEnd w:id="17"/>
    </w:p>
    <w:p w14:paraId="639A9692">
      <w:pPr>
        <w:wordWrap w:val="0"/>
        <w:topLinePunct w:val="0"/>
        <w:rPr>
          <w:sz w:val="21"/>
        </w:rPr>
      </w:pPr>
    </w:p>
    <w:bookmarkEnd w:id="9"/>
    <w:bookmarkEnd w:id="10"/>
    <w:bookmarkEnd w:id="11"/>
    <w:bookmarkEnd w:id="12"/>
    <w:bookmarkEnd w:id="13"/>
    <w:bookmarkEnd w:id="14"/>
    <w:bookmarkEnd w:id="15"/>
    <w:p w14:paraId="4EC48C5C">
      <w:bookmarkStart w:id="18" w:name="_GoBack"/>
      <w:bookmarkEnd w:id="1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C0D4E"/>
    <w:multiLevelType w:val="multilevel"/>
    <w:tmpl w:val="0A5C0D4E"/>
    <w:lvl w:ilvl="0" w:tentative="0">
      <w:start w:val="2"/>
      <w:numFmt w:val="decimal"/>
      <w:lvlText w:val="%1"/>
      <w:lvlJc w:val="left"/>
      <w:pPr>
        <w:ind w:left="432" w:hanging="432"/>
      </w:pPr>
      <w:rPr>
        <w:rFonts w:hint="eastAsia"/>
      </w:rPr>
    </w:lvl>
    <w:lvl w:ilvl="1" w:tentative="0">
      <w:start w:val="1"/>
      <w:numFmt w:val="decimal"/>
      <w:pStyle w:val="4"/>
      <w:lvlText w:val="2.%2"/>
      <w:lvlJc w:val="left"/>
      <w:pPr>
        <w:ind w:left="440" w:hanging="440"/>
      </w:pPr>
      <w:rPr>
        <w:rFonts w:hint="eastAsia"/>
      </w:rPr>
    </w:lvl>
    <w:lvl w:ilvl="2" w:tentative="0">
      <w:start w:val="1"/>
      <w:numFmt w:val="decimal"/>
      <w:pStyle w:val="5"/>
      <w:lvlText w:val="%1.%2.%3"/>
      <w:lvlJc w:val="left"/>
      <w:pPr>
        <w:ind w:left="720" w:hanging="720"/>
      </w:pPr>
      <w:rPr>
        <w:rFonts w:hint="eastAsia"/>
      </w:rPr>
    </w:lvl>
    <w:lvl w:ilvl="3" w:tentative="0">
      <w:start w:val="1"/>
      <w:numFmt w:val="decimal"/>
      <w:pStyle w:val="3"/>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11A75B41"/>
    <w:multiLevelType w:val="multilevel"/>
    <w:tmpl w:val="11A75B41"/>
    <w:lvl w:ilvl="0" w:tentative="0">
      <w:start w:val="1"/>
      <w:numFmt w:val="decimal"/>
      <w:lvlText w:val="%1"/>
      <w:lvlJc w:val="left"/>
      <w:pPr>
        <w:ind w:left="425" w:hanging="425"/>
      </w:pPr>
    </w:lvl>
    <w:lvl w:ilvl="1" w:tentative="0">
      <w:start w:val="1"/>
      <w:numFmt w:val="decimal"/>
      <w:lvlText w:val="%1.%2"/>
      <w:lvlJc w:val="left"/>
      <w:pPr>
        <w:ind w:left="709" w:hanging="567"/>
      </w:pPr>
    </w:lvl>
    <w:lvl w:ilvl="2" w:tentative="0">
      <w:start w:val="1"/>
      <w:numFmt w:val="decimal"/>
      <w:lvlText w:val="%1.%2.%3"/>
      <w:lvlJc w:val="left"/>
      <w:pPr>
        <w:ind w:left="1135" w:hanging="567"/>
      </w:pPr>
    </w:lvl>
    <w:lvl w:ilvl="3" w:tentative="0">
      <w:start w:val="1"/>
      <w:numFmt w:val="decimal"/>
      <w:lvlText w:val="%1.%2.%3.%4"/>
      <w:lvlJc w:val="left"/>
      <w:pPr>
        <w:ind w:left="1701" w:hanging="708"/>
      </w:pPr>
    </w:lvl>
    <w:lvl w:ilvl="4" w:tentative="0">
      <w:start w:val="1"/>
      <w:numFmt w:val="decimal"/>
      <w:lvlText w:val="%1.%2.%3.%4.%5"/>
      <w:lvlJc w:val="left"/>
      <w:pPr>
        <w:ind w:left="2268" w:hanging="850"/>
      </w:pPr>
    </w:lvl>
    <w:lvl w:ilvl="5" w:tentative="0">
      <w:start w:val="1"/>
      <w:numFmt w:val="decimal"/>
      <w:lvlText w:val="%1.%2.%3.%4.%5.%6"/>
      <w:lvlJc w:val="left"/>
      <w:pPr>
        <w:ind w:left="2977" w:hanging="1134"/>
      </w:pPr>
    </w:lvl>
    <w:lvl w:ilvl="6" w:tentative="0">
      <w:start w:val="1"/>
      <w:numFmt w:val="decimal"/>
      <w:lvlText w:val="%1.%2.%3.%4.%5.%6.%7"/>
      <w:lvlJc w:val="left"/>
      <w:pPr>
        <w:ind w:left="3544" w:hanging="1276"/>
      </w:pPr>
    </w:lvl>
    <w:lvl w:ilvl="7" w:tentative="0">
      <w:start w:val="1"/>
      <w:numFmt w:val="decimal"/>
      <w:lvlText w:val="%1.%2.%3.%4.%5.%6.%7.%8"/>
      <w:lvlJc w:val="left"/>
      <w:pPr>
        <w:ind w:left="4111" w:hanging="1418"/>
      </w:pPr>
    </w:lvl>
    <w:lvl w:ilvl="8" w:tentative="0">
      <w:start w:val="1"/>
      <w:numFmt w:val="decimal"/>
      <w:lvlText w:val="%1.%2.%3.%4.%5.%6.%7.%8.%9"/>
      <w:lvlJc w:val="left"/>
      <w:pPr>
        <w:ind w:left="4819" w:hanging="1700"/>
      </w:pPr>
    </w:lvl>
  </w:abstractNum>
  <w:abstractNum w:abstractNumId="2">
    <w:nsid w:val="50970426"/>
    <w:multiLevelType w:val="multilevel"/>
    <w:tmpl w:val="50970426"/>
    <w:lvl w:ilvl="0" w:tentative="0">
      <w:start w:val="1"/>
      <w:numFmt w:val="decimal"/>
      <w:lvlText w:val="2.%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F2E3228"/>
    <w:multiLevelType w:val="multilevel"/>
    <w:tmpl w:val="5F2E3228"/>
    <w:lvl w:ilvl="0" w:tentative="0">
      <w:start w:val="1"/>
      <w:numFmt w:val="bullet"/>
      <w:suff w:val="space"/>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455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jc w:val="both"/>
    </w:pPr>
    <w:rPr>
      <w:rFonts w:ascii="Times New Roman" w:hAnsi="Times New Roman" w:eastAsia="宋体" w:cs="Times New Roman"/>
      <w:kern w:val="2"/>
      <w:sz w:val="24"/>
      <w:szCs w:val="24"/>
      <w:lang w:val="en-US" w:eastAsia="zh-CN" w:bidi="ar-SA"/>
    </w:rPr>
  </w:style>
  <w:style w:type="paragraph" w:styleId="4">
    <w:name w:val="heading 2"/>
    <w:basedOn w:val="1"/>
    <w:next w:val="1"/>
    <w:qFormat/>
    <w:uiPriority w:val="9"/>
    <w:pPr>
      <w:numPr>
        <w:ilvl w:val="1"/>
        <w:numId w:val="1"/>
      </w:numPr>
      <w:topLinePunct w:val="0"/>
      <w:adjustRightInd w:val="0"/>
      <w:spacing w:beforeLines="50" w:afterLines="50" w:line="360" w:lineRule="auto"/>
      <w:textAlignment w:val="baseline"/>
      <w:outlineLvl w:val="1"/>
    </w:pPr>
    <w:rPr>
      <w:rFonts w:ascii="宋体" w:hAnsi="宋体"/>
      <w:b/>
      <w:bCs/>
    </w:rPr>
  </w:style>
  <w:style w:type="paragraph" w:styleId="5">
    <w:name w:val="heading 3"/>
    <w:basedOn w:val="4"/>
    <w:next w:val="1"/>
    <w:qFormat/>
    <w:uiPriority w:val="0"/>
    <w:pPr>
      <w:numPr>
        <w:ilvl w:val="2"/>
      </w:numPr>
      <w:spacing w:beforeLines="0"/>
      <w:ind w:left="964" w:hanging="964"/>
      <w:outlineLvl w:val="2"/>
    </w:pPr>
    <w:rPr>
      <w:b w:val="0"/>
      <w:bCs w:val="0"/>
    </w:rPr>
  </w:style>
  <w:style w:type="paragraph" w:styleId="3">
    <w:name w:val="heading 4"/>
    <w:basedOn w:val="1"/>
    <w:next w:val="1"/>
    <w:qFormat/>
    <w:uiPriority w:val="0"/>
    <w:pPr>
      <w:keepNext/>
      <w:keepLines/>
      <w:numPr>
        <w:ilvl w:val="3"/>
        <w:numId w:val="1"/>
      </w:numPr>
      <w:spacing w:before="280" w:after="290" w:line="376" w:lineRule="auto"/>
      <w:outlineLvl w:val="3"/>
    </w:pPr>
    <w:rPr>
      <w:rFonts w:ascii="等线 Light" w:hAnsi="等线 Light" w:eastAsia="等线 Light"/>
      <w:b/>
      <w:bCs/>
      <w:sz w:val="28"/>
      <w:szCs w:val="28"/>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w:basedOn w:val="1"/>
    <w:next w:val="3"/>
    <w:unhideWhenUsed/>
    <w:qFormat/>
    <w:uiPriority w:val="0"/>
    <w:pPr>
      <w:topLinePunct w:val="0"/>
      <w:spacing w:after="120"/>
    </w:pPr>
    <w:rPr>
      <w:sz w:val="21"/>
    </w:rPr>
  </w:style>
  <w:style w:type="paragraph" w:styleId="6">
    <w:name w:val="Plain Text"/>
    <w:basedOn w:val="1"/>
    <w:qFormat/>
    <w:uiPriority w:val="0"/>
    <w:pPr>
      <w:topLinePunct w:val="0"/>
    </w:pPr>
    <w:rPr>
      <w:rFonts w:ascii="宋体" w:hAnsi="Courier New"/>
      <w:sz w:val="21"/>
      <w:szCs w:val="20"/>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封7"/>
    <w:basedOn w:val="6"/>
    <w:qFormat/>
    <w:uiPriority w:val="0"/>
    <w:pPr>
      <w:topLinePunct/>
    </w:pPr>
    <w:rPr>
      <w:rFonts w:cs="Courier New" w:asciiTheme="minorEastAsia" w:eastAsiaTheme="minorEastAsia"/>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2025-10-24T08:00:34Z</dcterms:created>
  <dc:creator>19142</dc:creator>
  <cp:lastModifiedBy>TErnura</cp:lastModifiedBy>
  <dcterms:modified xsi:type="dcterms:W3CDTF">2025-10-24T08:01:36Z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eyJoZGlkIjoiOTc3M2Y5NzIzMDFlZjAyY2Q4Njk5ODkyYjFjNzBiNTQiLCJ1c2VySWQiOiI5MzExMDk0ODEifQ==</vt:lpwstr>
  </property>
  <property fmtid="{D5CDD505-2E9C-101B-9397-08002B2CF9AE}" pid="4" name="ICV">
    <vt:lpwstr>558D87B716854737AEE6A3B9484C2F40_12</vt:lpwstr>
  </property>
</Properties>
</file>