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99AF6">
      <w:pPr>
        <w:keepNext/>
        <w:keepLines/>
        <w:wordWrap w:val="0"/>
        <w:topLinePunct w:val="0"/>
        <w:spacing w:before="240" w:after="120"/>
        <w:jc w:val="center"/>
        <w:outlineLvl w:val="0"/>
        <w:rPr>
          <w:rFonts w:hint="eastAsia" w:ascii="宋体" w:hAnsi="宋体" w:cs="宋体"/>
          <w:b/>
          <w:kern w:val="0"/>
          <w:sz w:val="21"/>
          <w:szCs w:val="21"/>
        </w:rPr>
      </w:pPr>
      <w:bookmarkStart w:id="0" w:name="_Toc178093197"/>
      <w:bookmarkStart w:id="1" w:name="_Toc24378"/>
      <w:bookmarkStart w:id="2" w:name="_Toc178092923"/>
      <w:bookmarkStart w:id="3" w:name="_Toc33557198"/>
      <w:bookmarkStart w:id="4" w:name="_Toc178093474"/>
      <w:bookmarkStart w:id="5" w:name="_Toc195017225"/>
      <w:r>
        <w:rPr>
          <w:rFonts w:hint="eastAsia" w:ascii="宋体" w:hAnsi="宋体" w:cs="宋体"/>
          <w:b/>
          <w:kern w:val="0"/>
        </w:rPr>
        <w:t>第三章 评审办法</w:t>
      </w:r>
      <w:bookmarkEnd w:id="0"/>
      <w:bookmarkEnd w:id="1"/>
      <w:bookmarkEnd w:id="2"/>
      <w:bookmarkEnd w:id="3"/>
      <w:bookmarkEnd w:id="4"/>
      <w:bookmarkEnd w:id="5"/>
    </w:p>
    <w:p w14:paraId="75DAB318">
      <w:pPr>
        <w:tabs>
          <w:tab w:val="left" w:pos="602"/>
        </w:tabs>
        <w:wordWrap w:val="0"/>
        <w:topLinePunct w:val="0"/>
        <w:snapToGrid w:val="0"/>
        <w:spacing w:before="120" w:after="120"/>
        <w:jc w:val="left"/>
        <w:outlineLvl w:val="1"/>
        <w:rPr>
          <w:rFonts w:hint="eastAsia" w:ascii="宋体" w:hAnsi="宋体" w:cs="宋体"/>
          <w:b/>
          <w:bCs/>
          <w:sz w:val="21"/>
          <w:szCs w:val="21"/>
        </w:rPr>
      </w:pPr>
      <w:bookmarkStart w:id="6" w:name="_Toc3147"/>
      <w:bookmarkStart w:id="7" w:name="_Toc178093198"/>
      <w:bookmarkStart w:id="8" w:name="_Toc178093475"/>
      <w:bookmarkStart w:id="9" w:name="_Toc31504"/>
      <w:bookmarkStart w:id="10" w:name="_Toc33557199"/>
      <w:bookmarkStart w:id="11" w:name="_Toc178092924"/>
      <w:bookmarkStart w:id="12" w:name="_Toc195017226"/>
      <w:r>
        <w:rPr>
          <w:rFonts w:hint="eastAsia" w:ascii="宋体" w:hAnsi="宋体" w:cs="宋体"/>
          <w:b/>
          <w:bCs/>
          <w:sz w:val="21"/>
          <w:szCs w:val="21"/>
        </w:rPr>
        <w:t>评审办法前附表</w:t>
      </w:r>
      <w:bookmarkEnd w:id="6"/>
      <w:bookmarkEnd w:id="7"/>
      <w:bookmarkEnd w:id="8"/>
      <w:bookmarkEnd w:id="9"/>
      <w:bookmarkEnd w:id="10"/>
      <w:bookmarkEnd w:id="11"/>
      <w:bookmarkEnd w:id="12"/>
    </w:p>
    <w:p w14:paraId="621596DA">
      <w:pPr>
        <w:wordWrap w:val="0"/>
        <w:topLinePunct w:val="0"/>
        <w:adjustRightInd w:val="0"/>
        <w:snapToGrid w:val="0"/>
        <w:spacing w:line="360" w:lineRule="auto"/>
        <w:ind w:firstLine="420" w:firstLineChars="200"/>
        <w:jc w:val="left"/>
        <w:rPr>
          <w:rFonts w:hint="eastAsia" w:ascii="宋体" w:hAnsi="宋体" w:cs="宋体"/>
          <w:sz w:val="21"/>
          <w:szCs w:val="21"/>
        </w:rPr>
      </w:pPr>
      <w:r>
        <w:rPr>
          <w:rFonts w:hint="eastAsia" w:ascii="宋体" w:hAnsi="宋体" w:cs="宋体"/>
          <w:sz w:val="21"/>
          <w:szCs w:val="21"/>
        </w:rPr>
        <w:t>本项目采用综合评估法，总分共100分，其中商务6分，技术39分,服务10分，价格45分。评审时，评审委员会按照询比文件规定的量化因素和权重比值打分。按照中国电信供应商不良行为处理结果及《中国电信供应商不良行为管理规则》的处理结果执行规则，应对供应商的本次响应执行限制采购处理措施的</w:t>
      </w:r>
      <w:r>
        <w:rPr>
          <w:rFonts w:ascii="宋体" w:hAnsi="宋体" w:cs="宋体"/>
          <w:sz w:val="21"/>
          <w:szCs w:val="21"/>
        </w:rPr>
        <w:t>,</w:t>
      </w:r>
      <w:r>
        <w:rPr>
          <w:rFonts w:hint="eastAsia" w:ascii="宋体" w:hAnsi="宋体" w:cs="宋体"/>
          <w:sz w:val="21"/>
          <w:szCs w:val="21"/>
        </w:rPr>
        <w:t>评审委员会应按照处理结果及规则扣减相应分值。评审委员会全体成员对该供应商打分的算术平均值为该供应商的最终得分。</w:t>
      </w:r>
    </w:p>
    <w:p w14:paraId="71492234">
      <w:pPr>
        <w:wordWrap w:val="0"/>
        <w:topLinePunct w:val="0"/>
        <w:adjustRightInd w:val="0"/>
        <w:snapToGrid w:val="0"/>
        <w:spacing w:line="360" w:lineRule="auto"/>
        <w:ind w:firstLine="420" w:firstLineChars="200"/>
        <w:rPr>
          <w:rFonts w:hint="eastAsia" w:ascii="宋体" w:hAnsi="宋体" w:cs="宋体"/>
          <w:sz w:val="21"/>
          <w:szCs w:val="21"/>
        </w:rPr>
      </w:pPr>
      <w:r>
        <w:rPr>
          <w:rFonts w:hint="eastAsia" w:ascii="宋体" w:hAnsi="宋体" w:cs="宋体"/>
          <w:sz w:val="21"/>
          <w:szCs w:val="21"/>
        </w:rPr>
        <w:t>本评审办法前附表是对第三章评审办法正文的具体补充和修改，如有矛盾，以本前附表为准。</w:t>
      </w:r>
    </w:p>
    <w:tbl>
      <w:tblPr>
        <w:tblStyle w:val="4"/>
        <w:tblW w:w="512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1"/>
        <w:gridCol w:w="857"/>
        <w:gridCol w:w="751"/>
        <w:gridCol w:w="1530"/>
        <w:gridCol w:w="4833"/>
      </w:tblGrid>
      <w:tr w14:paraId="6211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jc w:val="center"/>
        </w:trPr>
        <w:tc>
          <w:tcPr>
            <w:tcW w:w="927" w:type="pct"/>
            <w:gridSpan w:val="2"/>
            <w:vAlign w:val="center"/>
          </w:tcPr>
          <w:p w14:paraId="1DB20C25">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条款号</w:t>
            </w:r>
          </w:p>
        </w:tc>
        <w:tc>
          <w:tcPr>
            <w:tcW w:w="430" w:type="pct"/>
            <w:vAlign w:val="center"/>
          </w:tcPr>
          <w:p w14:paraId="5288A69B">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评审内容</w:t>
            </w:r>
          </w:p>
        </w:tc>
        <w:tc>
          <w:tcPr>
            <w:tcW w:w="876" w:type="pct"/>
            <w:vAlign w:val="center"/>
          </w:tcPr>
          <w:p w14:paraId="5F6C66DE">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评审因素</w:t>
            </w:r>
          </w:p>
        </w:tc>
        <w:tc>
          <w:tcPr>
            <w:tcW w:w="2767" w:type="pct"/>
            <w:vAlign w:val="center"/>
          </w:tcPr>
          <w:p w14:paraId="5CB33554">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评审标准及检查内容</w:t>
            </w:r>
          </w:p>
        </w:tc>
      </w:tr>
      <w:tr w14:paraId="3D8A2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jc w:val="center"/>
        </w:trPr>
        <w:tc>
          <w:tcPr>
            <w:tcW w:w="436" w:type="pct"/>
            <w:vMerge w:val="restart"/>
            <w:vAlign w:val="center"/>
          </w:tcPr>
          <w:p w14:paraId="5D12931D">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2.1</w:t>
            </w:r>
          </w:p>
        </w:tc>
        <w:tc>
          <w:tcPr>
            <w:tcW w:w="491" w:type="pct"/>
            <w:vMerge w:val="restart"/>
            <w:vAlign w:val="center"/>
          </w:tcPr>
          <w:p w14:paraId="2CA2B9F8">
            <w:pPr>
              <w:widowControl/>
              <w:wordWrap w:val="0"/>
              <w:topLinePunct w:val="0"/>
              <w:spacing w:line="276" w:lineRule="auto"/>
              <w:jc w:val="left"/>
              <w:rPr>
                <w:rFonts w:hint="eastAsia" w:ascii="宋体" w:hAnsi="宋体" w:cs="宋体"/>
                <w:kern w:val="0"/>
                <w:sz w:val="21"/>
                <w:szCs w:val="21"/>
              </w:rPr>
            </w:pPr>
            <w:r>
              <w:rPr>
                <w:rFonts w:hint="eastAsia" w:ascii="宋体" w:hAnsi="宋体" w:cs="宋体"/>
                <w:kern w:val="0"/>
                <w:sz w:val="21"/>
                <w:szCs w:val="21"/>
              </w:rPr>
              <w:t>初步评审</w:t>
            </w:r>
          </w:p>
        </w:tc>
        <w:tc>
          <w:tcPr>
            <w:tcW w:w="430" w:type="pct"/>
            <w:vMerge w:val="restart"/>
            <w:vAlign w:val="center"/>
          </w:tcPr>
          <w:p w14:paraId="79C53149">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形式</w:t>
            </w:r>
          </w:p>
          <w:p w14:paraId="1D00C7B1">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评审</w:t>
            </w:r>
          </w:p>
        </w:tc>
        <w:tc>
          <w:tcPr>
            <w:tcW w:w="876" w:type="pct"/>
            <w:vAlign w:val="center"/>
          </w:tcPr>
          <w:p w14:paraId="41F982AE">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供应商名称</w:t>
            </w:r>
          </w:p>
        </w:tc>
        <w:tc>
          <w:tcPr>
            <w:tcW w:w="2767" w:type="pct"/>
            <w:vAlign w:val="center"/>
          </w:tcPr>
          <w:p w14:paraId="1C171B97">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与获取询比文件的供应商名称一致；且与营业执照一致。（若有变更的，提供变更说明和证明材料）审核响应文件中按照询比文件第七章“响应文件格式”12.资格审查资料要求提供的证明材料的内容是否符合以上要求。</w:t>
            </w:r>
          </w:p>
        </w:tc>
      </w:tr>
      <w:tr w14:paraId="0F515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jc w:val="center"/>
        </w:trPr>
        <w:tc>
          <w:tcPr>
            <w:tcW w:w="436" w:type="pct"/>
            <w:vMerge w:val="continue"/>
            <w:vAlign w:val="center"/>
          </w:tcPr>
          <w:p w14:paraId="777485CE">
            <w:pPr>
              <w:widowControl/>
              <w:wordWrap w:val="0"/>
              <w:topLinePunct w:val="0"/>
              <w:spacing w:line="276" w:lineRule="auto"/>
              <w:jc w:val="center"/>
              <w:rPr>
                <w:rFonts w:hint="eastAsia" w:ascii="宋体" w:hAnsi="宋体" w:cs="宋体"/>
                <w:kern w:val="0"/>
                <w:sz w:val="21"/>
                <w:szCs w:val="21"/>
              </w:rPr>
            </w:pPr>
          </w:p>
        </w:tc>
        <w:tc>
          <w:tcPr>
            <w:tcW w:w="491" w:type="pct"/>
            <w:vMerge w:val="continue"/>
            <w:vAlign w:val="center"/>
          </w:tcPr>
          <w:p w14:paraId="4C3E37D5">
            <w:pPr>
              <w:widowControl/>
              <w:wordWrap w:val="0"/>
              <w:topLinePunct w:val="0"/>
              <w:spacing w:line="276" w:lineRule="auto"/>
              <w:rPr>
                <w:rFonts w:hint="eastAsia" w:ascii="宋体" w:hAnsi="宋体" w:cs="宋体"/>
                <w:kern w:val="0"/>
                <w:sz w:val="21"/>
                <w:szCs w:val="21"/>
              </w:rPr>
            </w:pPr>
          </w:p>
        </w:tc>
        <w:tc>
          <w:tcPr>
            <w:tcW w:w="430" w:type="pct"/>
            <w:vMerge w:val="continue"/>
            <w:vAlign w:val="center"/>
          </w:tcPr>
          <w:p w14:paraId="09F0B3EF">
            <w:pPr>
              <w:widowControl/>
              <w:wordWrap w:val="0"/>
              <w:topLinePunct w:val="0"/>
              <w:spacing w:line="276" w:lineRule="auto"/>
              <w:rPr>
                <w:rFonts w:hint="eastAsia" w:ascii="宋体" w:hAnsi="宋体" w:cs="宋体"/>
                <w:kern w:val="0"/>
                <w:sz w:val="21"/>
                <w:szCs w:val="21"/>
              </w:rPr>
            </w:pPr>
          </w:p>
        </w:tc>
        <w:tc>
          <w:tcPr>
            <w:tcW w:w="876" w:type="pct"/>
            <w:vAlign w:val="center"/>
          </w:tcPr>
          <w:p w14:paraId="72338B39">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响应文件签字盖章</w:t>
            </w:r>
          </w:p>
        </w:tc>
        <w:tc>
          <w:tcPr>
            <w:tcW w:w="2767" w:type="pct"/>
            <w:vAlign w:val="center"/>
          </w:tcPr>
          <w:p w14:paraId="3E70FAC6">
            <w:pPr>
              <w:wordWrap w:val="0"/>
              <w:topLinePunct w:val="0"/>
              <w:spacing w:line="276" w:lineRule="auto"/>
              <w:rPr>
                <w:rFonts w:hint="eastAsia" w:ascii="宋体" w:hAnsi="宋体" w:cs="宋体"/>
                <w:sz w:val="21"/>
                <w:szCs w:val="21"/>
              </w:rPr>
            </w:pPr>
            <w:r>
              <w:rPr>
                <w:rFonts w:hint="eastAsia" w:ascii="宋体" w:hAnsi="宋体" w:cs="宋体"/>
                <w:sz w:val="21"/>
                <w:szCs w:val="21"/>
              </w:rPr>
              <w:t>电子响应文件：通过供应商CA证书正常加密和解密的响应文件经电子采购系统校验通过后导入电子采购系统的响应文件，均视为满足。响应保证金保函（如有）、联合体协议（如有）等询比文件要求提供原件的签字盖章应符合询比文件“第二章供应商须知及前附表”的规定。</w:t>
            </w:r>
          </w:p>
        </w:tc>
      </w:tr>
      <w:tr w14:paraId="617B3234">
        <w:tblPrEx>
          <w:tblCellMar>
            <w:top w:w="0" w:type="dxa"/>
            <w:left w:w="108" w:type="dxa"/>
            <w:bottom w:w="0" w:type="dxa"/>
            <w:right w:w="108" w:type="dxa"/>
          </w:tblCellMar>
        </w:tblPrEx>
        <w:trPr>
          <w:trHeight w:val="256" w:hRule="atLeast"/>
          <w:jc w:val="center"/>
        </w:trPr>
        <w:tc>
          <w:tcPr>
            <w:tcW w:w="436" w:type="pct"/>
            <w:vMerge w:val="continue"/>
            <w:vAlign w:val="center"/>
          </w:tcPr>
          <w:p w14:paraId="3F30ABC6">
            <w:pPr>
              <w:widowControl/>
              <w:wordWrap w:val="0"/>
              <w:topLinePunct w:val="0"/>
              <w:spacing w:line="276" w:lineRule="auto"/>
              <w:jc w:val="center"/>
              <w:rPr>
                <w:rFonts w:hint="eastAsia" w:ascii="宋体" w:hAnsi="宋体" w:cs="宋体"/>
                <w:kern w:val="0"/>
                <w:sz w:val="21"/>
                <w:szCs w:val="21"/>
              </w:rPr>
            </w:pPr>
          </w:p>
        </w:tc>
        <w:tc>
          <w:tcPr>
            <w:tcW w:w="491" w:type="pct"/>
            <w:vMerge w:val="continue"/>
            <w:vAlign w:val="center"/>
          </w:tcPr>
          <w:p w14:paraId="493A9615">
            <w:pPr>
              <w:widowControl/>
              <w:wordWrap w:val="0"/>
              <w:topLinePunct w:val="0"/>
              <w:spacing w:line="276" w:lineRule="auto"/>
              <w:rPr>
                <w:rFonts w:hint="eastAsia" w:ascii="宋体" w:hAnsi="宋体" w:cs="宋体"/>
                <w:kern w:val="0"/>
                <w:sz w:val="21"/>
                <w:szCs w:val="21"/>
              </w:rPr>
            </w:pPr>
          </w:p>
        </w:tc>
        <w:tc>
          <w:tcPr>
            <w:tcW w:w="430" w:type="pct"/>
            <w:vMerge w:val="continue"/>
            <w:vAlign w:val="center"/>
          </w:tcPr>
          <w:p w14:paraId="679C8496">
            <w:pPr>
              <w:widowControl/>
              <w:wordWrap w:val="0"/>
              <w:topLinePunct w:val="0"/>
              <w:spacing w:line="276" w:lineRule="auto"/>
              <w:rPr>
                <w:rFonts w:hint="eastAsia" w:ascii="宋体" w:hAnsi="宋体" w:cs="宋体"/>
                <w:kern w:val="0"/>
                <w:sz w:val="21"/>
                <w:szCs w:val="21"/>
              </w:rPr>
            </w:pPr>
          </w:p>
        </w:tc>
        <w:tc>
          <w:tcPr>
            <w:tcW w:w="876" w:type="pct"/>
            <w:vAlign w:val="center"/>
          </w:tcPr>
          <w:p w14:paraId="7A9749FA">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法定代表人/负责人身份证明</w:t>
            </w:r>
          </w:p>
        </w:tc>
        <w:tc>
          <w:tcPr>
            <w:tcW w:w="2767" w:type="pct"/>
            <w:vAlign w:val="center"/>
          </w:tcPr>
          <w:p w14:paraId="18FDF3B5">
            <w:pPr>
              <w:widowControl/>
              <w:wordWrap w:val="0"/>
              <w:topLinePunct w:val="0"/>
              <w:spacing w:line="276" w:lineRule="auto"/>
              <w:rPr>
                <w:rFonts w:hint="eastAsia" w:ascii="宋体" w:hAnsi="宋体" w:cs="宋体"/>
                <w:kern w:val="0"/>
                <w:sz w:val="21"/>
                <w:szCs w:val="21"/>
              </w:rPr>
            </w:pPr>
            <w:r>
              <w:rPr>
                <w:rFonts w:hint="eastAsia" w:ascii="宋体" w:hAnsi="宋体" w:cs="宋体"/>
                <w:sz w:val="21"/>
                <w:szCs w:val="21"/>
              </w:rPr>
              <w:t>供应商提供的材料应符合“第七章6.法定代表人/负责人身份证明”的要求。</w:t>
            </w:r>
          </w:p>
        </w:tc>
      </w:tr>
      <w:tr w14:paraId="34C29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jc w:val="center"/>
        </w:trPr>
        <w:tc>
          <w:tcPr>
            <w:tcW w:w="436" w:type="pct"/>
            <w:vMerge w:val="continue"/>
            <w:vAlign w:val="center"/>
          </w:tcPr>
          <w:p w14:paraId="4E41F1B8">
            <w:pPr>
              <w:widowControl/>
              <w:wordWrap w:val="0"/>
              <w:topLinePunct w:val="0"/>
              <w:spacing w:line="276" w:lineRule="auto"/>
              <w:jc w:val="center"/>
              <w:rPr>
                <w:rFonts w:hint="eastAsia" w:ascii="宋体" w:hAnsi="宋体" w:cs="宋体"/>
                <w:kern w:val="0"/>
                <w:sz w:val="21"/>
                <w:szCs w:val="21"/>
              </w:rPr>
            </w:pPr>
          </w:p>
        </w:tc>
        <w:tc>
          <w:tcPr>
            <w:tcW w:w="491" w:type="pct"/>
            <w:vMerge w:val="continue"/>
            <w:vAlign w:val="center"/>
          </w:tcPr>
          <w:p w14:paraId="52E31136">
            <w:pPr>
              <w:widowControl/>
              <w:wordWrap w:val="0"/>
              <w:topLinePunct w:val="0"/>
              <w:spacing w:line="276" w:lineRule="auto"/>
              <w:rPr>
                <w:rFonts w:hint="eastAsia" w:ascii="宋体" w:hAnsi="宋体" w:cs="宋体"/>
                <w:kern w:val="0"/>
                <w:sz w:val="21"/>
                <w:szCs w:val="21"/>
              </w:rPr>
            </w:pPr>
          </w:p>
        </w:tc>
        <w:tc>
          <w:tcPr>
            <w:tcW w:w="430" w:type="pct"/>
            <w:vMerge w:val="continue"/>
            <w:vAlign w:val="center"/>
          </w:tcPr>
          <w:p w14:paraId="6C1817A3">
            <w:pPr>
              <w:widowControl/>
              <w:wordWrap w:val="0"/>
              <w:topLinePunct w:val="0"/>
              <w:spacing w:line="276" w:lineRule="auto"/>
              <w:rPr>
                <w:rFonts w:hint="eastAsia" w:ascii="宋体" w:hAnsi="宋体" w:cs="宋体"/>
                <w:kern w:val="0"/>
                <w:sz w:val="21"/>
                <w:szCs w:val="21"/>
              </w:rPr>
            </w:pPr>
          </w:p>
        </w:tc>
        <w:tc>
          <w:tcPr>
            <w:tcW w:w="876" w:type="pct"/>
            <w:vAlign w:val="center"/>
          </w:tcPr>
          <w:p w14:paraId="734FABF1">
            <w:pPr>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法定代表人/负责人授权委托书（如有）</w:t>
            </w:r>
          </w:p>
        </w:tc>
        <w:tc>
          <w:tcPr>
            <w:tcW w:w="2767" w:type="pct"/>
            <w:vAlign w:val="center"/>
          </w:tcPr>
          <w:p w14:paraId="528433C3">
            <w:pPr>
              <w:widowControl/>
              <w:wordWrap w:val="0"/>
              <w:topLinePunct w:val="0"/>
              <w:spacing w:line="276" w:lineRule="auto"/>
              <w:rPr>
                <w:rFonts w:hint="eastAsia" w:ascii="宋体" w:hAnsi="宋体" w:cs="宋体"/>
                <w:kern w:val="0"/>
                <w:sz w:val="21"/>
                <w:szCs w:val="21"/>
              </w:rPr>
            </w:pPr>
            <w:r>
              <w:rPr>
                <w:rFonts w:hint="eastAsia" w:ascii="宋体" w:hAnsi="宋体" w:cs="宋体"/>
                <w:sz w:val="21"/>
                <w:szCs w:val="21"/>
              </w:rPr>
              <w:t>供应商提供的材料应符合“第七章7.法定代表人/负责人授权委托书（如有）”的要求。</w:t>
            </w:r>
          </w:p>
        </w:tc>
      </w:tr>
      <w:tr w14:paraId="02C46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jc w:val="center"/>
        </w:trPr>
        <w:tc>
          <w:tcPr>
            <w:tcW w:w="436" w:type="pct"/>
            <w:vMerge w:val="continue"/>
            <w:vAlign w:val="center"/>
          </w:tcPr>
          <w:p w14:paraId="2882FA67">
            <w:pPr>
              <w:widowControl/>
              <w:wordWrap w:val="0"/>
              <w:topLinePunct w:val="0"/>
              <w:spacing w:line="276" w:lineRule="auto"/>
              <w:jc w:val="center"/>
              <w:rPr>
                <w:rFonts w:hint="eastAsia" w:ascii="宋体" w:hAnsi="宋体" w:cs="宋体"/>
                <w:kern w:val="0"/>
                <w:sz w:val="21"/>
                <w:szCs w:val="21"/>
              </w:rPr>
            </w:pPr>
          </w:p>
        </w:tc>
        <w:tc>
          <w:tcPr>
            <w:tcW w:w="491" w:type="pct"/>
            <w:vMerge w:val="continue"/>
            <w:vAlign w:val="center"/>
          </w:tcPr>
          <w:p w14:paraId="43CD04EE">
            <w:pPr>
              <w:widowControl/>
              <w:wordWrap w:val="0"/>
              <w:topLinePunct w:val="0"/>
              <w:spacing w:line="276" w:lineRule="auto"/>
              <w:rPr>
                <w:rFonts w:hint="eastAsia" w:ascii="宋体" w:hAnsi="宋体" w:cs="宋体"/>
                <w:kern w:val="0"/>
                <w:sz w:val="21"/>
                <w:szCs w:val="21"/>
              </w:rPr>
            </w:pPr>
          </w:p>
        </w:tc>
        <w:tc>
          <w:tcPr>
            <w:tcW w:w="430" w:type="pct"/>
            <w:vMerge w:val="continue"/>
            <w:vAlign w:val="center"/>
          </w:tcPr>
          <w:p w14:paraId="2B42EB30">
            <w:pPr>
              <w:widowControl/>
              <w:wordWrap w:val="0"/>
              <w:topLinePunct w:val="0"/>
              <w:spacing w:line="276" w:lineRule="auto"/>
              <w:rPr>
                <w:rFonts w:hint="eastAsia" w:ascii="宋体" w:hAnsi="宋体" w:cs="宋体"/>
                <w:kern w:val="0"/>
                <w:sz w:val="21"/>
                <w:szCs w:val="21"/>
              </w:rPr>
            </w:pPr>
          </w:p>
        </w:tc>
        <w:tc>
          <w:tcPr>
            <w:tcW w:w="876" w:type="pct"/>
            <w:vAlign w:val="center"/>
          </w:tcPr>
          <w:p w14:paraId="41456A47">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响应文件格式</w:t>
            </w:r>
          </w:p>
        </w:tc>
        <w:tc>
          <w:tcPr>
            <w:tcW w:w="2767" w:type="pct"/>
            <w:vAlign w:val="center"/>
          </w:tcPr>
          <w:p w14:paraId="1F0AF778">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符合第二章“供应商须知前附表”要求和第七章“响应文件格式”中相关实质性内容的要求。</w:t>
            </w:r>
          </w:p>
        </w:tc>
      </w:tr>
      <w:tr w14:paraId="24991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436" w:type="pct"/>
            <w:vMerge w:val="continue"/>
            <w:vAlign w:val="center"/>
          </w:tcPr>
          <w:p w14:paraId="4F98F7D4">
            <w:pPr>
              <w:widowControl/>
              <w:wordWrap w:val="0"/>
              <w:topLinePunct w:val="0"/>
              <w:spacing w:line="276" w:lineRule="auto"/>
              <w:jc w:val="center"/>
              <w:rPr>
                <w:rFonts w:hint="eastAsia" w:ascii="宋体" w:hAnsi="宋体" w:cs="宋体"/>
                <w:kern w:val="0"/>
                <w:sz w:val="21"/>
                <w:szCs w:val="21"/>
              </w:rPr>
            </w:pPr>
          </w:p>
        </w:tc>
        <w:tc>
          <w:tcPr>
            <w:tcW w:w="491" w:type="pct"/>
            <w:vMerge w:val="continue"/>
            <w:vAlign w:val="center"/>
          </w:tcPr>
          <w:p w14:paraId="3A685AC1">
            <w:pPr>
              <w:widowControl/>
              <w:wordWrap w:val="0"/>
              <w:topLinePunct w:val="0"/>
              <w:spacing w:line="276" w:lineRule="auto"/>
              <w:rPr>
                <w:rFonts w:hint="eastAsia" w:ascii="宋体" w:hAnsi="宋体" w:cs="宋体"/>
                <w:kern w:val="0"/>
                <w:sz w:val="21"/>
                <w:szCs w:val="21"/>
              </w:rPr>
            </w:pPr>
          </w:p>
        </w:tc>
        <w:tc>
          <w:tcPr>
            <w:tcW w:w="430" w:type="pct"/>
            <w:vMerge w:val="restart"/>
            <w:vAlign w:val="center"/>
          </w:tcPr>
          <w:p w14:paraId="506E76AE">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资格</w:t>
            </w:r>
          </w:p>
          <w:p w14:paraId="38CBBF83">
            <w:pPr>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评审</w:t>
            </w:r>
          </w:p>
        </w:tc>
        <w:tc>
          <w:tcPr>
            <w:tcW w:w="876" w:type="pct"/>
            <w:vAlign w:val="center"/>
          </w:tcPr>
          <w:p w14:paraId="7B7ED74F">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主体资格</w:t>
            </w:r>
          </w:p>
        </w:tc>
        <w:tc>
          <w:tcPr>
            <w:tcW w:w="2767" w:type="pct"/>
            <w:vAlign w:val="center"/>
          </w:tcPr>
          <w:p w14:paraId="4C16DFEB">
            <w:pPr>
              <w:wordWrap w:val="0"/>
              <w:topLinePunct w:val="0"/>
              <w:snapToGrid w:val="0"/>
              <w:spacing w:line="276" w:lineRule="auto"/>
              <w:jc w:val="left"/>
              <w:rPr>
                <w:rFonts w:hint="eastAsia" w:ascii="宋体" w:hAnsi="宋体" w:cs="宋体"/>
                <w:kern w:val="0"/>
                <w:sz w:val="21"/>
                <w:szCs w:val="21"/>
              </w:rPr>
            </w:pPr>
            <w:r>
              <w:rPr>
                <w:rFonts w:hint="eastAsia" w:ascii="宋体" w:hAnsi="宋体" w:cs="宋体"/>
                <w:kern w:val="0"/>
                <w:sz w:val="21"/>
                <w:szCs w:val="21"/>
              </w:rPr>
              <w:t>本项目要求供应商应为中华人民共和国境内法律上和财务上独立的法人或依法登记注册的其他组织，合法运作并独立于采购人和采购代理机构。审核响应文件中按照询比文件第七章“响应文件格式”12.1条款要求提供的证明材料内容是否符合。</w:t>
            </w:r>
          </w:p>
        </w:tc>
      </w:tr>
      <w:tr w14:paraId="260AA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jc w:val="center"/>
        </w:trPr>
        <w:tc>
          <w:tcPr>
            <w:tcW w:w="436" w:type="pct"/>
            <w:vMerge w:val="continue"/>
            <w:vAlign w:val="center"/>
          </w:tcPr>
          <w:p w14:paraId="2AF377BA">
            <w:pPr>
              <w:widowControl/>
              <w:wordWrap w:val="0"/>
              <w:topLinePunct w:val="0"/>
              <w:spacing w:line="276" w:lineRule="auto"/>
              <w:jc w:val="center"/>
              <w:rPr>
                <w:rFonts w:hint="eastAsia" w:ascii="宋体" w:hAnsi="宋体" w:cs="宋体"/>
                <w:kern w:val="0"/>
                <w:sz w:val="21"/>
                <w:szCs w:val="21"/>
              </w:rPr>
            </w:pPr>
          </w:p>
        </w:tc>
        <w:tc>
          <w:tcPr>
            <w:tcW w:w="491" w:type="pct"/>
            <w:vMerge w:val="continue"/>
            <w:vAlign w:val="center"/>
          </w:tcPr>
          <w:p w14:paraId="5944D6E3">
            <w:pPr>
              <w:widowControl/>
              <w:wordWrap w:val="0"/>
              <w:topLinePunct w:val="0"/>
              <w:spacing w:line="276" w:lineRule="auto"/>
              <w:rPr>
                <w:rFonts w:hint="eastAsia" w:ascii="宋体" w:hAnsi="宋体" w:cs="宋体"/>
                <w:kern w:val="0"/>
                <w:sz w:val="21"/>
                <w:szCs w:val="21"/>
              </w:rPr>
            </w:pPr>
          </w:p>
        </w:tc>
        <w:tc>
          <w:tcPr>
            <w:tcW w:w="430" w:type="pct"/>
            <w:vMerge w:val="continue"/>
            <w:vAlign w:val="center"/>
          </w:tcPr>
          <w:p w14:paraId="40F4A4C5">
            <w:pPr>
              <w:widowControl/>
              <w:wordWrap w:val="0"/>
              <w:topLinePunct w:val="0"/>
              <w:spacing w:line="276" w:lineRule="auto"/>
              <w:rPr>
                <w:rFonts w:hint="eastAsia" w:ascii="宋体" w:hAnsi="宋体" w:cs="宋体"/>
                <w:kern w:val="0"/>
                <w:sz w:val="21"/>
                <w:szCs w:val="21"/>
              </w:rPr>
            </w:pPr>
          </w:p>
        </w:tc>
        <w:tc>
          <w:tcPr>
            <w:tcW w:w="876" w:type="pct"/>
            <w:vAlign w:val="center"/>
          </w:tcPr>
          <w:p w14:paraId="0461FF66">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有效业绩</w:t>
            </w:r>
          </w:p>
        </w:tc>
        <w:tc>
          <w:tcPr>
            <w:tcW w:w="2767" w:type="pct"/>
            <w:vAlign w:val="center"/>
          </w:tcPr>
          <w:p w14:paraId="3E8F99C3">
            <w:pPr>
              <w:tabs>
                <w:tab w:val="left" w:pos="426"/>
              </w:tabs>
              <w:topLinePunct w:val="0"/>
              <w:spacing w:line="360" w:lineRule="auto"/>
              <w:rPr>
                <w:rFonts w:hint="eastAsia" w:ascii="宋体" w:hAnsi="宋体" w:cs="宋体"/>
                <w:kern w:val="0"/>
                <w:sz w:val="21"/>
                <w:szCs w:val="21"/>
              </w:rPr>
            </w:pPr>
            <w:r>
              <w:rPr>
                <w:rFonts w:hint="eastAsia" w:ascii="宋体" w:hAnsi="宋体" w:cs="宋体"/>
                <w:kern w:val="0"/>
                <w:sz w:val="21"/>
                <w:szCs w:val="21"/>
              </w:rPr>
              <w:t>本项目要求供应商具备2023年1月1日至询比公告发布之日前类似项目（软件开发类）有效业绩，应满足下列要求：累计有效业绩合同金额不少于100万元。审核响应文件中按照询比文件第七章“响应文件格式”12.2条款要求提供的证明材料内容是否符合。</w:t>
            </w:r>
          </w:p>
        </w:tc>
      </w:tr>
      <w:tr w14:paraId="3E22737D">
        <w:tblPrEx>
          <w:tblCellMar>
            <w:top w:w="0" w:type="dxa"/>
            <w:left w:w="108" w:type="dxa"/>
            <w:bottom w:w="0" w:type="dxa"/>
            <w:right w:w="108" w:type="dxa"/>
          </w:tblCellMar>
        </w:tblPrEx>
        <w:trPr>
          <w:trHeight w:val="745" w:hRule="atLeast"/>
          <w:jc w:val="center"/>
        </w:trPr>
        <w:tc>
          <w:tcPr>
            <w:tcW w:w="436" w:type="pct"/>
            <w:vMerge w:val="continue"/>
            <w:vAlign w:val="center"/>
          </w:tcPr>
          <w:p w14:paraId="0837EAA3">
            <w:pPr>
              <w:widowControl/>
              <w:wordWrap w:val="0"/>
              <w:topLinePunct w:val="0"/>
              <w:spacing w:line="276" w:lineRule="auto"/>
              <w:jc w:val="center"/>
              <w:rPr>
                <w:rFonts w:hint="eastAsia" w:ascii="宋体" w:hAnsi="宋体" w:cs="宋体"/>
                <w:kern w:val="0"/>
                <w:sz w:val="21"/>
                <w:szCs w:val="21"/>
              </w:rPr>
            </w:pPr>
          </w:p>
        </w:tc>
        <w:tc>
          <w:tcPr>
            <w:tcW w:w="491" w:type="pct"/>
            <w:vMerge w:val="continue"/>
            <w:vAlign w:val="center"/>
          </w:tcPr>
          <w:p w14:paraId="64313366">
            <w:pPr>
              <w:widowControl/>
              <w:wordWrap w:val="0"/>
              <w:topLinePunct w:val="0"/>
              <w:spacing w:line="276" w:lineRule="auto"/>
              <w:rPr>
                <w:rFonts w:hint="eastAsia" w:ascii="宋体" w:hAnsi="宋体" w:cs="宋体"/>
                <w:kern w:val="0"/>
                <w:sz w:val="21"/>
                <w:szCs w:val="21"/>
              </w:rPr>
            </w:pPr>
          </w:p>
        </w:tc>
        <w:tc>
          <w:tcPr>
            <w:tcW w:w="430" w:type="pct"/>
            <w:vMerge w:val="continue"/>
            <w:vAlign w:val="center"/>
          </w:tcPr>
          <w:p w14:paraId="4E8DB522">
            <w:pPr>
              <w:widowControl/>
              <w:wordWrap w:val="0"/>
              <w:topLinePunct w:val="0"/>
              <w:spacing w:line="276" w:lineRule="auto"/>
              <w:rPr>
                <w:rFonts w:hint="eastAsia" w:ascii="宋体" w:hAnsi="宋体" w:cs="宋体"/>
                <w:kern w:val="0"/>
                <w:sz w:val="21"/>
                <w:szCs w:val="21"/>
              </w:rPr>
            </w:pPr>
          </w:p>
        </w:tc>
        <w:tc>
          <w:tcPr>
            <w:tcW w:w="876" w:type="pct"/>
            <w:vAlign w:val="center"/>
          </w:tcPr>
          <w:p w14:paraId="2D6AB477">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分包、转包要求</w:t>
            </w:r>
          </w:p>
        </w:tc>
        <w:tc>
          <w:tcPr>
            <w:tcW w:w="2767" w:type="pct"/>
            <w:vAlign w:val="center"/>
          </w:tcPr>
          <w:p w14:paraId="719A0E45">
            <w:pPr>
              <w:tabs>
                <w:tab w:val="left" w:pos="426"/>
              </w:tabs>
              <w:topLinePunct w:val="0"/>
              <w:spacing w:line="360" w:lineRule="auto"/>
              <w:rPr>
                <w:rFonts w:hint="eastAsia" w:ascii="宋体" w:hAnsi="宋体" w:cs="宋体"/>
                <w:kern w:val="0"/>
                <w:sz w:val="21"/>
                <w:szCs w:val="21"/>
              </w:rPr>
            </w:pPr>
            <w:r>
              <w:rPr>
                <w:rFonts w:hint="eastAsia" w:ascii="宋体" w:hAnsi="宋体" w:cs="宋体"/>
                <w:kern w:val="0"/>
                <w:sz w:val="21"/>
                <w:szCs w:val="21"/>
              </w:rPr>
              <w:t>本项目不允许分包、不允许转包。供应商须提供相关的承诺。</w:t>
            </w:r>
          </w:p>
        </w:tc>
      </w:tr>
      <w:tr w14:paraId="446E6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436" w:type="pct"/>
            <w:vMerge w:val="continue"/>
            <w:vAlign w:val="center"/>
          </w:tcPr>
          <w:p w14:paraId="06D42277">
            <w:pPr>
              <w:widowControl/>
              <w:wordWrap w:val="0"/>
              <w:topLinePunct w:val="0"/>
              <w:spacing w:line="276" w:lineRule="auto"/>
              <w:jc w:val="center"/>
              <w:rPr>
                <w:rFonts w:hint="eastAsia" w:ascii="宋体" w:hAnsi="宋体" w:cs="宋体"/>
                <w:kern w:val="0"/>
                <w:sz w:val="21"/>
                <w:szCs w:val="21"/>
              </w:rPr>
            </w:pPr>
          </w:p>
        </w:tc>
        <w:tc>
          <w:tcPr>
            <w:tcW w:w="491" w:type="pct"/>
            <w:vMerge w:val="continue"/>
            <w:vAlign w:val="center"/>
          </w:tcPr>
          <w:p w14:paraId="133AD30D">
            <w:pPr>
              <w:widowControl/>
              <w:wordWrap w:val="0"/>
              <w:topLinePunct w:val="0"/>
              <w:spacing w:line="276" w:lineRule="auto"/>
              <w:rPr>
                <w:rFonts w:hint="eastAsia" w:ascii="宋体" w:hAnsi="宋体" w:cs="宋体"/>
                <w:kern w:val="0"/>
                <w:sz w:val="21"/>
                <w:szCs w:val="21"/>
              </w:rPr>
            </w:pPr>
          </w:p>
        </w:tc>
        <w:tc>
          <w:tcPr>
            <w:tcW w:w="430" w:type="pct"/>
            <w:vMerge w:val="continue"/>
            <w:vAlign w:val="center"/>
          </w:tcPr>
          <w:p w14:paraId="52BF4674">
            <w:pPr>
              <w:wordWrap w:val="0"/>
              <w:topLinePunct w:val="0"/>
              <w:spacing w:line="276" w:lineRule="auto"/>
              <w:rPr>
                <w:rFonts w:hint="eastAsia" w:ascii="宋体" w:hAnsi="宋体" w:cs="宋体"/>
                <w:kern w:val="0"/>
                <w:sz w:val="21"/>
                <w:szCs w:val="21"/>
              </w:rPr>
            </w:pPr>
          </w:p>
        </w:tc>
        <w:tc>
          <w:tcPr>
            <w:tcW w:w="876" w:type="pct"/>
            <w:vAlign w:val="center"/>
          </w:tcPr>
          <w:p w14:paraId="0EFEBAD8">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联合体响应</w:t>
            </w:r>
          </w:p>
        </w:tc>
        <w:tc>
          <w:tcPr>
            <w:tcW w:w="2767" w:type="pct"/>
            <w:vAlign w:val="center"/>
          </w:tcPr>
          <w:p w14:paraId="5D5296C1">
            <w:pPr>
              <w:widowControl/>
              <w:wordWrap w:val="0"/>
              <w:topLinePunct w:val="0"/>
              <w:spacing w:line="276" w:lineRule="auto"/>
              <w:rPr>
                <w:rFonts w:hint="eastAsia" w:ascii="宋体" w:hAnsi="宋体" w:cs="宋体"/>
                <w:kern w:val="0"/>
                <w:sz w:val="21"/>
                <w:szCs w:val="21"/>
              </w:rPr>
            </w:pPr>
            <w:bookmarkStart w:id="13" w:name="_Hlk116910332"/>
            <w:r>
              <w:rPr>
                <w:rFonts w:hint="eastAsia" w:ascii="宋体" w:hAnsi="宋体" w:cs="宋体"/>
                <w:kern w:val="0"/>
                <w:sz w:val="21"/>
                <w:szCs w:val="21"/>
              </w:rPr>
              <w:t>本项目不接受联合体响应。</w:t>
            </w:r>
            <w:bookmarkEnd w:id="13"/>
          </w:p>
        </w:tc>
      </w:tr>
      <w:tr w14:paraId="10CED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436" w:type="pct"/>
            <w:vMerge w:val="continue"/>
            <w:vAlign w:val="center"/>
          </w:tcPr>
          <w:p w14:paraId="59E62320">
            <w:pPr>
              <w:widowControl/>
              <w:wordWrap w:val="0"/>
              <w:topLinePunct w:val="0"/>
              <w:spacing w:line="276" w:lineRule="auto"/>
              <w:jc w:val="center"/>
              <w:rPr>
                <w:rFonts w:hint="eastAsia" w:ascii="宋体" w:hAnsi="宋体" w:cs="宋体"/>
                <w:kern w:val="0"/>
                <w:sz w:val="21"/>
                <w:szCs w:val="21"/>
              </w:rPr>
            </w:pPr>
          </w:p>
        </w:tc>
        <w:tc>
          <w:tcPr>
            <w:tcW w:w="491" w:type="pct"/>
            <w:vMerge w:val="continue"/>
            <w:vAlign w:val="center"/>
          </w:tcPr>
          <w:p w14:paraId="6CDE5BA3">
            <w:pPr>
              <w:widowControl/>
              <w:wordWrap w:val="0"/>
              <w:topLinePunct w:val="0"/>
              <w:spacing w:line="276" w:lineRule="auto"/>
              <w:rPr>
                <w:rFonts w:hint="eastAsia" w:ascii="宋体" w:hAnsi="宋体" w:cs="宋体"/>
                <w:kern w:val="0"/>
                <w:sz w:val="21"/>
                <w:szCs w:val="21"/>
              </w:rPr>
            </w:pPr>
          </w:p>
        </w:tc>
        <w:tc>
          <w:tcPr>
            <w:tcW w:w="430" w:type="pct"/>
            <w:vMerge w:val="continue"/>
            <w:vAlign w:val="center"/>
          </w:tcPr>
          <w:p w14:paraId="296E7454">
            <w:pPr>
              <w:wordWrap w:val="0"/>
              <w:topLinePunct w:val="0"/>
              <w:spacing w:line="276" w:lineRule="auto"/>
              <w:rPr>
                <w:rFonts w:hint="eastAsia" w:ascii="宋体" w:hAnsi="宋体" w:cs="宋体"/>
                <w:kern w:val="0"/>
                <w:sz w:val="21"/>
                <w:szCs w:val="21"/>
              </w:rPr>
            </w:pPr>
          </w:p>
        </w:tc>
        <w:tc>
          <w:tcPr>
            <w:tcW w:w="876" w:type="pct"/>
            <w:vAlign w:val="center"/>
          </w:tcPr>
          <w:p w14:paraId="0D717497">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不得存在的情形</w:t>
            </w:r>
          </w:p>
        </w:tc>
        <w:tc>
          <w:tcPr>
            <w:tcW w:w="2767" w:type="pct"/>
            <w:vAlign w:val="center"/>
          </w:tcPr>
          <w:p w14:paraId="54926F90">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供应商提供的承诺或证明等材料内容符合询比公告、供应商须知及前附表的内容规定。</w:t>
            </w:r>
          </w:p>
        </w:tc>
      </w:tr>
      <w:tr w14:paraId="766C3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jc w:val="center"/>
        </w:trPr>
        <w:tc>
          <w:tcPr>
            <w:tcW w:w="436" w:type="pct"/>
            <w:vMerge w:val="continue"/>
            <w:vAlign w:val="center"/>
          </w:tcPr>
          <w:p w14:paraId="69E86367">
            <w:pPr>
              <w:widowControl/>
              <w:wordWrap w:val="0"/>
              <w:topLinePunct w:val="0"/>
              <w:spacing w:line="276" w:lineRule="auto"/>
              <w:jc w:val="center"/>
              <w:rPr>
                <w:rFonts w:hint="eastAsia" w:ascii="宋体" w:hAnsi="宋体" w:cs="宋体"/>
                <w:kern w:val="0"/>
                <w:sz w:val="21"/>
                <w:szCs w:val="21"/>
              </w:rPr>
            </w:pPr>
          </w:p>
        </w:tc>
        <w:tc>
          <w:tcPr>
            <w:tcW w:w="491" w:type="pct"/>
            <w:vMerge w:val="continue"/>
            <w:vAlign w:val="center"/>
          </w:tcPr>
          <w:p w14:paraId="133A558A">
            <w:pPr>
              <w:widowControl/>
              <w:wordWrap w:val="0"/>
              <w:topLinePunct w:val="0"/>
              <w:spacing w:line="276" w:lineRule="auto"/>
              <w:rPr>
                <w:rFonts w:hint="eastAsia" w:ascii="宋体" w:hAnsi="宋体" w:cs="宋体"/>
                <w:kern w:val="0"/>
                <w:sz w:val="21"/>
                <w:szCs w:val="21"/>
              </w:rPr>
            </w:pPr>
          </w:p>
        </w:tc>
        <w:tc>
          <w:tcPr>
            <w:tcW w:w="430" w:type="pct"/>
            <w:vMerge w:val="continue"/>
            <w:vAlign w:val="center"/>
          </w:tcPr>
          <w:p w14:paraId="3FF050EC">
            <w:pPr>
              <w:widowControl/>
              <w:wordWrap w:val="0"/>
              <w:topLinePunct w:val="0"/>
              <w:spacing w:line="276" w:lineRule="auto"/>
              <w:rPr>
                <w:rFonts w:hint="eastAsia" w:ascii="宋体" w:hAnsi="宋体" w:cs="宋体"/>
                <w:kern w:val="0"/>
                <w:sz w:val="21"/>
                <w:szCs w:val="21"/>
              </w:rPr>
            </w:pPr>
          </w:p>
        </w:tc>
        <w:tc>
          <w:tcPr>
            <w:tcW w:w="876" w:type="pct"/>
            <w:vAlign w:val="center"/>
          </w:tcPr>
          <w:p w14:paraId="015D33A6">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控股和管理关系限制</w:t>
            </w:r>
          </w:p>
        </w:tc>
        <w:tc>
          <w:tcPr>
            <w:tcW w:w="2767" w:type="pct"/>
            <w:vAlign w:val="center"/>
          </w:tcPr>
          <w:p w14:paraId="6F930679">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供应商提供的承诺或证明等材料内容符合询比公告、供应商须知及前附表的内容规定。</w:t>
            </w:r>
          </w:p>
        </w:tc>
      </w:tr>
      <w:tr w14:paraId="39386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436" w:type="pct"/>
            <w:vMerge w:val="continue"/>
            <w:vAlign w:val="center"/>
          </w:tcPr>
          <w:p w14:paraId="31C82F27">
            <w:pPr>
              <w:widowControl/>
              <w:wordWrap w:val="0"/>
              <w:topLinePunct w:val="0"/>
              <w:spacing w:line="276" w:lineRule="auto"/>
              <w:jc w:val="center"/>
              <w:rPr>
                <w:rFonts w:hint="eastAsia" w:ascii="宋体" w:hAnsi="宋体" w:cs="宋体"/>
                <w:kern w:val="0"/>
                <w:sz w:val="21"/>
                <w:szCs w:val="21"/>
              </w:rPr>
            </w:pPr>
          </w:p>
        </w:tc>
        <w:tc>
          <w:tcPr>
            <w:tcW w:w="491" w:type="pct"/>
            <w:vMerge w:val="continue"/>
            <w:vAlign w:val="center"/>
          </w:tcPr>
          <w:p w14:paraId="67C5A696">
            <w:pPr>
              <w:widowControl/>
              <w:wordWrap w:val="0"/>
              <w:topLinePunct w:val="0"/>
              <w:spacing w:line="276" w:lineRule="auto"/>
              <w:rPr>
                <w:rFonts w:hint="eastAsia" w:ascii="宋体" w:hAnsi="宋体" w:cs="宋体"/>
                <w:kern w:val="0"/>
                <w:sz w:val="21"/>
                <w:szCs w:val="21"/>
              </w:rPr>
            </w:pPr>
          </w:p>
        </w:tc>
        <w:tc>
          <w:tcPr>
            <w:tcW w:w="430" w:type="pct"/>
            <w:vMerge w:val="restart"/>
            <w:vAlign w:val="center"/>
          </w:tcPr>
          <w:p w14:paraId="2494A3E8">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响应性评审</w:t>
            </w:r>
          </w:p>
        </w:tc>
        <w:tc>
          <w:tcPr>
            <w:tcW w:w="876" w:type="pct"/>
            <w:vAlign w:val="center"/>
          </w:tcPr>
          <w:p w14:paraId="7560C5D5">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实质性响应</w:t>
            </w:r>
          </w:p>
        </w:tc>
        <w:tc>
          <w:tcPr>
            <w:tcW w:w="2767" w:type="pct"/>
            <w:vAlign w:val="center"/>
          </w:tcPr>
          <w:p w14:paraId="1C927252">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询比文件中凡是出现</w:t>
            </w:r>
            <w:r>
              <w:rPr>
                <w:rFonts w:hint="eastAsia" w:ascii="宋体" w:hAnsi="宋体" w:cs="宋体"/>
                <w:b/>
                <w:bCs/>
                <w:kern w:val="0"/>
                <w:sz w:val="21"/>
                <w:szCs w:val="21"/>
                <w:u w:val="single"/>
              </w:rPr>
              <w:t>★重体字★</w:t>
            </w:r>
            <w:r>
              <w:rPr>
                <w:rFonts w:hint="eastAsia" w:ascii="宋体" w:hAnsi="宋体" w:cs="宋体"/>
                <w:kern w:val="0"/>
                <w:sz w:val="21"/>
                <w:szCs w:val="21"/>
              </w:rPr>
              <w:t>进行标注的内容，均属于实质性响应内容，供应商需对该内容进行实质性响应，未实质性响应的响应将被否决。对响应文件中的“第四章 合同条款”偏离表响应、“第五章 技术规范和服务要求、第六章 商务要求”非实质性内容“负偏离”事项超过供应商须知前附表2.1.3（3）条款的，视为响应实质性不满足，将被否决。</w:t>
            </w:r>
          </w:p>
        </w:tc>
      </w:tr>
      <w:tr w14:paraId="58AC5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436" w:type="pct"/>
            <w:vMerge w:val="continue"/>
            <w:vAlign w:val="center"/>
          </w:tcPr>
          <w:p w14:paraId="43547395">
            <w:pPr>
              <w:widowControl/>
              <w:wordWrap w:val="0"/>
              <w:topLinePunct w:val="0"/>
              <w:spacing w:line="276" w:lineRule="auto"/>
              <w:jc w:val="center"/>
              <w:rPr>
                <w:rFonts w:hint="eastAsia" w:ascii="宋体" w:hAnsi="宋体" w:cs="宋体"/>
                <w:kern w:val="0"/>
                <w:sz w:val="21"/>
                <w:szCs w:val="21"/>
              </w:rPr>
            </w:pPr>
          </w:p>
        </w:tc>
        <w:tc>
          <w:tcPr>
            <w:tcW w:w="491" w:type="pct"/>
            <w:vMerge w:val="continue"/>
            <w:vAlign w:val="center"/>
          </w:tcPr>
          <w:p w14:paraId="19E2FA84">
            <w:pPr>
              <w:widowControl/>
              <w:wordWrap w:val="0"/>
              <w:topLinePunct w:val="0"/>
              <w:spacing w:line="276" w:lineRule="auto"/>
              <w:rPr>
                <w:rFonts w:hint="eastAsia" w:ascii="宋体" w:hAnsi="宋体" w:cs="宋体"/>
                <w:kern w:val="0"/>
                <w:sz w:val="21"/>
                <w:szCs w:val="21"/>
              </w:rPr>
            </w:pPr>
          </w:p>
        </w:tc>
        <w:tc>
          <w:tcPr>
            <w:tcW w:w="430" w:type="pct"/>
            <w:vMerge w:val="continue"/>
            <w:vAlign w:val="center"/>
          </w:tcPr>
          <w:p w14:paraId="33B15632">
            <w:pPr>
              <w:widowControl/>
              <w:wordWrap w:val="0"/>
              <w:topLinePunct w:val="0"/>
              <w:spacing w:line="276" w:lineRule="auto"/>
              <w:rPr>
                <w:rFonts w:hint="eastAsia" w:ascii="宋体" w:hAnsi="宋体" w:cs="宋体"/>
                <w:kern w:val="0"/>
                <w:sz w:val="21"/>
                <w:szCs w:val="21"/>
              </w:rPr>
            </w:pPr>
          </w:p>
        </w:tc>
        <w:tc>
          <w:tcPr>
            <w:tcW w:w="876" w:type="pct"/>
            <w:vAlign w:val="center"/>
          </w:tcPr>
          <w:p w14:paraId="35449781">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响应有效期</w:t>
            </w:r>
          </w:p>
        </w:tc>
        <w:tc>
          <w:tcPr>
            <w:tcW w:w="2767" w:type="pct"/>
            <w:vAlign w:val="center"/>
          </w:tcPr>
          <w:p w14:paraId="2374F373">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响应有效期时间：审核响应函中载明的响应有效期时间。</w:t>
            </w:r>
          </w:p>
        </w:tc>
      </w:tr>
      <w:tr w14:paraId="7958E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436" w:type="pct"/>
            <w:vMerge w:val="continue"/>
            <w:vAlign w:val="center"/>
          </w:tcPr>
          <w:p w14:paraId="667E35AC">
            <w:pPr>
              <w:widowControl/>
              <w:wordWrap w:val="0"/>
              <w:topLinePunct w:val="0"/>
              <w:spacing w:line="276" w:lineRule="auto"/>
              <w:jc w:val="center"/>
              <w:rPr>
                <w:rFonts w:hint="eastAsia" w:ascii="宋体" w:hAnsi="宋体" w:cs="宋体"/>
                <w:kern w:val="0"/>
                <w:sz w:val="21"/>
                <w:szCs w:val="21"/>
              </w:rPr>
            </w:pPr>
          </w:p>
        </w:tc>
        <w:tc>
          <w:tcPr>
            <w:tcW w:w="491" w:type="pct"/>
            <w:vMerge w:val="continue"/>
            <w:vAlign w:val="center"/>
          </w:tcPr>
          <w:p w14:paraId="12DDFFE6">
            <w:pPr>
              <w:widowControl/>
              <w:wordWrap w:val="0"/>
              <w:topLinePunct w:val="0"/>
              <w:spacing w:line="276" w:lineRule="auto"/>
              <w:rPr>
                <w:rFonts w:hint="eastAsia" w:ascii="宋体" w:hAnsi="宋体" w:cs="宋体"/>
                <w:kern w:val="0"/>
                <w:sz w:val="21"/>
                <w:szCs w:val="21"/>
              </w:rPr>
            </w:pPr>
          </w:p>
        </w:tc>
        <w:tc>
          <w:tcPr>
            <w:tcW w:w="430" w:type="pct"/>
            <w:vMerge w:val="continue"/>
            <w:vAlign w:val="center"/>
          </w:tcPr>
          <w:p w14:paraId="69AECA0F">
            <w:pPr>
              <w:widowControl/>
              <w:wordWrap w:val="0"/>
              <w:topLinePunct w:val="0"/>
              <w:spacing w:line="276" w:lineRule="auto"/>
              <w:rPr>
                <w:rFonts w:hint="eastAsia" w:ascii="宋体" w:hAnsi="宋体" w:cs="宋体"/>
                <w:kern w:val="0"/>
                <w:sz w:val="21"/>
                <w:szCs w:val="21"/>
              </w:rPr>
            </w:pPr>
          </w:p>
        </w:tc>
        <w:tc>
          <w:tcPr>
            <w:tcW w:w="876" w:type="pct"/>
            <w:vAlign w:val="center"/>
          </w:tcPr>
          <w:p w14:paraId="718A816E">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商务报价及最高响应限价</w:t>
            </w:r>
          </w:p>
        </w:tc>
        <w:tc>
          <w:tcPr>
            <w:tcW w:w="2767" w:type="pct"/>
            <w:vAlign w:val="center"/>
          </w:tcPr>
          <w:p w14:paraId="69944CF3">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1.符合第二章供应商须知前附表的规定；2.根据唱价记录表内容对供应商报价内容及格式进行审核。</w:t>
            </w:r>
          </w:p>
        </w:tc>
      </w:tr>
      <w:tr w14:paraId="5BE8E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436" w:type="pct"/>
            <w:vMerge w:val="continue"/>
            <w:vAlign w:val="center"/>
          </w:tcPr>
          <w:p w14:paraId="62A324AC">
            <w:pPr>
              <w:widowControl/>
              <w:wordWrap w:val="0"/>
              <w:topLinePunct w:val="0"/>
              <w:spacing w:line="276" w:lineRule="auto"/>
              <w:jc w:val="center"/>
              <w:rPr>
                <w:rFonts w:hint="eastAsia" w:ascii="宋体" w:hAnsi="宋体" w:cs="宋体"/>
                <w:kern w:val="0"/>
                <w:sz w:val="21"/>
                <w:szCs w:val="21"/>
              </w:rPr>
            </w:pPr>
          </w:p>
        </w:tc>
        <w:tc>
          <w:tcPr>
            <w:tcW w:w="491" w:type="pct"/>
            <w:vMerge w:val="continue"/>
            <w:vAlign w:val="center"/>
          </w:tcPr>
          <w:p w14:paraId="27C2B885">
            <w:pPr>
              <w:widowControl/>
              <w:wordWrap w:val="0"/>
              <w:topLinePunct w:val="0"/>
              <w:spacing w:line="276" w:lineRule="auto"/>
              <w:rPr>
                <w:rFonts w:hint="eastAsia" w:ascii="宋体" w:hAnsi="宋体" w:cs="宋体"/>
                <w:kern w:val="0"/>
                <w:sz w:val="21"/>
                <w:szCs w:val="21"/>
              </w:rPr>
            </w:pPr>
          </w:p>
        </w:tc>
        <w:tc>
          <w:tcPr>
            <w:tcW w:w="430" w:type="pct"/>
            <w:vMerge w:val="continue"/>
            <w:vAlign w:val="center"/>
          </w:tcPr>
          <w:p w14:paraId="742D9E94">
            <w:pPr>
              <w:widowControl/>
              <w:wordWrap w:val="0"/>
              <w:topLinePunct w:val="0"/>
              <w:spacing w:line="276" w:lineRule="auto"/>
              <w:rPr>
                <w:rFonts w:hint="eastAsia" w:ascii="宋体" w:hAnsi="宋体" w:cs="宋体"/>
                <w:kern w:val="0"/>
                <w:sz w:val="21"/>
                <w:szCs w:val="21"/>
              </w:rPr>
            </w:pPr>
          </w:p>
        </w:tc>
        <w:tc>
          <w:tcPr>
            <w:tcW w:w="876" w:type="pct"/>
            <w:vAlign w:val="center"/>
          </w:tcPr>
          <w:p w14:paraId="152992EC">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其他</w:t>
            </w:r>
          </w:p>
        </w:tc>
        <w:tc>
          <w:tcPr>
            <w:tcW w:w="2767" w:type="pct"/>
            <w:vAlign w:val="center"/>
          </w:tcPr>
          <w:p w14:paraId="76F624A6">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其他不符合询比文件实质性要求及法律、法规规定的其他情形。</w:t>
            </w:r>
          </w:p>
        </w:tc>
      </w:tr>
      <w:tr w14:paraId="1237B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436" w:type="pct"/>
            <w:vAlign w:val="center"/>
          </w:tcPr>
          <w:p w14:paraId="1118E680">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2.2</w:t>
            </w:r>
          </w:p>
        </w:tc>
        <w:tc>
          <w:tcPr>
            <w:tcW w:w="491" w:type="pct"/>
            <w:vAlign w:val="center"/>
          </w:tcPr>
          <w:p w14:paraId="034F6D35">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详细评审</w:t>
            </w:r>
          </w:p>
        </w:tc>
        <w:tc>
          <w:tcPr>
            <w:tcW w:w="4073" w:type="pct"/>
            <w:gridSpan w:val="3"/>
            <w:vAlign w:val="center"/>
          </w:tcPr>
          <w:p w14:paraId="191D4048">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未通过初步评审的供应商不进入详细评审阶段，详细评分标准详见详细评分表。</w:t>
            </w:r>
          </w:p>
        </w:tc>
      </w:tr>
      <w:tr w14:paraId="18F9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436" w:type="pct"/>
            <w:vAlign w:val="center"/>
          </w:tcPr>
          <w:p w14:paraId="7F3C3AFB">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3.2.2</w:t>
            </w:r>
          </w:p>
        </w:tc>
        <w:tc>
          <w:tcPr>
            <w:tcW w:w="491" w:type="pct"/>
            <w:vAlign w:val="center"/>
          </w:tcPr>
          <w:p w14:paraId="44AFA772">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评分计算原则</w:t>
            </w:r>
          </w:p>
        </w:tc>
        <w:tc>
          <w:tcPr>
            <w:tcW w:w="4073" w:type="pct"/>
            <w:gridSpan w:val="3"/>
            <w:vAlign w:val="center"/>
          </w:tcPr>
          <w:p w14:paraId="21B7886C">
            <w:pPr>
              <w:wordWrap w:val="0"/>
              <w:topLinePunct w:val="0"/>
              <w:spacing w:line="276" w:lineRule="auto"/>
              <w:jc w:val="left"/>
              <w:rPr>
                <w:rFonts w:hint="eastAsia" w:ascii="宋体" w:hAnsi="宋体" w:cs="宋体"/>
                <w:kern w:val="0"/>
                <w:sz w:val="21"/>
                <w:szCs w:val="21"/>
              </w:rPr>
            </w:pPr>
            <w:r>
              <w:rPr>
                <w:rFonts w:hint="eastAsia" w:ascii="宋体" w:hAnsi="宋体" w:cs="宋体"/>
                <w:sz w:val="21"/>
                <w:szCs w:val="21"/>
              </w:rPr>
              <w:t>计算结果保留到小数点后两位数。</w:t>
            </w:r>
          </w:p>
        </w:tc>
      </w:tr>
      <w:tr w14:paraId="73B94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436" w:type="pct"/>
            <w:vAlign w:val="center"/>
          </w:tcPr>
          <w:p w14:paraId="31E734EF">
            <w:pPr>
              <w:widowControl/>
              <w:wordWrap w:val="0"/>
              <w:topLinePunct w:val="0"/>
              <w:spacing w:line="276" w:lineRule="auto"/>
              <w:jc w:val="center"/>
              <w:rPr>
                <w:rFonts w:hint="eastAsia" w:ascii="宋体" w:hAnsi="宋体" w:cs="宋体"/>
                <w:kern w:val="0"/>
                <w:sz w:val="21"/>
                <w:szCs w:val="21"/>
              </w:rPr>
            </w:pPr>
            <w:r>
              <w:rPr>
                <w:rFonts w:hint="eastAsia" w:ascii="宋体" w:hAnsi="宋体" w:cs="宋体"/>
                <w:kern w:val="0"/>
                <w:sz w:val="21"/>
                <w:szCs w:val="21"/>
              </w:rPr>
              <w:t>3.4</w:t>
            </w:r>
          </w:p>
        </w:tc>
        <w:tc>
          <w:tcPr>
            <w:tcW w:w="491" w:type="pct"/>
            <w:vAlign w:val="center"/>
          </w:tcPr>
          <w:p w14:paraId="0DE6769D">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成交候选人推荐原则</w:t>
            </w:r>
          </w:p>
        </w:tc>
        <w:tc>
          <w:tcPr>
            <w:tcW w:w="4073" w:type="pct"/>
            <w:gridSpan w:val="3"/>
            <w:vAlign w:val="center"/>
          </w:tcPr>
          <w:p w14:paraId="5D612AF1">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详见第二章供应商须知6.4条款</w:t>
            </w:r>
          </w:p>
        </w:tc>
      </w:tr>
      <w:tr w14:paraId="65E7D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927" w:type="pct"/>
            <w:gridSpan w:val="2"/>
            <w:vAlign w:val="center"/>
          </w:tcPr>
          <w:p w14:paraId="269043D6">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价格涉税因素的调整原则</w:t>
            </w:r>
          </w:p>
        </w:tc>
        <w:tc>
          <w:tcPr>
            <w:tcW w:w="4073" w:type="pct"/>
            <w:gridSpan w:val="3"/>
            <w:vAlign w:val="center"/>
          </w:tcPr>
          <w:p w14:paraId="0787201E">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详见第六章商务要求6.1.2：价格涉税因素的调整原则</w:t>
            </w:r>
          </w:p>
        </w:tc>
      </w:tr>
      <w:tr w14:paraId="7CE9E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927" w:type="pct"/>
            <w:gridSpan w:val="2"/>
            <w:tcBorders>
              <w:top w:val="single" w:color="auto" w:sz="4" w:space="0"/>
              <w:left w:val="single" w:color="auto" w:sz="4" w:space="0"/>
              <w:bottom w:val="single" w:color="auto" w:sz="4" w:space="0"/>
              <w:right w:val="single" w:color="auto" w:sz="4" w:space="0"/>
            </w:tcBorders>
            <w:vAlign w:val="center"/>
          </w:tcPr>
          <w:p w14:paraId="0AD48F29">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继续评审应遵循的原则</w:t>
            </w:r>
          </w:p>
        </w:tc>
        <w:tc>
          <w:tcPr>
            <w:tcW w:w="4073" w:type="pct"/>
            <w:gridSpan w:val="3"/>
            <w:tcBorders>
              <w:top w:val="single" w:color="auto" w:sz="4" w:space="0"/>
              <w:left w:val="single" w:color="auto" w:sz="4" w:space="0"/>
              <w:bottom w:val="single" w:color="auto" w:sz="4" w:space="0"/>
              <w:right w:val="single" w:color="auto" w:sz="4" w:space="0"/>
            </w:tcBorders>
            <w:vAlign w:val="center"/>
          </w:tcPr>
          <w:p w14:paraId="784151BE">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响应文件开启后，部分响应供应商撤销响应文件或者被否决后，有效响应供应商不足 3 家的，经评审委员会认定具备竞争性，可以继续评审,评审委员会认定不具备竞争性的，应否决全部响应。竞争性论证过程和结果，应在评审报告中如实记载。</w:t>
            </w:r>
          </w:p>
        </w:tc>
      </w:tr>
      <w:tr w14:paraId="10D6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5000" w:type="pct"/>
            <w:gridSpan w:val="5"/>
            <w:tcBorders>
              <w:top w:val="single" w:color="auto" w:sz="4" w:space="0"/>
              <w:left w:val="single" w:color="auto" w:sz="4" w:space="0"/>
              <w:bottom w:val="single" w:color="auto" w:sz="4" w:space="0"/>
              <w:right w:val="single" w:color="auto" w:sz="4" w:space="0"/>
            </w:tcBorders>
            <w:vAlign w:val="center"/>
          </w:tcPr>
          <w:p w14:paraId="6966339D">
            <w:pPr>
              <w:widowControl/>
              <w:wordWrap w:val="0"/>
              <w:topLinePunct w:val="0"/>
              <w:spacing w:line="276" w:lineRule="auto"/>
              <w:rPr>
                <w:rFonts w:hint="eastAsia" w:ascii="宋体" w:hAnsi="宋体" w:cs="宋体"/>
                <w:kern w:val="0"/>
                <w:sz w:val="21"/>
                <w:szCs w:val="21"/>
              </w:rPr>
            </w:pPr>
            <w:r>
              <w:rPr>
                <w:rFonts w:hint="eastAsia" w:ascii="宋体" w:hAnsi="宋体" w:cs="宋体"/>
                <w:kern w:val="0"/>
                <w:sz w:val="21"/>
                <w:szCs w:val="21"/>
              </w:rPr>
              <w:t>首台（套）重大技术装备供应商参与采购活动，仅需提交首台（套）相关证明材料，即视同满足应用业绩等资格要求。</w:t>
            </w:r>
          </w:p>
        </w:tc>
      </w:tr>
    </w:tbl>
    <w:p w14:paraId="34297122">
      <w:pPr>
        <w:wordWrap w:val="0"/>
        <w:topLinePunct w:val="0"/>
        <w:outlineLvl w:val="1"/>
        <w:rPr>
          <w:rFonts w:hint="eastAsia" w:ascii="宋体" w:hAnsi="宋体" w:cs="宋体"/>
          <w:sz w:val="21"/>
          <w:szCs w:val="21"/>
        </w:rPr>
        <w:sectPr>
          <w:pgSz w:w="11906" w:h="16838"/>
          <w:pgMar w:top="1440" w:right="1800" w:bottom="1440" w:left="1800" w:header="851" w:footer="992" w:gutter="0"/>
          <w:cols w:space="425" w:num="1"/>
          <w:docGrid w:type="lines" w:linePitch="312" w:charSpace="0"/>
        </w:sectPr>
      </w:pPr>
    </w:p>
    <w:p w14:paraId="34E5E4D1">
      <w:pPr>
        <w:wordWrap w:val="0"/>
        <w:topLinePunct w:val="0"/>
        <w:outlineLvl w:val="1"/>
        <w:rPr>
          <w:rFonts w:hint="eastAsia" w:ascii="宋体" w:hAnsi="宋体" w:cs="宋体"/>
          <w:sz w:val="21"/>
          <w:szCs w:val="21"/>
        </w:rPr>
      </w:pPr>
      <w:bookmarkStart w:id="14" w:name="_Toc178092925"/>
      <w:bookmarkStart w:id="15" w:name="_Toc178093199"/>
      <w:bookmarkStart w:id="16" w:name="_Toc178093476"/>
      <w:bookmarkStart w:id="17" w:name="_Toc195017227"/>
      <w:r>
        <w:rPr>
          <w:rFonts w:hint="eastAsia" w:ascii="宋体" w:hAnsi="宋体" w:cs="宋体"/>
          <w:sz w:val="21"/>
          <w:szCs w:val="21"/>
        </w:rPr>
        <w:t>附件：详细评分表</w:t>
      </w:r>
      <w:bookmarkEnd w:id="14"/>
      <w:bookmarkEnd w:id="15"/>
      <w:bookmarkEnd w:id="16"/>
      <w:bookmarkEnd w:id="17"/>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5"/>
        <w:gridCol w:w="825"/>
        <w:gridCol w:w="825"/>
        <w:gridCol w:w="825"/>
        <w:gridCol w:w="5222"/>
      </w:tblGrid>
      <w:tr w14:paraId="3190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484" w:type="pct"/>
            <w:vAlign w:val="center"/>
          </w:tcPr>
          <w:p w14:paraId="1AC1E294">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评审内容</w:t>
            </w:r>
          </w:p>
        </w:tc>
        <w:tc>
          <w:tcPr>
            <w:tcW w:w="968" w:type="pct"/>
            <w:gridSpan w:val="2"/>
            <w:vAlign w:val="center"/>
          </w:tcPr>
          <w:p w14:paraId="1B1E0669">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评分因素</w:t>
            </w:r>
          </w:p>
        </w:tc>
        <w:tc>
          <w:tcPr>
            <w:tcW w:w="484" w:type="pct"/>
            <w:vAlign w:val="center"/>
          </w:tcPr>
          <w:p w14:paraId="69E897EC">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权重比值</w:t>
            </w:r>
          </w:p>
        </w:tc>
        <w:tc>
          <w:tcPr>
            <w:tcW w:w="3064" w:type="pct"/>
            <w:vAlign w:val="center"/>
          </w:tcPr>
          <w:p w14:paraId="1B193844">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评分标准</w:t>
            </w:r>
          </w:p>
        </w:tc>
      </w:tr>
      <w:tr w14:paraId="2006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6" w:hRule="atLeast"/>
        </w:trPr>
        <w:tc>
          <w:tcPr>
            <w:tcW w:w="484" w:type="pct"/>
            <w:vMerge w:val="restart"/>
            <w:vAlign w:val="center"/>
          </w:tcPr>
          <w:p w14:paraId="0641B84D">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商务部分（6分）</w:t>
            </w:r>
          </w:p>
        </w:tc>
        <w:tc>
          <w:tcPr>
            <w:tcW w:w="484" w:type="pct"/>
            <w:shd w:val="clear" w:color="000000" w:fill="FFFFFF"/>
            <w:vAlign w:val="center"/>
          </w:tcPr>
          <w:p w14:paraId="22480677">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企业整体实力</w:t>
            </w:r>
          </w:p>
        </w:tc>
        <w:tc>
          <w:tcPr>
            <w:tcW w:w="484" w:type="pct"/>
            <w:shd w:val="clear" w:color="000000" w:fill="FFFFFF"/>
            <w:vAlign w:val="center"/>
          </w:tcPr>
          <w:p w14:paraId="402CC851">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企业承担项目能力和管理能力</w:t>
            </w:r>
          </w:p>
        </w:tc>
        <w:tc>
          <w:tcPr>
            <w:tcW w:w="484" w:type="pct"/>
            <w:shd w:val="clear" w:color="000000" w:fill="FFFFFF"/>
            <w:vAlign w:val="center"/>
          </w:tcPr>
          <w:p w14:paraId="110D910A">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3</w:t>
            </w:r>
          </w:p>
        </w:tc>
        <w:tc>
          <w:tcPr>
            <w:tcW w:w="3064" w:type="pct"/>
            <w:shd w:val="clear" w:color="000000" w:fill="FFFFFF"/>
            <w:vAlign w:val="center"/>
          </w:tcPr>
          <w:p w14:paraId="5081D64B">
            <w:pPr>
              <w:widowControl/>
              <w:topLinePunct w:val="0"/>
              <w:jc w:val="left"/>
              <w:rPr>
                <w:rFonts w:hint="eastAsia" w:ascii="宋体" w:hAnsi="宋体" w:cs="宋体"/>
                <w:color w:val="000000"/>
                <w:kern w:val="0"/>
                <w:sz w:val="21"/>
                <w:szCs w:val="21"/>
              </w:rPr>
            </w:pPr>
            <w:r>
              <w:rPr>
                <w:rFonts w:hint="eastAsia" w:ascii="宋体" w:hAnsi="宋体" w:cs="宋体"/>
                <w:color w:val="000000"/>
                <w:kern w:val="0"/>
                <w:sz w:val="21"/>
                <w:szCs w:val="21"/>
              </w:rPr>
              <w:t>1. 供应商需具备信息安全管理能力，并提供证明材料，如ISO/IEC</w:t>
            </w:r>
            <w:r>
              <w:rPr>
                <w:rFonts w:hint="eastAsia" w:ascii="宋体" w:hAnsi="宋体" w:cs="宋体"/>
                <w:color w:val="000000" w:themeColor="text1"/>
                <w:kern w:val="0"/>
                <w:sz w:val="21"/>
                <w:szCs w:val="21"/>
                <w14:textFill>
                  <w14:solidFill>
                    <w14:schemeClr w14:val="tx1"/>
                  </w14:solidFill>
                </w14:textFill>
              </w:rPr>
              <w:t>27001或GB/T22080信息安全管理体系认证证书等，满足要求得1分，不满足不得分。</w:t>
            </w:r>
            <w:r>
              <w:rPr>
                <w:rFonts w:hint="eastAsia" w:ascii="宋体" w:hAnsi="宋体" w:cs="宋体"/>
                <w:color w:val="000000" w:themeColor="text1"/>
                <w:kern w:val="0"/>
                <w:sz w:val="21"/>
                <w:szCs w:val="21"/>
                <w14:textFill>
                  <w14:solidFill>
                    <w14:schemeClr w14:val="tx1"/>
                  </w14:solidFill>
                </w14:textFill>
              </w:rPr>
              <w:br w:type="textWrapping"/>
            </w:r>
            <w:r>
              <w:rPr>
                <w:rFonts w:hint="eastAsia" w:ascii="宋体" w:hAnsi="宋体" w:cs="宋体"/>
                <w:color w:val="000000" w:themeColor="text1"/>
                <w:kern w:val="0"/>
                <w:sz w:val="21"/>
                <w:szCs w:val="21"/>
                <w14:textFill>
                  <w14:solidFill>
                    <w14:schemeClr w14:val="tx1"/>
                  </w14:solidFill>
                </w14:textFill>
              </w:rPr>
              <w:t>2.供应商需具备信息技术服务管理能力，并提供证明材料，如ISO/ICE20000或GB/T24405系列信息技术服务管理体系认证证书等，满足要求得1分，不满足不得分。</w:t>
            </w:r>
            <w:r>
              <w:rPr>
                <w:rFonts w:hint="eastAsia" w:ascii="宋体" w:hAnsi="宋体" w:cs="宋体"/>
                <w:color w:val="000000" w:themeColor="text1"/>
                <w:kern w:val="0"/>
                <w:sz w:val="21"/>
                <w:szCs w:val="21"/>
                <w14:textFill>
                  <w14:solidFill>
                    <w14:schemeClr w14:val="tx1"/>
                  </w14:solidFill>
                </w14:textFill>
              </w:rPr>
              <w:br w:type="textWrapping"/>
            </w:r>
            <w:r>
              <w:rPr>
                <w:rFonts w:hint="eastAsia" w:ascii="宋体" w:hAnsi="宋体" w:cs="宋体"/>
                <w:color w:val="000000" w:themeColor="text1"/>
                <w:kern w:val="0"/>
                <w:sz w:val="21"/>
                <w:szCs w:val="21"/>
                <w14:textFill>
                  <w14:solidFill>
                    <w14:schemeClr w14:val="tx1"/>
                  </w14:solidFill>
                </w14:textFill>
              </w:rPr>
              <w:t>3. 供应商需具备在服务交付和项目管理等方面的能力，并提供证明材料，如ITSS三级及以上的认证证书等，满足要求得1分，不满足不得分。</w:t>
            </w:r>
            <w:r>
              <w:rPr>
                <w:rFonts w:hint="eastAsia" w:ascii="宋体" w:hAnsi="宋体" w:cs="宋体"/>
                <w:color w:val="000000" w:themeColor="text1"/>
                <w:kern w:val="0"/>
                <w:sz w:val="21"/>
                <w:szCs w:val="21"/>
                <w14:textFill>
                  <w14:solidFill>
                    <w14:schemeClr w14:val="tx1"/>
                  </w14:solidFill>
                </w14:textFill>
              </w:rPr>
              <w:br w:type="textWrapping"/>
            </w:r>
            <w:r>
              <w:rPr>
                <w:rFonts w:hint="eastAsia" w:ascii="宋体" w:hAnsi="宋体" w:cs="宋体"/>
                <w:color w:val="000000" w:themeColor="text1"/>
                <w:kern w:val="0"/>
                <w:sz w:val="21"/>
                <w:szCs w:val="21"/>
                <w14:textFill>
                  <w14:solidFill>
                    <w14:schemeClr w14:val="tx1"/>
                  </w14:solidFill>
                </w14:textFill>
              </w:rPr>
              <w:t>此项满分3分，供应商需提供证书的扫描件或复印件，不满足或未提</w:t>
            </w:r>
            <w:r>
              <w:rPr>
                <w:rFonts w:hint="eastAsia" w:ascii="宋体" w:hAnsi="宋体" w:cs="宋体"/>
                <w:color w:val="000000"/>
                <w:kern w:val="0"/>
                <w:sz w:val="21"/>
                <w:szCs w:val="21"/>
              </w:rPr>
              <w:t>供不得分。</w:t>
            </w:r>
          </w:p>
        </w:tc>
      </w:tr>
      <w:tr w14:paraId="29BAB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trPr>
        <w:tc>
          <w:tcPr>
            <w:tcW w:w="484" w:type="pct"/>
            <w:vMerge w:val="continue"/>
            <w:vAlign w:val="center"/>
          </w:tcPr>
          <w:p w14:paraId="411DFF2E">
            <w:pPr>
              <w:widowControl/>
              <w:topLinePunct w:val="0"/>
              <w:jc w:val="left"/>
              <w:rPr>
                <w:rFonts w:hint="eastAsia" w:ascii="宋体" w:hAnsi="宋体" w:cs="宋体"/>
                <w:color w:val="000000"/>
                <w:kern w:val="0"/>
                <w:sz w:val="21"/>
                <w:szCs w:val="21"/>
              </w:rPr>
            </w:pPr>
          </w:p>
        </w:tc>
        <w:tc>
          <w:tcPr>
            <w:tcW w:w="484" w:type="pct"/>
            <w:vMerge w:val="restart"/>
            <w:shd w:val="clear" w:color="000000" w:fill="FFFFFF"/>
            <w:vAlign w:val="center"/>
          </w:tcPr>
          <w:p w14:paraId="36D37196">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商务条件</w:t>
            </w:r>
          </w:p>
        </w:tc>
        <w:tc>
          <w:tcPr>
            <w:tcW w:w="484" w:type="pct"/>
            <w:shd w:val="clear" w:color="000000" w:fill="FFFFFF"/>
            <w:vAlign w:val="center"/>
          </w:tcPr>
          <w:p w14:paraId="68B95437">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合同条款及商务要求应答</w:t>
            </w:r>
          </w:p>
        </w:tc>
        <w:tc>
          <w:tcPr>
            <w:tcW w:w="484" w:type="pct"/>
            <w:shd w:val="clear" w:color="000000" w:fill="FFFFFF"/>
            <w:vAlign w:val="center"/>
          </w:tcPr>
          <w:p w14:paraId="28E0C22F">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2</w:t>
            </w:r>
          </w:p>
        </w:tc>
        <w:tc>
          <w:tcPr>
            <w:tcW w:w="3064" w:type="pct"/>
            <w:shd w:val="clear" w:color="000000" w:fill="FFFFFF"/>
            <w:vAlign w:val="center"/>
          </w:tcPr>
          <w:p w14:paraId="518656BF">
            <w:pPr>
              <w:widowControl/>
              <w:topLinePunct w:val="0"/>
              <w:jc w:val="left"/>
              <w:rPr>
                <w:rFonts w:hint="eastAsia" w:ascii="宋体" w:hAnsi="宋体" w:cs="宋体"/>
                <w:color w:val="000000"/>
                <w:kern w:val="0"/>
                <w:sz w:val="21"/>
                <w:szCs w:val="21"/>
              </w:rPr>
            </w:pPr>
            <w:r>
              <w:rPr>
                <w:rFonts w:hint="eastAsia" w:ascii="宋体" w:hAnsi="宋体" w:cs="宋体"/>
                <w:color w:val="000000"/>
                <w:kern w:val="0"/>
                <w:sz w:val="21"/>
                <w:szCs w:val="21"/>
              </w:rPr>
              <w:t>根据响应文件对第四章合同条款、第六章商务要求内容应答情况进行评分，全部无负偏离得满分；有应答负偏离的每项扣0.5分，扣完为止。</w:t>
            </w:r>
          </w:p>
        </w:tc>
      </w:tr>
      <w:tr w14:paraId="7DDF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trPr>
        <w:tc>
          <w:tcPr>
            <w:tcW w:w="484" w:type="pct"/>
            <w:vMerge w:val="continue"/>
            <w:vAlign w:val="center"/>
          </w:tcPr>
          <w:p w14:paraId="7B02BE84">
            <w:pPr>
              <w:widowControl/>
              <w:topLinePunct w:val="0"/>
              <w:jc w:val="left"/>
              <w:rPr>
                <w:rFonts w:hint="eastAsia" w:ascii="宋体" w:hAnsi="宋体" w:cs="宋体"/>
                <w:color w:val="000000"/>
                <w:kern w:val="0"/>
                <w:sz w:val="21"/>
                <w:szCs w:val="21"/>
              </w:rPr>
            </w:pPr>
          </w:p>
        </w:tc>
        <w:tc>
          <w:tcPr>
            <w:tcW w:w="484" w:type="pct"/>
            <w:vMerge w:val="continue"/>
            <w:vAlign w:val="center"/>
          </w:tcPr>
          <w:p w14:paraId="3353C012">
            <w:pPr>
              <w:widowControl/>
              <w:topLinePunct w:val="0"/>
              <w:jc w:val="left"/>
              <w:rPr>
                <w:rFonts w:hint="eastAsia" w:ascii="宋体" w:hAnsi="宋体" w:cs="宋体"/>
                <w:color w:val="000000"/>
                <w:kern w:val="0"/>
                <w:sz w:val="21"/>
                <w:szCs w:val="21"/>
              </w:rPr>
            </w:pPr>
          </w:p>
        </w:tc>
        <w:tc>
          <w:tcPr>
            <w:tcW w:w="484" w:type="pct"/>
            <w:shd w:val="clear" w:color="000000" w:fill="FFFFFF"/>
            <w:vAlign w:val="center"/>
          </w:tcPr>
          <w:p w14:paraId="2EFC3E98">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响应文件制作</w:t>
            </w:r>
          </w:p>
        </w:tc>
        <w:tc>
          <w:tcPr>
            <w:tcW w:w="484" w:type="pct"/>
            <w:shd w:val="clear" w:color="000000" w:fill="FFFFFF"/>
            <w:vAlign w:val="center"/>
          </w:tcPr>
          <w:p w14:paraId="1DFA0EB5">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1</w:t>
            </w:r>
          </w:p>
        </w:tc>
        <w:tc>
          <w:tcPr>
            <w:tcW w:w="3064" w:type="pct"/>
            <w:shd w:val="clear" w:color="000000" w:fill="FFFFFF"/>
            <w:vAlign w:val="center"/>
          </w:tcPr>
          <w:p w14:paraId="1D130628">
            <w:pPr>
              <w:widowControl/>
              <w:topLinePunct w:val="0"/>
              <w:jc w:val="left"/>
              <w:rPr>
                <w:rFonts w:hint="eastAsia" w:ascii="宋体" w:hAnsi="宋体" w:cs="宋体"/>
                <w:color w:val="000000"/>
                <w:kern w:val="0"/>
                <w:sz w:val="21"/>
                <w:szCs w:val="21"/>
              </w:rPr>
            </w:pPr>
            <w:r>
              <w:rPr>
                <w:rFonts w:hint="eastAsia" w:ascii="宋体" w:hAnsi="宋体" w:cs="宋体"/>
                <w:color w:val="000000"/>
                <w:kern w:val="0"/>
                <w:sz w:val="21"/>
                <w:szCs w:val="21"/>
              </w:rPr>
              <w:t>响应文件提交资料规范齐全、目录及索引表编排清楚准确、格式内容完整、文字图片清晰得满分。每有1项不满足扣0.25分，扣完为止。</w:t>
            </w:r>
          </w:p>
        </w:tc>
      </w:tr>
      <w:tr w14:paraId="573A1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2" w:hRule="atLeast"/>
        </w:trPr>
        <w:tc>
          <w:tcPr>
            <w:tcW w:w="484" w:type="pct"/>
            <w:vMerge w:val="restart"/>
            <w:vAlign w:val="center"/>
          </w:tcPr>
          <w:p w14:paraId="100EE4FF">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技术部分（39分）</w:t>
            </w:r>
          </w:p>
        </w:tc>
        <w:tc>
          <w:tcPr>
            <w:tcW w:w="484" w:type="pct"/>
            <w:vMerge w:val="restart"/>
            <w:vAlign w:val="center"/>
          </w:tcPr>
          <w:p w14:paraId="2673D019">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实施方案</w:t>
            </w:r>
          </w:p>
        </w:tc>
        <w:tc>
          <w:tcPr>
            <w:tcW w:w="484" w:type="pct"/>
            <w:vAlign w:val="center"/>
          </w:tcPr>
          <w:p w14:paraId="4403112B">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整体方案</w:t>
            </w:r>
          </w:p>
        </w:tc>
        <w:tc>
          <w:tcPr>
            <w:tcW w:w="484" w:type="pct"/>
            <w:vAlign w:val="center"/>
          </w:tcPr>
          <w:p w14:paraId="44B68067">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5</w:t>
            </w:r>
          </w:p>
        </w:tc>
        <w:tc>
          <w:tcPr>
            <w:tcW w:w="3064" w:type="pct"/>
            <w:vAlign w:val="center"/>
          </w:tcPr>
          <w:p w14:paraId="2868CAD5">
            <w:pPr>
              <w:widowControl/>
              <w:topLinePunct w:val="0"/>
              <w:jc w:val="left"/>
              <w:rPr>
                <w:rFonts w:hint="eastAsia" w:ascii="宋体" w:hAnsi="宋体" w:cs="宋体"/>
                <w:color w:val="000000"/>
                <w:kern w:val="0"/>
                <w:sz w:val="21"/>
                <w:szCs w:val="21"/>
              </w:rPr>
            </w:pPr>
            <w:r>
              <w:rPr>
                <w:rFonts w:hint="eastAsia" w:ascii="宋体" w:hAnsi="宋体" w:cs="宋体"/>
                <w:color w:val="000000"/>
                <w:kern w:val="0"/>
                <w:sz w:val="21"/>
                <w:szCs w:val="21"/>
              </w:rPr>
              <w:t>供应商需按照“第五章技术规范和服务要求”的内容，制定项目整体方案，需要提供完整的功能架构、技术架构、功能清单，满足中国电信L1云化要求；根据方案的合理性、完备性、专业性、可靠性等进行综合评审。本项评分按照10分制评分，评分为优(9.5，10]分，优良(8.5，9.5]分，良(7.5，8.5]分，中(6.5，7.5]分,合格(5.5，6.5]分，较差(4.5，5.5]分，差(0,4.5]分。未提供响应内容不得分，区间评分步长0.1分。本评分项权重分值为5分，本评分项的最终权重得分=（10分制评分/10）*权重分值。</w:t>
            </w:r>
          </w:p>
        </w:tc>
      </w:tr>
      <w:tr w14:paraId="5BED3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484" w:type="pct"/>
            <w:vMerge w:val="continue"/>
            <w:vAlign w:val="center"/>
          </w:tcPr>
          <w:p w14:paraId="6AB4FB65">
            <w:pPr>
              <w:widowControl/>
              <w:topLinePunct w:val="0"/>
              <w:jc w:val="left"/>
              <w:rPr>
                <w:rFonts w:hint="eastAsia" w:ascii="宋体" w:hAnsi="宋体" w:cs="宋体"/>
                <w:color w:val="000000"/>
                <w:kern w:val="0"/>
                <w:sz w:val="21"/>
                <w:szCs w:val="21"/>
              </w:rPr>
            </w:pPr>
          </w:p>
        </w:tc>
        <w:tc>
          <w:tcPr>
            <w:tcW w:w="484" w:type="pct"/>
            <w:vMerge w:val="continue"/>
            <w:vAlign w:val="center"/>
          </w:tcPr>
          <w:p w14:paraId="3C1D4E26">
            <w:pPr>
              <w:widowControl/>
              <w:topLinePunct w:val="0"/>
              <w:jc w:val="left"/>
              <w:rPr>
                <w:rFonts w:hint="eastAsia" w:ascii="宋体" w:hAnsi="宋体" w:cs="宋体"/>
                <w:color w:val="000000"/>
                <w:kern w:val="0"/>
                <w:sz w:val="21"/>
                <w:szCs w:val="21"/>
              </w:rPr>
            </w:pPr>
          </w:p>
        </w:tc>
        <w:tc>
          <w:tcPr>
            <w:tcW w:w="484" w:type="pct"/>
            <w:vAlign w:val="center"/>
          </w:tcPr>
          <w:p w14:paraId="4B4BD654">
            <w:pPr>
              <w:widowControl/>
              <w:topLinePunct w:val="0"/>
              <w:jc w:val="center"/>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技术方案</w:t>
            </w:r>
          </w:p>
        </w:tc>
        <w:tc>
          <w:tcPr>
            <w:tcW w:w="484" w:type="pct"/>
            <w:noWrap/>
            <w:vAlign w:val="center"/>
          </w:tcPr>
          <w:p w14:paraId="376A3C24">
            <w:pPr>
              <w:widowControl/>
              <w:topLinePunct w:val="0"/>
              <w:jc w:val="center"/>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4</w:t>
            </w:r>
          </w:p>
        </w:tc>
        <w:tc>
          <w:tcPr>
            <w:tcW w:w="3064" w:type="pct"/>
            <w:vAlign w:val="center"/>
          </w:tcPr>
          <w:p w14:paraId="019212F0">
            <w:pPr>
              <w:widowControl/>
              <w:topLinePunct w:val="0"/>
              <w:jc w:val="left"/>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供应商需按照“第五章技术规范和服务要求”的内容，提供相应的技术方案，包括但不限于：云网规划、云网建设、监控排障、例行巡检、割接维护、网络及业务质量优化等内容，根据方案的合理性、完备性、专业性、可靠性等进行综合评审。本项评分按照10分制评分，评分为优(9.5，10]分，优良(8.5，9.5]分，良(7.5，8.5]分，中(6.5，7.5]分,合格(5.5，6.5]分，较差(4.5，5.5]分，差(0,4.5]分。未提供响应内容不得分，区间评分步长0.1分。本评分项权重分值为4分，本评分项的最终权重得分=（10分制评分/10）*权重分值。</w:t>
            </w:r>
          </w:p>
        </w:tc>
      </w:tr>
      <w:tr w14:paraId="7A779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trPr>
        <w:tc>
          <w:tcPr>
            <w:tcW w:w="484" w:type="pct"/>
            <w:vMerge w:val="continue"/>
            <w:vAlign w:val="center"/>
          </w:tcPr>
          <w:p w14:paraId="3751E0B0">
            <w:pPr>
              <w:widowControl/>
              <w:topLinePunct w:val="0"/>
              <w:jc w:val="left"/>
              <w:rPr>
                <w:rFonts w:hint="eastAsia" w:ascii="宋体" w:hAnsi="宋体" w:cs="宋体"/>
                <w:color w:val="000000"/>
                <w:kern w:val="0"/>
                <w:sz w:val="21"/>
                <w:szCs w:val="21"/>
              </w:rPr>
            </w:pPr>
          </w:p>
        </w:tc>
        <w:tc>
          <w:tcPr>
            <w:tcW w:w="484" w:type="pct"/>
            <w:vMerge w:val="continue"/>
            <w:vAlign w:val="center"/>
          </w:tcPr>
          <w:p w14:paraId="5B259B59">
            <w:pPr>
              <w:widowControl/>
              <w:topLinePunct w:val="0"/>
              <w:jc w:val="left"/>
              <w:rPr>
                <w:rFonts w:hint="eastAsia" w:ascii="宋体" w:hAnsi="宋体" w:cs="宋体"/>
                <w:color w:val="000000"/>
                <w:kern w:val="0"/>
                <w:sz w:val="21"/>
                <w:szCs w:val="21"/>
              </w:rPr>
            </w:pPr>
          </w:p>
        </w:tc>
        <w:tc>
          <w:tcPr>
            <w:tcW w:w="484" w:type="pct"/>
            <w:vAlign w:val="center"/>
          </w:tcPr>
          <w:p w14:paraId="4CC59640">
            <w:pPr>
              <w:widowControl/>
              <w:topLinePunct w:val="0"/>
              <w:jc w:val="center"/>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开发周期</w:t>
            </w:r>
          </w:p>
        </w:tc>
        <w:tc>
          <w:tcPr>
            <w:tcW w:w="484" w:type="pct"/>
            <w:vAlign w:val="center"/>
          </w:tcPr>
          <w:p w14:paraId="5321E4D3">
            <w:pPr>
              <w:widowControl/>
              <w:topLinePunct w:val="0"/>
              <w:jc w:val="center"/>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2</w:t>
            </w:r>
          </w:p>
        </w:tc>
        <w:tc>
          <w:tcPr>
            <w:tcW w:w="3064" w:type="pct"/>
            <w:vAlign w:val="center"/>
          </w:tcPr>
          <w:p w14:paraId="565448BE">
            <w:pPr>
              <w:widowControl/>
              <w:topLinePunct w:val="0"/>
              <w:jc w:val="left"/>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供应商需承诺在满足合同签订后60天内完成功能上线的基础之上，每提前10天上线得1分，最多得2分。（供应商需提供相关承诺函）</w:t>
            </w:r>
          </w:p>
        </w:tc>
      </w:tr>
      <w:tr w14:paraId="3D066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2" w:hRule="atLeast"/>
        </w:trPr>
        <w:tc>
          <w:tcPr>
            <w:tcW w:w="484" w:type="pct"/>
            <w:vMerge w:val="continue"/>
            <w:vAlign w:val="center"/>
          </w:tcPr>
          <w:p w14:paraId="58BEF345">
            <w:pPr>
              <w:widowControl/>
              <w:topLinePunct w:val="0"/>
              <w:jc w:val="left"/>
              <w:rPr>
                <w:rFonts w:hint="eastAsia" w:ascii="宋体" w:hAnsi="宋体" w:cs="宋体"/>
                <w:color w:val="000000"/>
                <w:kern w:val="0"/>
                <w:sz w:val="21"/>
                <w:szCs w:val="21"/>
              </w:rPr>
            </w:pPr>
          </w:p>
        </w:tc>
        <w:tc>
          <w:tcPr>
            <w:tcW w:w="484" w:type="pct"/>
            <w:vMerge w:val="restart"/>
            <w:vAlign w:val="center"/>
          </w:tcPr>
          <w:p w14:paraId="30878000">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技术实力</w:t>
            </w:r>
          </w:p>
        </w:tc>
        <w:tc>
          <w:tcPr>
            <w:tcW w:w="484" w:type="pct"/>
            <w:vAlign w:val="center"/>
          </w:tcPr>
          <w:p w14:paraId="594642FC">
            <w:pPr>
              <w:widowControl/>
              <w:topLinePunct w:val="0"/>
              <w:jc w:val="center"/>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对外接口能力</w:t>
            </w:r>
          </w:p>
        </w:tc>
        <w:tc>
          <w:tcPr>
            <w:tcW w:w="484" w:type="pct"/>
            <w:noWrap/>
            <w:vAlign w:val="center"/>
          </w:tcPr>
          <w:p w14:paraId="7784A638">
            <w:pPr>
              <w:widowControl/>
              <w:topLinePunct w:val="0"/>
              <w:jc w:val="center"/>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5</w:t>
            </w:r>
          </w:p>
        </w:tc>
        <w:tc>
          <w:tcPr>
            <w:tcW w:w="3064" w:type="pct"/>
            <w:vAlign w:val="center"/>
          </w:tcPr>
          <w:p w14:paraId="36E9A908">
            <w:pPr>
              <w:widowControl/>
              <w:topLinePunct w:val="0"/>
              <w:jc w:val="left"/>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供应商需按照“第五章技术规范和服务要求”的内容，提供对外接口能力，能力覆盖以下内容：故障诊断、隐患发现、质量监测、割接维护、基础数据查询等对外接口能力。每提供一点得1分，满分5分。（供应商需提供相应的截图和能力阐述）</w:t>
            </w:r>
          </w:p>
        </w:tc>
      </w:tr>
      <w:tr w14:paraId="3035C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2" w:hRule="atLeast"/>
        </w:trPr>
        <w:tc>
          <w:tcPr>
            <w:tcW w:w="484" w:type="pct"/>
            <w:vMerge w:val="continue"/>
            <w:vAlign w:val="center"/>
          </w:tcPr>
          <w:p w14:paraId="2CC33D44">
            <w:pPr>
              <w:widowControl/>
              <w:topLinePunct w:val="0"/>
              <w:jc w:val="left"/>
              <w:rPr>
                <w:rFonts w:hint="eastAsia" w:ascii="宋体" w:hAnsi="宋体" w:cs="宋体"/>
                <w:color w:val="000000"/>
                <w:kern w:val="0"/>
                <w:sz w:val="21"/>
                <w:szCs w:val="21"/>
              </w:rPr>
            </w:pPr>
          </w:p>
        </w:tc>
        <w:tc>
          <w:tcPr>
            <w:tcW w:w="484" w:type="pct"/>
            <w:vMerge w:val="continue"/>
            <w:vAlign w:val="center"/>
          </w:tcPr>
          <w:p w14:paraId="59123171">
            <w:pPr>
              <w:widowControl/>
              <w:topLinePunct w:val="0"/>
              <w:jc w:val="center"/>
              <w:rPr>
                <w:rFonts w:hint="eastAsia" w:ascii="宋体" w:hAnsi="宋体" w:cs="宋体"/>
                <w:color w:val="000000"/>
                <w:kern w:val="0"/>
                <w:sz w:val="21"/>
                <w:szCs w:val="21"/>
              </w:rPr>
            </w:pPr>
          </w:p>
        </w:tc>
        <w:tc>
          <w:tcPr>
            <w:tcW w:w="484" w:type="pct"/>
            <w:vAlign w:val="center"/>
          </w:tcPr>
          <w:p w14:paraId="29FFB0CA">
            <w:pPr>
              <w:widowControl/>
              <w:topLinePunct w:val="0"/>
              <w:jc w:val="center"/>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功能模块</w:t>
            </w:r>
          </w:p>
        </w:tc>
        <w:tc>
          <w:tcPr>
            <w:tcW w:w="484" w:type="pct"/>
            <w:noWrap/>
            <w:vAlign w:val="center"/>
          </w:tcPr>
          <w:p w14:paraId="512E0F12">
            <w:pPr>
              <w:widowControl/>
              <w:topLinePunct w:val="0"/>
              <w:jc w:val="center"/>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4</w:t>
            </w:r>
          </w:p>
        </w:tc>
        <w:tc>
          <w:tcPr>
            <w:tcW w:w="3064" w:type="pct"/>
            <w:vAlign w:val="center"/>
          </w:tcPr>
          <w:p w14:paraId="713D805F">
            <w:pPr>
              <w:widowControl/>
              <w:topLinePunct w:val="0"/>
              <w:jc w:val="left"/>
              <w:rPr>
                <w:rFonts w:hint="eastAsia" w:ascii="宋体" w:hAnsi="宋体" w:cs="宋体"/>
                <w:kern w:val="0"/>
                <w:sz w:val="21"/>
                <w:szCs w:val="21"/>
              </w:rPr>
            </w:pPr>
            <w:r>
              <w:rPr>
                <w:rFonts w:hint="eastAsia" w:ascii="宋体" w:hAnsi="宋体" w:cs="宋体"/>
                <w:kern w:val="0"/>
                <w:sz w:val="21"/>
                <w:szCs w:val="21"/>
              </w:rPr>
              <w:t>1、</w:t>
            </w:r>
            <w:r>
              <w:rPr>
                <w:rFonts w:hint="eastAsia" w:ascii="宋体" w:hAnsi="宋体" w:cs="宋体"/>
                <w:color w:val="000000"/>
                <w:kern w:val="0"/>
                <w:sz w:val="21"/>
                <w:szCs w:val="21"/>
              </w:rPr>
              <w:t>供应商需按照“第五章技术规范和服务要求”的内容</w:t>
            </w:r>
            <w:r>
              <w:rPr>
                <w:rFonts w:hint="eastAsia" w:ascii="宋体" w:hAnsi="宋体" w:cs="宋体"/>
                <w:kern w:val="0"/>
                <w:sz w:val="21"/>
                <w:szCs w:val="21"/>
              </w:rPr>
              <w:t>，提供</w:t>
            </w:r>
            <w:r>
              <w:rPr>
                <w:rFonts w:ascii="宋体" w:hAnsi="宋体" w:cs="宋体"/>
                <w:kern w:val="0"/>
                <w:sz w:val="21"/>
                <w:szCs w:val="21"/>
              </w:rPr>
              <w:t>现有生产流程集成的巡检功能模块、变更操作功能模块的实时系统截图</w:t>
            </w:r>
            <w:r>
              <w:rPr>
                <w:rFonts w:hint="eastAsia" w:ascii="宋体" w:hAnsi="宋体" w:cs="宋体"/>
                <w:kern w:val="0"/>
                <w:sz w:val="21"/>
                <w:szCs w:val="21"/>
              </w:rPr>
              <w:t>（</w:t>
            </w:r>
            <w:r>
              <w:rPr>
                <w:rFonts w:ascii="宋体" w:hAnsi="宋体" w:cs="宋体"/>
                <w:kern w:val="0"/>
                <w:sz w:val="21"/>
                <w:szCs w:val="21"/>
              </w:rPr>
              <w:t>需包含当前系统日期/时间水印，或能证明非演示版、测试版的其它标识</w:t>
            </w:r>
            <w:r>
              <w:rPr>
                <w:rFonts w:hint="eastAsia" w:ascii="宋体" w:hAnsi="宋体" w:cs="宋体"/>
                <w:kern w:val="0"/>
                <w:sz w:val="21"/>
                <w:szCs w:val="21"/>
              </w:rPr>
              <w:t>）及相关模块的描述，每提供一个完整的模块得1分，满分2分。</w:t>
            </w:r>
          </w:p>
          <w:p w14:paraId="6F050FA3">
            <w:pPr>
              <w:widowControl/>
              <w:topLinePunct w:val="0"/>
              <w:jc w:val="left"/>
              <w:rPr>
                <w:rFonts w:hint="eastAsia" w:ascii="宋体" w:hAnsi="宋体" w:cs="宋体"/>
                <w:kern w:val="0"/>
                <w:sz w:val="21"/>
                <w:szCs w:val="21"/>
              </w:rPr>
            </w:pPr>
            <w:r>
              <w:rPr>
                <w:rFonts w:hint="eastAsia" w:ascii="宋体" w:hAnsi="宋体" w:cs="宋体"/>
                <w:kern w:val="0"/>
                <w:sz w:val="21"/>
                <w:szCs w:val="21"/>
              </w:rPr>
              <w:t>2、</w:t>
            </w:r>
            <w:r>
              <w:rPr>
                <w:rFonts w:hint="eastAsia" w:ascii="宋体" w:hAnsi="宋体" w:cs="宋体"/>
                <w:color w:val="000000"/>
                <w:kern w:val="0"/>
                <w:sz w:val="21"/>
                <w:szCs w:val="21"/>
              </w:rPr>
              <w:t>供应商需按照“第五章技术规范和服务要求”的内容</w:t>
            </w:r>
            <w:r>
              <w:rPr>
                <w:rFonts w:hint="eastAsia" w:ascii="宋体" w:hAnsi="宋体" w:cs="宋体"/>
                <w:kern w:val="0"/>
                <w:sz w:val="21"/>
                <w:szCs w:val="21"/>
              </w:rPr>
              <w:t>沿用已有传输网资数据，提供OTN系统OMS绑定关系推广至地市沿用能力并提供实时系统截图（</w:t>
            </w:r>
            <w:r>
              <w:rPr>
                <w:rFonts w:ascii="宋体" w:hAnsi="宋体" w:cs="宋体"/>
                <w:kern w:val="0"/>
                <w:sz w:val="21"/>
                <w:szCs w:val="21"/>
              </w:rPr>
              <w:t>需包含当前系统日期/时间水印，或能证明非演示版、测试版的其它标识</w:t>
            </w:r>
            <w:r>
              <w:rPr>
                <w:rFonts w:hint="eastAsia" w:ascii="宋体" w:hAnsi="宋体" w:cs="宋体"/>
                <w:kern w:val="0"/>
                <w:sz w:val="21"/>
                <w:szCs w:val="21"/>
              </w:rPr>
              <w:t>）及内容的描述，满足得2分，不满足不得分</w:t>
            </w:r>
            <w:r>
              <w:rPr>
                <w:rFonts w:ascii="宋体" w:hAnsi="宋体" w:cs="宋体"/>
                <w:kern w:val="0"/>
                <w:sz w:val="21"/>
                <w:szCs w:val="21"/>
              </w:rPr>
              <w:t>。</w:t>
            </w:r>
          </w:p>
        </w:tc>
      </w:tr>
      <w:tr w14:paraId="6E6E3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2" w:hRule="atLeast"/>
        </w:trPr>
        <w:tc>
          <w:tcPr>
            <w:tcW w:w="484" w:type="pct"/>
            <w:vMerge w:val="continue"/>
            <w:vAlign w:val="center"/>
          </w:tcPr>
          <w:p w14:paraId="39A890AF">
            <w:pPr>
              <w:widowControl/>
              <w:topLinePunct w:val="0"/>
              <w:jc w:val="left"/>
              <w:rPr>
                <w:rFonts w:hint="eastAsia" w:ascii="宋体" w:hAnsi="宋体" w:cs="宋体"/>
                <w:color w:val="000000"/>
                <w:kern w:val="0"/>
                <w:sz w:val="21"/>
                <w:szCs w:val="21"/>
              </w:rPr>
            </w:pPr>
          </w:p>
        </w:tc>
        <w:tc>
          <w:tcPr>
            <w:tcW w:w="484" w:type="pct"/>
            <w:vAlign w:val="center"/>
          </w:tcPr>
          <w:p w14:paraId="12C34E96">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人员配置</w:t>
            </w:r>
          </w:p>
        </w:tc>
        <w:tc>
          <w:tcPr>
            <w:tcW w:w="484" w:type="pct"/>
            <w:vAlign w:val="center"/>
          </w:tcPr>
          <w:p w14:paraId="69AA8F21">
            <w:pPr>
              <w:widowControl/>
              <w:topLinePunct w:val="0"/>
              <w:jc w:val="center"/>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项目团队</w:t>
            </w:r>
          </w:p>
        </w:tc>
        <w:tc>
          <w:tcPr>
            <w:tcW w:w="484" w:type="pct"/>
            <w:noWrap/>
            <w:vAlign w:val="center"/>
          </w:tcPr>
          <w:p w14:paraId="4F41DF7F">
            <w:pPr>
              <w:widowControl/>
              <w:topLinePunct w:val="0"/>
              <w:jc w:val="center"/>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6</w:t>
            </w:r>
          </w:p>
        </w:tc>
        <w:tc>
          <w:tcPr>
            <w:tcW w:w="3064" w:type="pct"/>
            <w:vAlign w:val="center"/>
          </w:tcPr>
          <w:p w14:paraId="2D27E44E">
            <w:pPr>
              <w:widowControl/>
              <w:topLinePunct w:val="0"/>
              <w:jc w:val="left"/>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1.供应商需为本项目配置不少于6名团队人员（含项目经理），在满足此基础之上，每增加1人得1.5分，满分3分。</w:t>
            </w:r>
            <w:r>
              <w:rPr>
                <w:rFonts w:hint="eastAsia" w:ascii="宋体" w:hAnsi="宋体" w:cs="宋体"/>
                <w:color w:val="000000" w:themeColor="text1"/>
                <w:kern w:val="0"/>
                <w:sz w:val="21"/>
                <w:szCs w:val="21"/>
                <w14:textFill>
                  <w14:solidFill>
                    <w14:schemeClr w14:val="tx1"/>
                  </w14:solidFill>
                </w14:textFill>
              </w:rPr>
              <w:br w:type="textWrapping"/>
            </w:r>
            <w:r>
              <w:rPr>
                <w:rFonts w:hint="eastAsia" w:ascii="宋体" w:hAnsi="宋体" w:cs="宋体"/>
                <w:color w:val="000000" w:themeColor="text1"/>
                <w:kern w:val="0"/>
                <w:sz w:val="21"/>
                <w:szCs w:val="21"/>
                <w14:textFill>
                  <w14:solidFill>
                    <w14:schemeClr w14:val="tx1"/>
                  </w14:solidFill>
                </w14:textFill>
              </w:rPr>
              <w:t>2.项目经理需具有PMP证书或项目管理师证书（高级），满足得3分，不满足不得分。</w:t>
            </w:r>
            <w:r>
              <w:rPr>
                <w:rFonts w:hint="eastAsia" w:ascii="宋体" w:hAnsi="宋体" w:cs="宋体"/>
                <w:color w:val="000000" w:themeColor="text1"/>
                <w:kern w:val="0"/>
                <w:sz w:val="21"/>
                <w:szCs w:val="21"/>
                <w14:textFill>
                  <w14:solidFill>
                    <w14:schemeClr w14:val="tx1"/>
                  </w14:solidFill>
                </w14:textFill>
              </w:rPr>
              <w:br w:type="textWrapping"/>
            </w:r>
            <w:r>
              <w:rPr>
                <w:rFonts w:hint="eastAsia" w:ascii="宋体" w:hAnsi="宋体" w:cs="宋体"/>
                <w:color w:val="000000" w:themeColor="text1"/>
                <w:kern w:val="0"/>
                <w:sz w:val="21"/>
                <w:szCs w:val="21"/>
                <w14:textFill>
                  <w14:solidFill>
                    <w14:schemeClr w14:val="tx1"/>
                  </w14:solidFill>
                </w14:textFill>
              </w:rPr>
              <w:t>(需提供人员清单、身份证扫描件、近3个月的社保证明材料、相关人员的证书等证明材料）</w:t>
            </w:r>
          </w:p>
        </w:tc>
      </w:tr>
      <w:tr w14:paraId="41520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0" w:hRule="atLeast"/>
        </w:trPr>
        <w:tc>
          <w:tcPr>
            <w:tcW w:w="484" w:type="pct"/>
            <w:vMerge w:val="continue"/>
            <w:vAlign w:val="center"/>
          </w:tcPr>
          <w:p w14:paraId="16402E26">
            <w:pPr>
              <w:widowControl/>
              <w:topLinePunct w:val="0"/>
              <w:jc w:val="left"/>
              <w:rPr>
                <w:rFonts w:hint="eastAsia" w:ascii="宋体" w:hAnsi="宋体" w:cs="宋体"/>
                <w:color w:val="000000"/>
                <w:kern w:val="0"/>
                <w:sz w:val="21"/>
                <w:szCs w:val="21"/>
              </w:rPr>
            </w:pPr>
          </w:p>
        </w:tc>
        <w:tc>
          <w:tcPr>
            <w:tcW w:w="484" w:type="pct"/>
            <w:vMerge w:val="restart"/>
            <w:shd w:val="clear" w:color="000000" w:fill="FFFFFF"/>
            <w:vAlign w:val="center"/>
          </w:tcPr>
          <w:p w14:paraId="373732A9">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响应及业绩</w:t>
            </w:r>
          </w:p>
        </w:tc>
        <w:tc>
          <w:tcPr>
            <w:tcW w:w="484" w:type="pct"/>
            <w:shd w:val="clear" w:color="000000" w:fill="FFFFFF"/>
            <w:vAlign w:val="center"/>
          </w:tcPr>
          <w:p w14:paraId="5B9F427A">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有效业绩</w:t>
            </w:r>
          </w:p>
        </w:tc>
        <w:tc>
          <w:tcPr>
            <w:tcW w:w="484" w:type="pct"/>
            <w:vAlign w:val="center"/>
          </w:tcPr>
          <w:p w14:paraId="07C62E4C">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4</w:t>
            </w:r>
          </w:p>
        </w:tc>
        <w:tc>
          <w:tcPr>
            <w:tcW w:w="3064" w:type="pct"/>
            <w:vAlign w:val="center"/>
          </w:tcPr>
          <w:p w14:paraId="58EAC345">
            <w:pPr>
              <w:widowControl/>
              <w:topLinePunct w:val="0"/>
              <w:jc w:val="left"/>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本项目要求供应商具备2023年1月1日起至本项目询比公告发布之日前类似项目（软件开发类）的有效业绩，累计有效业绩金额在100万元的基础上，每增加50万元有效业绩得1分，本项满分4分。（有效业绩资料及相关要求详见第七章响应文件格式18点内容）。</w:t>
            </w:r>
          </w:p>
        </w:tc>
      </w:tr>
      <w:tr w14:paraId="00E84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8" w:hRule="atLeast"/>
        </w:trPr>
        <w:tc>
          <w:tcPr>
            <w:tcW w:w="484" w:type="pct"/>
            <w:vMerge w:val="continue"/>
            <w:vAlign w:val="center"/>
          </w:tcPr>
          <w:p w14:paraId="02FAA179">
            <w:pPr>
              <w:widowControl/>
              <w:topLinePunct w:val="0"/>
              <w:jc w:val="left"/>
              <w:rPr>
                <w:rFonts w:hint="eastAsia" w:ascii="宋体" w:hAnsi="宋体" w:cs="宋体"/>
                <w:color w:val="000000"/>
                <w:kern w:val="0"/>
                <w:sz w:val="21"/>
                <w:szCs w:val="21"/>
              </w:rPr>
            </w:pPr>
          </w:p>
        </w:tc>
        <w:tc>
          <w:tcPr>
            <w:tcW w:w="484" w:type="pct"/>
            <w:vMerge w:val="continue"/>
            <w:vAlign w:val="center"/>
          </w:tcPr>
          <w:p w14:paraId="64116277">
            <w:pPr>
              <w:widowControl/>
              <w:topLinePunct w:val="0"/>
              <w:jc w:val="left"/>
              <w:rPr>
                <w:rFonts w:hint="eastAsia" w:ascii="宋体" w:hAnsi="宋体" w:cs="宋体"/>
                <w:color w:val="000000"/>
                <w:kern w:val="0"/>
                <w:sz w:val="21"/>
                <w:szCs w:val="21"/>
              </w:rPr>
            </w:pPr>
          </w:p>
        </w:tc>
        <w:tc>
          <w:tcPr>
            <w:tcW w:w="484" w:type="pct"/>
            <w:vAlign w:val="center"/>
          </w:tcPr>
          <w:p w14:paraId="09FB6254">
            <w:pPr>
              <w:widowControl/>
              <w:topLinePunct w:val="0"/>
              <w:jc w:val="center"/>
              <w:rPr>
                <w:rFonts w:hint="eastAsia" w:ascii="宋体" w:hAnsi="宋体" w:cs="宋体"/>
                <w:color w:val="000000"/>
                <w:kern w:val="0"/>
                <w:sz w:val="22"/>
                <w:szCs w:val="22"/>
              </w:rPr>
            </w:pPr>
            <w:r>
              <w:rPr>
                <w:rFonts w:hint="eastAsia" w:ascii="宋体" w:hAnsi="宋体" w:cs="宋体"/>
                <w:color w:val="000000"/>
                <w:kern w:val="0"/>
                <w:sz w:val="22"/>
                <w:szCs w:val="22"/>
              </w:rPr>
              <w:t>案例展示</w:t>
            </w:r>
          </w:p>
        </w:tc>
        <w:tc>
          <w:tcPr>
            <w:tcW w:w="484" w:type="pct"/>
            <w:vAlign w:val="center"/>
          </w:tcPr>
          <w:p w14:paraId="0BF7D4A2">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3</w:t>
            </w:r>
          </w:p>
        </w:tc>
        <w:tc>
          <w:tcPr>
            <w:tcW w:w="3064" w:type="pct"/>
            <w:vAlign w:val="center"/>
          </w:tcPr>
          <w:p w14:paraId="3DA51375">
            <w:pPr>
              <w:widowControl/>
              <w:topLinePunct w:val="0"/>
              <w:jc w:val="left"/>
              <w:rPr>
                <w:rFonts w:hint="eastAsia"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1.供应商需具备2023年1月1日至询比公告发布之日前OTN网络运维项目商用案例，包括但不限于：合同证明、相关系统截图等证明材料。每提供一个得1分，满分2分。</w:t>
            </w:r>
            <w:r>
              <w:rPr>
                <w:rFonts w:hint="eastAsia" w:ascii="宋体" w:hAnsi="宋体" w:cs="宋体"/>
                <w:color w:val="000000" w:themeColor="text1"/>
                <w:kern w:val="0"/>
                <w:sz w:val="22"/>
                <w:szCs w:val="22"/>
                <w14:textFill>
                  <w14:solidFill>
                    <w14:schemeClr w14:val="tx1"/>
                  </w14:solidFill>
                </w14:textFill>
              </w:rPr>
              <w:br w:type="textWrapping"/>
            </w:r>
            <w:r>
              <w:rPr>
                <w:rFonts w:hint="eastAsia" w:ascii="宋体" w:hAnsi="宋体" w:cs="宋体"/>
                <w:color w:val="000000" w:themeColor="text1"/>
                <w:kern w:val="0"/>
                <w:sz w:val="22"/>
                <w:szCs w:val="22"/>
                <w14:textFill>
                  <w14:solidFill>
                    <w14:schemeClr w14:val="tx1"/>
                  </w14:solidFill>
                </w14:textFill>
              </w:rPr>
              <w:t>2，供应商需具备2023年1月1日至询比公告发布之日前OTN网络上层能力接口研发案例，包括但不限于：合同证明、相关系统截图等证明材料。每提供一个得1分，满分1分。</w:t>
            </w:r>
          </w:p>
        </w:tc>
      </w:tr>
      <w:tr w14:paraId="18D84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484" w:type="pct"/>
            <w:vMerge w:val="continue"/>
            <w:vAlign w:val="center"/>
          </w:tcPr>
          <w:p w14:paraId="6A60E5FE">
            <w:pPr>
              <w:widowControl/>
              <w:topLinePunct w:val="0"/>
              <w:jc w:val="left"/>
              <w:rPr>
                <w:rFonts w:hint="eastAsia" w:ascii="宋体" w:hAnsi="宋体" w:cs="宋体"/>
                <w:color w:val="000000"/>
                <w:kern w:val="0"/>
                <w:sz w:val="21"/>
                <w:szCs w:val="21"/>
              </w:rPr>
            </w:pPr>
          </w:p>
        </w:tc>
        <w:tc>
          <w:tcPr>
            <w:tcW w:w="484" w:type="pct"/>
            <w:vMerge w:val="continue"/>
            <w:vAlign w:val="center"/>
          </w:tcPr>
          <w:p w14:paraId="22642C6D">
            <w:pPr>
              <w:widowControl/>
              <w:topLinePunct w:val="0"/>
              <w:jc w:val="left"/>
              <w:rPr>
                <w:rFonts w:hint="eastAsia" w:ascii="宋体" w:hAnsi="宋体" w:cs="宋体"/>
                <w:color w:val="000000"/>
                <w:kern w:val="0"/>
                <w:sz w:val="21"/>
                <w:szCs w:val="21"/>
              </w:rPr>
            </w:pPr>
          </w:p>
        </w:tc>
        <w:tc>
          <w:tcPr>
            <w:tcW w:w="484" w:type="pct"/>
            <w:vAlign w:val="center"/>
          </w:tcPr>
          <w:p w14:paraId="780906CB">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技术规范和服务要求应答</w:t>
            </w:r>
          </w:p>
        </w:tc>
        <w:tc>
          <w:tcPr>
            <w:tcW w:w="484" w:type="pct"/>
            <w:vAlign w:val="center"/>
          </w:tcPr>
          <w:p w14:paraId="0D56989A">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3</w:t>
            </w:r>
          </w:p>
        </w:tc>
        <w:tc>
          <w:tcPr>
            <w:tcW w:w="3064" w:type="pct"/>
            <w:vAlign w:val="center"/>
          </w:tcPr>
          <w:p w14:paraId="4E29135A">
            <w:pPr>
              <w:widowControl/>
              <w:topLinePunct w:val="0"/>
              <w:jc w:val="left"/>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根据供应商对询比文件第五章技术规范和服务要求内容应答情况进行评分，全部无负偏离得满分；有应答负偏离的每项扣0.5分，扣完为止。</w:t>
            </w:r>
          </w:p>
        </w:tc>
      </w:tr>
      <w:tr w14:paraId="6A692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2" w:hRule="atLeast"/>
        </w:trPr>
        <w:tc>
          <w:tcPr>
            <w:tcW w:w="484" w:type="pct"/>
            <w:vMerge w:val="continue"/>
            <w:vAlign w:val="center"/>
          </w:tcPr>
          <w:p w14:paraId="3B55DB96">
            <w:pPr>
              <w:widowControl/>
              <w:topLinePunct w:val="0"/>
              <w:jc w:val="left"/>
              <w:rPr>
                <w:rFonts w:hint="eastAsia" w:ascii="宋体" w:hAnsi="宋体" w:cs="宋体"/>
                <w:color w:val="000000"/>
                <w:kern w:val="0"/>
                <w:sz w:val="21"/>
                <w:szCs w:val="21"/>
              </w:rPr>
            </w:pPr>
          </w:p>
        </w:tc>
        <w:tc>
          <w:tcPr>
            <w:tcW w:w="484" w:type="pct"/>
            <w:shd w:val="clear" w:color="000000" w:fill="FFFFFF"/>
            <w:vAlign w:val="center"/>
          </w:tcPr>
          <w:p w14:paraId="67D5EEA5">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网络信息安全</w:t>
            </w:r>
          </w:p>
        </w:tc>
        <w:tc>
          <w:tcPr>
            <w:tcW w:w="484" w:type="pct"/>
            <w:vAlign w:val="center"/>
          </w:tcPr>
          <w:p w14:paraId="15311207">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网络信息安全保障措施</w:t>
            </w:r>
          </w:p>
        </w:tc>
        <w:tc>
          <w:tcPr>
            <w:tcW w:w="484" w:type="pct"/>
            <w:noWrap/>
            <w:vAlign w:val="center"/>
          </w:tcPr>
          <w:p w14:paraId="168D411B">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3</w:t>
            </w:r>
          </w:p>
        </w:tc>
        <w:tc>
          <w:tcPr>
            <w:tcW w:w="3064" w:type="pct"/>
            <w:vAlign w:val="center"/>
          </w:tcPr>
          <w:p w14:paraId="440762E1">
            <w:pPr>
              <w:widowControl/>
              <w:topLinePunct w:val="0"/>
              <w:jc w:val="left"/>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供应商需按照“第五章技术规范和服务要求”的内容，提供网络信息安全保障措施，包含但不限于测试工具安全、数据安全、账号安全、存储安全、网络安全、主机安全等内容，根据内容的合理性、完备性、专业性、可靠性等进行综合评审。本项评分按照10分制评分，评分为优(9.5，10  ]分，优良(8.5，9.5]分，良(7.5，8.5]分，中(6.5，7.5]分,合格(5.5，6.5]分，较差(4.5，5.5]分，差(0,4.5]分。未提供响应内容不得分，区间评分步长0.1分。本评分项权重分值为3分，本评分项的最终权重得分=（10分制评分/10）*权重分值。</w:t>
            </w:r>
          </w:p>
        </w:tc>
      </w:tr>
      <w:tr w14:paraId="56EE7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4" w:hRule="atLeast"/>
        </w:trPr>
        <w:tc>
          <w:tcPr>
            <w:tcW w:w="484" w:type="pct"/>
            <w:vMerge w:val="restart"/>
            <w:vAlign w:val="center"/>
          </w:tcPr>
          <w:p w14:paraId="5E694D91">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服务部分（10分）</w:t>
            </w:r>
          </w:p>
        </w:tc>
        <w:tc>
          <w:tcPr>
            <w:tcW w:w="484" w:type="pct"/>
            <w:vMerge w:val="restart"/>
            <w:vAlign w:val="center"/>
          </w:tcPr>
          <w:p w14:paraId="08D1A2E0">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服务能力</w:t>
            </w:r>
          </w:p>
        </w:tc>
        <w:tc>
          <w:tcPr>
            <w:tcW w:w="484" w:type="pct"/>
            <w:vAlign w:val="center"/>
          </w:tcPr>
          <w:p w14:paraId="6D620DC4">
            <w:pPr>
              <w:widowControl/>
              <w:topLinePunct w:val="0"/>
              <w:jc w:val="center"/>
              <w:rPr>
                <w:rFonts w:hint="eastAsia" w:ascii="宋体" w:hAnsi="宋体" w:cs="宋体"/>
                <w:color w:val="000000"/>
                <w:kern w:val="0"/>
                <w:sz w:val="21"/>
                <w:szCs w:val="21"/>
              </w:rPr>
            </w:pPr>
            <w:bookmarkStart w:id="18" w:name="RANGE!C14"/>
            <w:r>
              <w:rPr>
                <w:rFonts w:hint="eastAsia" w:ascii="宋体" w:hAnsi="宋体" w:cs="宋体"/>
                <w:color w:val="000000"/>
                <w:kern w:val="0"/>
                <w:sz w:val="21"/>
                <w:szCs w:val="21"/>
              </w:rPr>
              <w:t>培训服务方案</w:t>
            </w:r>
            <w:bookmarkEnd w:id="18"/>
          </w:p>
        </w:tc>
        <w:tc>
          <w:tcPr>
            <w:tcW w:w="484" w:type="pct"/>
            <w:vAlign w:val="center"/>
          </w:tcPr>
          <w:p w14:paraId="65B7005A">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4</w:t>
            </w:r>
          </w:p>
        </w:tc>
        <w:tc>
          <w:tcPr>
            <w:tcW w:w="3064" w:type="pct"/>
            <w:vAlign w:val="center"/>
          </w:tcPr>
          <w:p w14:paraId="3895691E">
            <w:pPr>
              <w:widowControl/>
              <w:topLinePunct w:val="0"/>
              <w:jc w:val="left"/>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供应商需按照“第五章技术规范和服务要求”的内容，提供培训服务方案，包括但不限于培训范围、培训计划等内容，根据其内容完整性、针对性、实用性、科学性、合理性、可行性等综合评审，本项评分按照10分制评分，评分为优(9.5，10]分，优良(8.5，9.5]分，良(7.5，8.5]分，中(6.5，7.5]分,合格(5.5，6.5]分，较差(4.5，5.5]分，差(0,4.5]分。未提供响应内容不得分，区间评分步长0.1分。本评分项权重分值为4分，本评分项的最终权重得分=（10分制评分/10）*权重分值。</w:t>
            </w:r>
          </w:p>
        </w:tc>
      </w:tr>
      <w:tr w14:paraId="00941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6" w:hRule="atLeast"/>
        </w:trPr>
        <w:tc>
          <w:tcPr>
            <w:tcW w:w="484" w:type="pct"/>
            <w:vMerge w:val="continue"/>
            <w:vAlign w:val="center"/>
          </w:tcPr>
          <w:p w14:paraId="15663854">
            <w:pPr>
              <w:widowControl/>
              <w:topLinePunct w:val="0"/>
              <w:jc w:val="left"/>
              <w:rPr>
                <w:rFonts w:hint="eastAsia" w:ascii="宋体" w:hAnsi="宋体" w:cs="宋体"/>
                <w:color w:val="000000"/>
                <w:kern w:val="0"/>
                <w:sz w:val="21"/>
                <w:szCs w:val="21"/>
              </w:rPr>
            </w:pPr>
          </w:p>
        </w:tc>
        <w:tc>
          <w:tcPr>
            <w:tcW w:w="484" w:type="pct"/>
            <w:vMerge w:val="continue"/>
            <w:vAlign w:val="center"/>
          </w:tcPr>
          <w:p w14:paraId="0D8BA691">
            <w:pPr>
              <w:widowControl/>
              <w:topLinePunct w:val="0"/>
              <w:jc w:val="left"/>
              <w:rPr>
                <w:rFonts w:hint="eastAsia" w:ascii="宋体" w:hAnsi="宋体" w:cs="宋体"/>
                <w:color w:val="000000"/>
                <w:kern w:val="0"/>
                <w:sz w:val="21"/>
                <w:szCs w:val="21"/>
              </w:rPr>
            </w:pPr>
          </w:p>
        </w:tc>
        <w:tc>
          <w:tcPr>
            <w:tcW w:w="484" w:type="pct"/>
            <w:vAlign w:val="center"/>
          </w:tcPr>
          <w:p w14:paraId="4181B70E">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服务响应要求</w:t>
            </w:r>
          </w:p>
        </w:tc>
        <w:tc>
          <w:tcPr>
            <w:tcW w:w="484" w:type="pct"/>
            <w:vAlign w:val="center"/>
          </w:tcPr>
          <w:p w14:paraId="28587EA3">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3</w:t>
            </w:r>
          </w:p>
        </w:tc>
        <w:tc>
          <w:tcPr>
            <w:tcW w:w="3064" w:type="pct"/>
            <w:vAlign w:val="center"/>
          </w:tcPr>
          <w:p w14:paraId="35888730">
            <w:pPr>
              <w:widowControl/>
              <w:topLinePunct w:val="0"/>
              <w:jc w:val="left"/>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1.供应商需承诺提供7×24小时电话或电子邮件服务，满足得1分，不满足不得分。</w:t>
            </w:r>
            <w:r>
              <w:rPr>
                <w:rFonts w:hint="eastAsia" w:ascii="宋体" w:hAnsi="宋体" w:cs="宋体"/>
                <w:color w:val="000000" w:themeColor="text1"/>
                <w:kern w:val="0"/>
                <w:sz w:val="21"/>
                <w:szCs w:val="21"/>
                <w14:textFill>
                  <w14:solidFill>
                    <w14:schemeClr w14:val="tx1"/>
                  </w14:solidFill>
                </w14:textFill>
              </w:rPr>
              <w:br w:type="textWrapping"/>
            </w:r>
            <w:r>
              <w:rPr>
                <w:rFonts w:hint="eastAsia" w:ascii="宋体" w:hAnsi="宋体" w:cs="宋体"/>
                <w:color w:val="000000" w:themeColor="text1"/>
                <w:kern w:val="0"/>
                <w:sz w:val="21"/>
                <w:szCs w:val="21"/>
                <w14:textFill>
                  <w14:solidFill>
                    <w14:schemeClr w14:val="tx1"/>
                  </w14:solidFill>
                </w14:textFill>
              </w:rPr>
              <w:t>2、供应商需承诺项目开发期间开发团队人员不参与其他项目的开发，满足得1分，不满足不得分。</w:t>
            </w:r>
            <w:r>
              <w:rPr>
                <w:rFonts w:hint="eastAsia" w:ascii="宋体" w:hAnsi="宋体" w:cs="宋体"/>
                <w:color w:val="000000" w:themeColor="text1"/>
                <w:kern w:val="0"/>
                <w:sz w:val="21"/>
                <w:szCs w:val="21"/>
                <w14:textFill>
                  <w14:solidFill>
                    <w14:schemeClr w14:val="tx1"/>
                  </w14:solidFill>
                </w14:textFill>
              </w:rPr>
              <w:br w:type="textWrapping"/>
            </w:r>
            <w:r>
              <w:rPr>
                <w:rFonts w:hint="eastAsia" w:ascii="宋体" w:hAnsi="宋体" w:cs="宋体"/>
                <w:color w:val="000000" w:themeColor="text1"/>
                <w:kern w:val="0"/>
                <w:sz w:val="21"/>
                <w:szCs w:val="21"/>
                <w14:textFill>
                  <w14:solidFill>
                    <w14:schemeClr w14:val="tx1"/>
                  </w14:solidFill>
                </w14:textFill>
              </w:rPr>
              <w:t>3.供应商需承诺成交后3个工作日内安排人员开展服务，满足得1分，不满足不得分。</w:t>
            </w:r>
          </w:p>
          <w:p w14:paraId="65FEF1EE">
            <w:pPr>
              <w:widowControl/>
              <w:topLinePunct w:val="0"/>
              <w:jc w:val="left"/>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（供应商需提供相关承诺函）</w:t>
            </w:r>
          </w:p>
        </w:tc>
      </w:tr>
      <w:tr w14:paraId="0654F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8" w:hRule="atLeast"/>
        </w:trPr>
        <w:tc>
          <w:tcPr>
            <w:tcW w:w="484" w:type="pct"/>
            <w:vMerge w:val="continue"/>
            <w:vAlign w:val="center"/>
          </w:tcPr>
          <w:p w14:paraId="4B996672">
            <w:pPr>
              <w:widowControl/>
              <w:topLinePunct w:val="0"/>
              <w:jc w:val="left"/>
              <w:rPr>
                <w:rFonts w:hint="eastAsia" w:ascii="宋体" w:hAnsi="宋体" w:cs="宋体"/>
                <w:color w:val="000000"/>
                <w:kern w:val="0"/>
                <w:sz w:val="21"/>
                <w:szCs w:val="21"/>
              </w:rPr>
            </w:pPr>
          </w:p>
        </w:tc>
        <w:tc>
          <w:tcPr>
            <w:tcW w:w="484" w:type="pct"/>
            <w:vAlign w:val="center"/>
          </w:tcPr>
          <w:p w14:paraId="56FC0379">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履约水平</w:t>
            </w:r>
          </w:p>
        </w:tc>
        <w:tc>
          <w:tcPr>
            <w:tcW w:w="484" w:type="pct"/>
            <w:vAlign w:val="center"/>
          </w:tcPr>
          <w:p w14:paraId="1D1E1904">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服务后评估</w:t>
            </w:r>
          </w:p>
        </w:tc>
        <w:tc>
          <w:tcPr>
            <w:tcW w:w="484" w:type="pct"/>
            <w:vAlign w:val="center"/>
          </w:tcPr>
          <w:p w14:paraId="26B2830D">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3</w:t>
            </w:r>
          </w:p>
        </w:tc>
        <w:tc>
          <w:tcPr>
            <w:tcW w:w="3064" w:type="pct"/>
            <w:vAlign w:val="center"/>
          </w:tcPr>
          <w:p w14:paraId="295A3FF9">
            <w:pPr>
              <w:widowControl/>
              <w:topLinePunct w:val="0"/>
              <w:jc w:val="left"/>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供应商为四川电信现有供应商且有上一年度后评估评分记录(百分制)的，按照上一年度后评估实际得分计算；若供应商没有上一年度后评估评分记录的，按照有四川电信上一年度后评估记录的有效供应商的平均分计算；所有供应商均无在四川电信上一年度后评估得分的，此项计0分。供应商本项得分=供应商后评估得分/100*3。</w:t>
            </w:r>
          </w:p>
        </w:tc>
      </w:tr>
      <w:tr w14:paraId="34FDE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2" w:hRule="atLeast"/>
        </w:trPr>
        <w:tc>
          <w:tcPr>
            <w:tcW w:w="484" w:type="pct"/>
            <w:vAlign w:val="center"/>
          </w:tcPr>
          <w:p w14:paraId="05178EE0">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价格部分（45分）</w:t>
            </w:r>
          </w:p>
        </w:tc>
        <w:tc>
          <w:tcPr>
            <w:tcW w:w="484" w:type="pct"/>
            <w:vAlign w:val="center"/>
          </w:tcPr>
          <w:p w14:paraId="73D0DD19">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价格评分</w:t>
            </w:r>
          </w:p>
        </w:tc>
        <w:tc>
          <w:tcPr>
            <w:tcW w:w="484" w:type="pct"/>
            <w:vAlign w:val="center"/>
          </w:tcPr>
          <w:p w14:paraId="2EBEEAFD">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直线内插法</w:t>
            </w:r>
          </w:p>
        </w:tc>
        <w:tc>
          <w:tcPr>
            <w:tcW w:w="484" w:type="pct"/>
            <w:shd w:val="clear" w:color="000000" w:fill="FFFFFF"/>
            <w:vAlign w:val="center"/>
          </w:tcPr>
          <w:p w14:paraId="6D49BCC1">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45</w:t>
            </w:r>
          </w:p>
        </w:tc>
        <w:tc>
          <w:tcPr>
            <w:tcW w:w="3064" w:type="pct"/>
            <w:vAlign w:val="center"/>
          </w:tcPr>
          <w:p w14:paraId="40DB37F1">
            <w:pPr>
              <w:widowControl/>
              <w:topLinePunct w:val="0"/>
              <w:jc w:val="left"/>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价格评分采用直线内插法，计算公式：报价得分=45*（最高价+最低价-本有效供应商经评审的含税总价报价）/最高价。最高价和最低价为剔除异常价格后，其余有效供应商响应价中的最高价和最低价。如剔除异常价格后，其余有效供应商评审价不足2个，则以异常价格判定上限和下限分别作为最高价和最低价。价格分最高得满分，最低为0分。异常价格判定：以所有有效响应价算术平均值的90%作为异常价格判定下限，120%作为异常价格判定上限，高于（不含）上限或低于（不含）下限的为异常报价。（分值精确到小数点后两位，第三位作四舍五入）</w:t>
            </w:r>
          </w:p>
        </w:tc>
      </w:tr>
      <w:tr w14:paraId="72AAC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8" w:hRule="atLeast"/>
        </w:trPr>
        <w:tc>
          <w:tcPr>
            <w:tcW w:w="484" w:type="pct"/>
            <w:vAlign w:val="center"/>
          </w:tcPr>
          <w:p w14:paraId="0C9C3FC3">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扣分项</w:t>
            </w:r>
          </w:p>
        </w:tc>
        <w:tc>
          <w:tcPr>
            <w:tcW w:w="484" w:type="pct"/>
            <w:vAlign w:val="center"/>
          </w:tcPr>
          <w:p w14:paraId="6146DFF3">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供应商不良行为</w:t>
            </w:r>
          </w:p>
        </w:tc>
        <w:tc>
          <w:tcPr>
            <w:tcW w:w="484" w:type="pct"/>
            <w:vAlign w:val="center"/>
          </w:tcPr>
          <w:p w14:paraId="770A4B62">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《中国电信供应商不良行为管理规则》及处理结果应用</w:t>
            </w:r>
          </w:p>
        </w:tc>
        <w:tc>
          <w:tcPr>
            <w:tcW w:w="484" w:type="pct"/>
            <w:vAlign w:val="center"/>
          </w:tcPr>
          <w:p w14:paraId="60FAF432">
            <w:pPr>
              <w:widowControl/>
              <w:topLinePunct w:val="0"/>
              <w:jc w:val="center"/>
              <w:rPr>
                <w:rFonts w:hint="eastAsia" w:ascii="宋体" w:hAnsi="宋体" w:cs="宋体"/>
                <w:color w:val="000000"/>
                <w:kern w:val="0"/>
                <w:sz w:val="21"/>
                <w:szCs w:val="21"/>
              </w:rPr>
            </w:pPr>
            <w:r>
              <w:rPr>
                <w:rFonts w:hint="eastAsia" w:ascii="宋体" w:hAnsi="宋体" w:cs="宋体"/>
                <w:color w:val="000000"/>
                <w:kern w:val="0"/>
                <w:sz w:val="21"/>
                <w:szCs w:val="21"/>
              </w:rPr>
              <w:t>/</w:t>
            </w:r>
          </w:p>
        </w:tc>
        <w:tc>
          <w:tcPr>
            <w:tcW w:w="3064" w:type="pct"/>
            <w:vAlign w:val="center"/>
          </w:tcPr>
          <w:p w14:paraId="16771D46">
            <w:pPr>
              <w:widowControl/>
              <w:topLinePunct w:val="0"/>
              <w:jc w:val="left"/>
              <w:rPr>
                <w:rFonts w:hint="eastAsia" w:ascii="宋体" w:hAnsi="宋体" w:cs="宋体"/>
                <w:color w:val="000000" w:themeColor="text1"/>
                <w:kern w:val="0"/>
                <w:sz w:val="21"/>
                <w:szCs w:val="21"/>
                <w14:textFill>
                  <w14:solidFill>
                    <w14:schemeClr w14:val="tx1"/>
                  </w14:solidFill>
                </w14:textFill>
              </w:rPr>
            </w:pPr>
            <w:r>
              <w:rPr>
                <w:rFonts w:hint="eastAsia" w:ascii="宋体" w:hAnsi="宋体" w:cs="宋体"/>
                <w:color w:val="000000" w:themeColor="text1"/>
                <w:kern w:val="0"/>
                <w:sz w:val="21"/>
                <w:szCs w:val="21"/>
                <w14:textFill>
                  <w14:solidFill>
                    <w14:schemeClr w14:val="tx1"/>
                  </w14:solidFill>
                </w14:textFill>
              </w:rPr>
              <w:t>按照中国电信供应商不良行为处理结果及《中国电信供应商不良行为管理规则》的结果执行规则，应对供应商的本次响应执行限制采购处理措施的,评审委员会应按照处理结果及规则扣减相应分值。</w:t>
            </w:r>
          </w:p>
        </w:tc>
      </w:tr>
    </w:tbl>
    <w:p w14:paraId="0BC7A334">
      <w:bookmarkStart w:id="19" w:name="_GoBack"/>
      <w:bookmarkEnd w:id="19"/>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5C0D4E"/>
    <w:multiLevelType w:val="multilevel"/>
    <w:tmpl w:val="0A5C0D4E"/>
    <w:lvl w:ilvl="0" w:tentative="0">
      <w:start w:val="2"/>
      <w:numFmt w:val="decimal"/>
      <w:lvlText w:val="%1"/>
      <w:lvlJc w:val="left"/>
      <w:pPr>
        <w:ind w:left="432" w:hanging="432"/>
      </w:pPr>
      <w:rPr>
        <w:rFonts w:hint="eastAsia"/>
      </w:rPr>
    </w:lvl>
    <w:lvl w:ilvl="1" w:tentative="0">
      <w:start w:val="1"/>
      <w:numFmt w:val="decimal"/>
      <w:lvlText w:val="2.%2"/>
      <w:lvlJc w:val="left"/>
      <w:pPr>
        <w:ind w:left="440" w:hanging="440"/>
      </w:pPr>
      <w:rPr>
        <w:rFonts w:hint="eastAsia"/>
      </w:rPr>
    </w:lvl>
    <w:lvl w:ilvl="2" w:tentative="0">
      <w:start w:val="1"/>
      <w:numFmt w:val="decimal"/>
      <w:lvlText w:val="%1.%2.%3"/>
      <w:lvlJc w:val="left"/>
      <w:pPr>
        <w:ind w:left="720" w:hanging="720"/>
      </w:pPr>
      <w:rPr>
        <w:rFonts w:hint="eastAsia"/>
      </w:rPr>
    </w:lvl>
    <w:lvl w:ilvl="3" w:tentative="0">
      <w:start w:val="1"/>
      <w:numFmt w:val="decimal"/>
      <w:pStyle w:val="3"/>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122F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topLinePunct/>
      <w:jc w:val="both"/>
    </w:pPr>
    <w:rPr>
      <w:rFonts w:ascii="Times New Roman" w:hAnsi="Times New Roman" w:eastAsia="宋体" w:cs="Times New Roman"/>
      <w:kern w:val="2"/>
      <w:sz w:val="24"/>
      <w:szCs w:val="24"/>
      <w:lang w:val="en-US" w:eastAsia="zh-CN" w:bidi="ar-SA"/>
    </w:rPr>
  </w:style>
  <w:style w:type="paragraph" w:styleId="3">
    <w:name w:val="heading 4"/>
    <w:basedOn w:val="1"/>
    <w:next w:val="1"/>
    <w:qFormat/>
    <w:uiPriority w:val="0"/>
    <w:pPr>
      <w:keepNext/>
      <w:keepLines/>
      <w:numPr>
        <w:ilvl w:val="3"/>
        <w:numId w:val="1"/>
      </w:numPr>
      <w:spacing w:before="280" w:after="290" w:line="376" w:lineRule="auto"/>
      <w:outlineLvl w:val="3"/>
    </w:pPr>
    <w:rPr>
      <w:rFonts w:ascii="等线 Light" w:hAnsi="等线 Light" w:eastAsia="等线 Light"/>
      <w:b/>
      <w:bCs/>
      <w:sz w:val="28"/>
      <w:szCs w:val="28"/>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next w:val="3"/>
    <w:unhideWhenUsed/>
    <w:qFormat/>
    <w:uiPriority w:val="0"/>
    <w:pPr>
      <w:topLinePunct w:val="0"/>
      <w:spacing w:after="120"/>
    </w:pPr>
    <w:rPr>
      <w:sz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2025-10-24T08:02:40Z</dcterms:created>
  <dc:creator>19142</dc:creator>
  <cp:lastModifiedBy>TErnura</cp:lastModifiedBy>
  <dcterms:modified xsi:type="dcterms:W3CDTF">2025-10-24T08:02:42Z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eyJoZGlkIjoiOTc3M2Y5NzIzMDFlZjAyY2Q4Njk5ODkyYjFjNzBiNTQiLCJ1c2VySWQiOiI5MzExMDk0ODEifQ==</vt:lpwstr>
  </property>
  <property fmtid="{D5CDD505-2E9C-101B-9397-08002B2CF9AE}" pid="4" name="ICV">
    <vt:lpwstr>B7E9956DF9914EE1A1F56CBA3817DB20_12</vt:lpwstr>
  </property>
</Properties>
</file>