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B5DCFF">
      <w:pPr>
        <w:pStyle w:val="4"/>
        <w:pageBreakBefore w:val="0"/>
        <w:numPr>
          <w:ilvl w:val="0"/>
          <w:numId w:val="4"/>
        </w:numPr>
        <w:kinsoku/>
        <w:wordWrap/>
        <w:overflowPunct/>
        <w:topLinePunct w:val="0"/>
        <w:autoSpaceDE/>
        <w:autoSpaceDN/>
        <w:bidi w:val="0"/>
        <w:spacing w:before="0" w:after="0" w:line="572" w:lineRule="exact"/>
        <w:ind w:left="425" w:leftChars="0" w:hanging="425" w:firstLineChars="0"/>
        <w:jc w:val="both"/>
        <w:outlineLvl w:val="1"/>
        <w:rPr>
          <w:rFonts w:hint="eastAsia" w:ascii="黑体" w:hAnsi="黑体" w:eastAsia="黑体" w:cs="黑体"/>
          <w:b w:val="0"/>
          <w:bCs/>
          <w:color w:val="auto"/>
          <w:sz w:val="24"/>
          <w:szCs w:val="24"/>
          <w:highlight w:val="none"/>
        </w:rPr>
      </w:pPr>
      <w:bookmarkStart w:id="0" w:name="_Toc151621371"/>
      <w:bookmarkStart w:id="1" w:name="_Toc152004366"/>
      <w:bookmarkStart w:id="2" w:name="_Toc19641"/>
      <w:bookmarkStart w:id="3" w:name="_Toc49090575"/>
      <w:bookmarkStart w:id="4" w:name="_Toc26554093"/>
      <w:bookmarkStart w:id="5" w:name="_Toc479757211"/>
      <w:bookmarkStart w:id="6" w:name="_Toc462564139"/>
      <w:r>
        <w:rPr>
          <w:rFonts w:hint="eastAsia" w:ascii="黑体" w:hAnsi="黑体" w:eastAsia="黑体" w:cs="黑体"/>
          <w:b w:val="0"/>
          <w:bCs/>
          <w:color w:val="auto"/>
          <w:sz w:val="24"/>
          <w:szCs w:val="24"/>
          <w:highlight w:val="none"/>
        </w:rPr>
        <w:t>项目概述及需求</w:t>
      </w:r>
      <w:bookmarkEnd w:id="0"/>
      <w:bookmarkEnd w:id="1"/>
      <w:bookmarkEnd w:id="2"/>
    </w:p>
    <w:p w14:paraId="0049DB2A">
      <w:pPr>
        <w:pStyle w:val="5"/>
        <w:pageBreakBefore w:val="0"/>
        <w:numPr>
          <w:ilvl w:val="1"/>
          <w:numId w:val="4"/>
        </w:numPr>
        <w:tabs>
          <w:tab w:val="clear" w:pos="0"/>
        </w:tabs>
        <w:kinsoku/>
        <w:wordWrap/>
        <w:overflowPunct/>
        <w:topLinePunct w:val="0"/>
        <w:autoSpaceDE/>
        <w:autoSpaceDN/>
        <w:bidi w:val="0"/>
        <w:spacing w:before="0" w:after="0" w:line="572" w:lineRule="exact"/>
        <w:ind w:left="567" w:leftChars="0" w:hanging="567" w:firstLineChars="0"/>
        <w:jc w:val="both"/>
        <w:outlineLvl w:val="2"/>
        <w:rPr>
          <w:rFonts w:hint="eastAsia" w:ascii="黑体" w:hAnsi="黑体" w:eastAsia="黑体" w:cs="黑体"/>
          <w:b w:val="0"/>
          <w:bCs/>
          <w:color w:val="auto"/>
          <w:sz w:val="24"/>
          <w:szCs w:val="24"/>
          <w:highlight w:val="none"/>
          <w:lang w:val="en"/>
        </w:rPr>
      </w:pPr>
      <w:bookmarkStart w:id="7" w:name="_Toc29847"/>
      <w:bookmarkStart w:id="8" w:name="_Toc152004367"/>
      <w:bookmarkStart w:id="9" w:name="_Toc93077404"/>
      <w:bookmarkStart w:id="10" w:name="_Toc86934215"/>
      <w:r>
        <w:rPr>
          <w:rFonts w:hint="eastAsia" w:ascii="黑体" w:hAnsi="黑体" w:eastAsia="黑体" w:cs="黑体"/>
          <w:b w:val="0"/>
          <w:bCs/>
          <w:color w:val="auto"/>
          <w:sz w:val="24"/>
          <w:szCs w:val="24"/>
          <w:highlight w:val="none"/>
          <w:lang w:val="en"/>
        </w:rPr>
        <w:t>项目名称</w:t>
      </w:r>
      <w:bookmarkEnd w:id="7"/>
      <w:bookmarkEnd w:id="8"/>
    </w:p>
    <w:p w14:paraId="7F24E505">
      <w:pPr>
        <w:pStyle w:val="14"/>
        <w:pageBreakBefore w:val="0"/>
        <w:kinsoku/>
        <w:wordWrap/>
        <w:overflowPunct/>
        <w:topLinePunct w:val="0"/>
        <w:autoSpaceDE/>
        <w:autoSpaceDN/>
        <w:bidi w:val="0"/>
        <w:spacing w:before="0" w:beforeAutospacing="0" w:after="0" w:afterAutospacing="0" w:line="572" w:lineRule="exact"/>
        <w:ind w:left="0" w:leftChars="0" w:firstLine="480" w:firstLineChars="200"/>
        <w:jc w:val="both"/>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本项目为</w:t>
      </w:r>
      <w:r>
        <w:rPr>
          <w:rFonts w:hint="eastAsia" w:ascii="宋体" w:hAnsi="宋体" w:eastAsia="宋体" w:cs="宋体"/>
          <w:color w:val="auto"/>
          <w:sz w:val="24"/>
          <w:szCs w:val="24"/>
          <w:highlight w:val="none"/>
          <w:lang w:eastAsia="zh-CN"/>
        </w:rPr>
        <w:t>战略性矿产资源数据运营服务平台（标段4：运营稳定监控）</w:t>
      </w:r>
      <w:r>
        <w:rPr>
          <w:rFonts w:hint="eastAsia" w:ascii="宋体" w:hAnsi="宋体" w:eastAsia="宋体" w:cs="宋体"/>
          <w:color w:val="auto"/>
          <w:sz w:val="24"/>
          <w:szCs w:val="24"/>
          <w:highlight w:val="none"/>
        </w:rPr>
        <w:t>（以下简称本项目）。</w:t>
      </w:r>
    </w:p>
    <w:p w14:paraId="71305898">
      <w:pPr>
        <w:pStyle w:val="5"/>
        <w:pageBreakBefore w:val="0"/>
        <w:numPr>
          <w:ilvl w:val="1"/>
          <w:numId w:val="4"/>
        </w:numPr>
        <w:tabs>
          <w:tab w:val="clear" w:pos="0"/>
        </w:tabs>
        <w:kinsoku/>
        <w:wordWrap/>
        <w:overflowPunct/>
        <w:topLinePunct w:val="0"/>
        <w:autoSpaceDE/>
        <w:autoSpaceDN/>
        <w:bidi w:val="0"/>
        <w:spacing w:before="0" w:after="0" w:line="572" w:lineRule="exact"/>
        <w:ind w:left="567" w:leftChars="0" w:hanging="567" w:firstLineChars="0"/>
        <w:jc w:val="both"/>
        <w:outlineLvl w:val="2"/>
        <w:rPr>
          <w:rFonts w:hint="eastAsia" w:ascii="黑体" w:hAnsi="黑体" w:eastAsia="黑体" w:cs="黑体"/>
          <w:b w:val="0"/>
          <w:bCs/>
          <w:color w:val="auto"/>
          <w:sz w:val="24"/>
          <w:szCs w:val="24"/>
          <w:highlight w:val="none"/>
          <w:lang w:val="en"/>
        </w:rPr>
      </w:pPr>
      <w:bookmarkStart w:id="11" w:name="_Toc21867"/>
      <w:bookmarkStart w:id="12" w:name="_Toc152004368"/>
      <w:r>
        <w:rPr>
          <w:rFonts w:hint="eastAsia" w:ascii="黑体" w:hAnsi="黑体" w:eastAsia="黑体" w:cs="黑体"/>
          <w:b w:val="0"/>
          <w:bCs/>
          <w:color w:val="auto"/>
          <w:sz w:val="24"/>
          <w:szCs w:val="24"/>
          <w:highlight w:val="none"/>
          <w:lang w:val="en"/>
        </w:rPr>
        <w:t>项目概况</w:t>
      </w:r>
      <w:bookmarkEnd w:id="11"/>
      <w:bookmarkEnd w:id="12"/>
    </w:p>
    <w:p w14:paraId="5BEB7C63">
      <w:pPr>
        <w:pStyle w:val="14"/>
        <w:pageBreakBefore w:val="0"/>
        <w:kinsoku/>
        <w:wordWrap/>
        <w:overflowPunct/>
        <w:topLinePunct w:val="0"/>
        <w:autoSpaceDE/>
        <w:autoSpaceDN/>
        <w:bidi w:val="0"/>
        <w:spacing w:before="0" w:beforeAutospacing="0" w:after="0" w:afterAutospacing="0" w:line="572" w:lineRule="exact"/>
        <w:ind w:left="0" w:leftChars="0" w:firstLine="480" w:firstLineChars="200"/>
        <w:jc w:val="both"/>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按工信部《战略性矿产资源产业基础数据公共服务平台项目》（以下简称“工信部项目”）合同约定的责任分工，中国矿产作为联合体牵头单位，统筹主平台及铁矿石等6个平台建设，其他11家联合体单位负责其余29个矿种子平台建设。经调研，各子平台存在数据“烟囱”现象，项目整体呈现数据分散、标准不统一、数据权属不清、资产化程度低、不愿不敢对外提供数据、平台间数据难互通等问题。同时，基于主平台未来运营需求，中国矿产资源集团有限公司作为运营实施主体，将启动运营监控服务平台项目。</w:t>
      </w:r>
    </w:p>
    <w:p w14:paraId="1FA295A6">
      <w:pPr>
        <w:pStyle w:val="14"/>
        <w:pageBreakBefore w:val="0"/>
        <w:kinsoku/>
        <w:wordWrap/>
        <w:overflowPunct/>
        <w:topLinePunct w:val="0"/>
        <w:autoSpaceDE/>
        <w:autoSpaceDN/>
        <w:bidi w:val="0"/>
        <w:spacing w:before="0" w:beforeAutospacing="0" w:after="0" w:afterAutospacing="0" w:line="572" w:lineRule="exact"/>
        <w:ind w:left="0" w:leftChars="0" w:firstLine="480" w:firstLineChars="200"/>
        <w:jc w:val="both"/>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项目计划依托建设自主可控的信创“数据生态+价值共创”双模式运营平台，全面汇聚整合35个子矿种平台数据，推进数据资产化、服务化转型；通过实现工信部项目数据互联互通、高效共享，深度挖掘数据价值，构建数据分析服务、行业决策支持、数据产品协同开发、合规交易等多元应用场景，提升中国矿产资源集团有限公司在矿产行业数据服务、市场研判等领域的核心竞争力，达成经济效益与社会效益双提升。</w:t>
      </w:r>
    </w:p>
    <w:p w14:paraId="0B3ECA88">
      <w:pPr>
        <w:pStyle w:val="5"/>
        <w:pageBreakBefore w:val="0"/>
        <w:numPr>
          <w:ilvl w:val="1"/>
          <w:numId w:val="4"/>
        </w:numPr>
        <w:tabs>
          <w:tab w:val="clear" w:pos="0"/>
        </w:tabs>
        <w:kinsoku/>
        <w:wordWrap/>
        <w:overflowPunct/>
        <w:topLinePunct w:val="0"/>
        <w:autoSpaceDE/>
        <w:autoSpaceDN/>
        <w:bidi w:val="0"/>
        <w:spacing w:before="0" w:after="0" w:line="572" w:lineRule="exact"/>
        <w:ind w:left="567" w:leftChars="0" w:hanging="567" w:firstLineChars="0"/>
        <w:jc w:val="both"/>
        <w:outlineLvl w:val="2"/>
        <w:rPr>
          <w:rFonts w:hint="eastAsia" w:ascii="黑体" w:hAnsi="黑体" w:eastAsia="黑体" w:cs="黑体"/>
          <w:b w:val="0"/>
          <w:bCs/>
          <w:color w:val="auto"/>
          <w:sz w:val="24"/>
          <w:szCs w:val="24"/>
          <w:highlight w:val="none"/>
          <w:lang w:val="en"/>
        </w:rPr>
      </w:pPr>
      <w:bookmarkStart w:id="13" w:name="_Toc16924"/>
      <w:bookmarkStart w:id="14" w:name="_Toc152004369"/>
      <w:r>
        <w:rPr>
          <w:rFonts w:hint="eastAsia" w:ascii="黑体" w:hAnsi="黑体" w:eastAsia="黑体" w:cs="黑体"/>
          <w:b w:val="0"/>
          <w:bCs/>
          <w:color w:val="auto"/>
          <w:sz w:val="24"/>
          <w:szCs w:val="24"/>
          <w:highlight w:val="none"/>
          <w:lang w:val="en"/>
        </w:rPr>
        <w:t>建设目标</w:t>
      </w:r>
      <w:bookmarkEnd w:id="9"/>
      <w:bookmarkEnd w:id="10"/>
      <w:bookmarkEnd w:id="13"/>
      <w:bookmarkEnd w:id="14"/>
    </w:p>
    <w:p w14:paraId="603262AA">
      <w:pPr>
        <w:pStyle w:val="14"/>
        <w:pageBreakBefore w:val="0"/>
        <w:kinsoku/>
        <w:wordWrap/>
        <w:overflowPunct/>
        <w:topLinePunct w:val="0"/>
        <w:autoSpaceDE/>
        <w:autoSpaceDN/>
        <w:bidi w:val="0"/>
        <w:spacing w:before="0" w:beforeAutospacing="0" w:after="0" w:afterAutospacing="0" w:line="572" w:lineRule="exact"/>
        <w:ind w:left="0" w:leftChars="0" w:firstLine="480" w:firstLineChars="200"/>
        <w:jc w:val="both"/>
        <w:rPr>
          <w:rFonts w:hint="eastAsia" w:ascii="宋体" w:hAnsi="宋体" w:eastAsia="宋体" w:cs="宋体"/>
          <w:color w:val="auto"/>
          <w:sz w:val="24"/>
          <w:szCs w:val="24"/>
          <w:highlight w:val="none"/>
        </w:rPr>
      </w:pPr>
      <w:bookmarkStart w:id="15" w:name="_Toc93077405"/>
      <w:bookmarkStart w:id="16" w:name="_Toc86934216"/>
      <w:r>
        <w:rPr>
          <w:rFonts w:hint="eastAsia" w:ascii="宋体" w:hAnsi="宋体" w:eastAsia="宋体" w:cs="宋体"/>
          <w:color w:val="auto"/>
          <w:sz w:val="24"/>
          <w:szCs w:val="24"/>
          <w:highlight w:val="none"/>
        </w:rPr>
        <w:t>为深度响应国家战略导向、契合工信部政策指引，同时精准对接行业发展趋势、中国矿产资源集团有限公司自身发展需求，制定如下项目建设目标：</w:t>
      </w:r>
      <w:bookmarkStart w:id="17" w:name="_Toc685177618"/>
      <w:bookmarkStart w:id="18" w:name="_Toc1198211780"/>
      <w:r>
        <w:rPr>
          <w:rFonts w:hint="eastAsia" w:ascii="宋体" w:hAnsi="宋体" w:eastAsia="宋体" w:cs="宋体"/>
          <w:color w:val="auto"/>
          <w:sz w:val="24"/>
          <w:szCs w:val="24"/>
          <w:highlight w:val="none"/>
        </w:rPr>
        <w:t>以保障数字化系统稳定运行为核心，通过全方位运行监测及时发现隐患，结合高效率事件处置、标准化应急管理与规范化运维管理，实现告警智能处理、问题快速定位、流程线上管控，提升系统运维效率与质量。</w:t>
      </w:r>
      <w:bookmarkEnd w:id="17"/>
      <w:bookmarkEnd w:id="18"/>
    </w:p>
    <w:bookmarkEnd w:id="15"/>
    <w:bookmarkEnd w:id="16"/>
    <w:p w14:paraId="772C3CC7">
      <w:pPr>
        <w:pStyle w:val="5"/>
        <w:pageBreakBefore w:val="0"/>
        <w:numPr>
          <w:ilvl w:val="1"/>
          <w:numId w:val="4"/>
        </w:numPr>
        <w:tabs>
          <w:tab w:val="clear" w:pos="0"/>
        </w:tabs>
        <w:kinsoku/>
        <w:wordWrap/>
        <w:overflowPunct/>
        <w:topLinePunct w:val="0"/>
        <w:autoSpaceDE/>
        <w:autoSpaceDN/>
        <w:bidi w:val="0"/>
        <w:spacing w:before="0" w:after="0" w:line="572" w:lineRule="exact"/>
        <w:ind w:left="567" w:leftChars="0" w:hanging="567" w:firstLineChars="0"/>
        <w:jc w:val="both"/>
        <w:outlineLvl w:val="2"/>
        <w:rPr>
          <w:rFonts w:hint="eastAsia" w:ascii="黑体" w:hAnsi="黑体" w:eastAsia="黑体" w:cs="黑体"/>
          <w:b w:val="0"/>
          <w:bCs/>
          <w:color w:val="auto"/>
          <w:sz w:val="24"/>
          <w:szCs w:val="24"/>
          <w:highlight w:val="none"/>
          <w:lang w:val="en"/>
        </w:rPr>
      </w:pPr>
      <w:bookmarkStart w:id="19" w:name="_Toc86934217"/>
      <w:bookmarkStart w:id="20" w:name="_Toc17711"/>
      <w:bookmarkStart w:id="21" w:name="_Toc93077406"/>
      <w:bookmarkStart w:id="22" w:name="_Toc152004376"/>
      <w:r>
        <w:rPr>
          <w:rFonts w:hint="eastAsia" w:ascii="黑体" w:hAnsi="黑体" w:eastAsia="黑体" w:cs="黑体"/>
          <w:b w:val="0"/>
          <w:bCs/>
          <w:color w:val="auto"/>
          <w:sz w:val="24"/>
          <w:szCs w:val="24"/>
          <w:highlight w:val="none"/>
          <w:lang w:val="en"/>
        </w:rPr>
        <w:t>建设内容</w:t>
      </w:r>
      <w:bookmarkEnd w:id="19"/>
      <w:bookmarkEnd w:id="20"/>
      <w:bookmarkEnd w:id="21"/>
      <w:bookmarkEnd w:id="22"/>
    </w:p>
    <w:p w14:paraId="09BEF825">
      <w:pPr>
        <w:pStyle w:val="12"/>
        <w:pageBreakBefore w:val="0"/>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本项目开发建设以下内容：</w:t>
      </w:r>
    </w:p>
    <w:tbl>
      <w:tblPr>
        <w:tblStyle w:val="16"/>
        <w:tblW w:w="5000" w:type="pct"/>
        <w:tblInd w:w="0" w:type="dxa"/>
        <w:tblLayout w:type="autofit"/>
        <w:tblCellMar>
          <w:top w:w="0" w:type="dxa"/>
          <w:left w:w="108" w:type="dxa"/>
          <w:bottom w:w="0" w:type="dxa"/>
          <w:right w:w="108" w:type="dxa"/>
        </w:tblCellMar>
      </w:tblPr>
      <w:tblGrid>
        <w:gridCol w:w="863"/>
        <w:gridCol w:w="1749"/>
        <w:gridCol w:w="2770"/>
        <w:gridCol w:w="3140"/>
      </w:tblGrid>
      <w:tr w14:paraId="7631508F">
        <w:tblPrEx>
          <w:tblCellMar>
            <w:top w:w="0" w:type="dxa"/>
            <w:left w:w="108" w:type="dxa"/>
            <w:bottom w:w="0" w:type="dxa"/>
            <w:right w:w="108" w:type="dxa"/>
          </w:tblCellMar>
        </w:tblPrEx>
        <w:trPr>
          <w:trHeight w:val="482" w:hRule="atLeast"/>
          <w:tblHeader/>
        </w:trPr>
        <w:tc>
          <w:tcPr>
            <w:tcW w:w="506" w:type="pct"/>
            <w:tcBorders>
              <w:top w:val="single" w:color="CBCDD1" w:sz="8" w:space="0"/>
              <w:left w:val="single" w:color="CBCDD1" w:sz="8" w:space="0"/>
              <w:bottom w:val="single" w:color="CBCDD1" w:sz="8" w:space="0"/>
              <w:right w:val="single" w:color="CBCDD1" w:sz="8" w:space="0"/>
            </w:tcBorders>
            <w:shd w:val="clear" w:color="000000" w:fill="DEEAF6"/>
            <w:noWrap w:val="0"/>
            <w:vAlign w:val="center"/>
          </w:tcPr>
          <w:p w14:paraId="76136A05">
            <w:pPr>
              <w:pageBreakBefore w:val="0"/>
              <w:widowControl/>
              <w:kinsoku/>
              <w:wordWrap/>
              <w:overflowPunct/>
              <w:topLinePunct w:val="0"/>
              <w:autoSpaceDE/>
              <w:autoSpaceDN/>
              <w:bidi w:val="0"/>
              <w:adjustRightInd/>
              <w:snapToGrid/>
              <w:spacing w:line="400" w:lineRule="exact"/>
              <w:ind w:left="0" w:leftChars="0" w:firstLine="0" w:firstLineChars="0"/>
              <w:jc w:val="center"/>
              <w:textAlignment w:val="auto"/>
              <w:rPr>
                <w:rFonts w:hint="eastAsia" w:ascii="宋体" w:hAnsi="宋体" w:eastAsia="宋体" w:cs="宋体"/>
                <w:b/>
                <w:bCs/>
                <w:color w:val="auto"/>
                <w:kern w:val="0"/>
                <w:sz w:val="21"/>
                <w:szCs w:val="21"/>
                <w:highlight w:val="none"/>
              </w:rPr>
            </w:pPr>
            <w:r>
              <w:rPr>
                <w:rFonts w:hint="eastAsia" w:ascii="宋体" w:hAnsi="宋体" w:eastAsia="宋体" w:cs="宋体"/>
                <w:b/>
                <w:bCs/>
                <w:color w:val="auto"/>
                <w:kern w:val="0"/>
                <w:sz w:val="21"/>
                <w:szCs w:val="21"/>
                <w:highlight w:val="none"/>
              </w:rPr>
              <w:t>序号</w:t>
            </w:r>
          </w:p>
        </w:tc>
        <w:tc>
          <w:tcPr>
            <w:tcW w:w="1026" w:type="pct"/>
            <w:tcBorders>
              <w:top w:val="single" w:color="CBCDD1" w:sz="8" w:space="0"/>
              <w:left w:val="nil"/>
              <w:bottom w:val="single" w:color="CBCDD1" w:sz="8" w:space="0"/>
              <w:right w:val="single" w:color="CBCDD1" w:sz="8" w:space="0"/>
            </w:tcBorders>
            <w:shd w:val="clear" w:color="000000" w:fill="DEEAF6"/>
            <w:noWrap w:val="0"/>
            <w:vAlign w:val="center"/>
          </w:tcPr>
          <w:p w14:paraId="3EAC794F">
            <w:pPr>
              <w:pageBreakBefore w:val="0"/>
              <w:widowControl/>
              <w:kinsoku/>
              <w:wordWrap/>
              <w:overflowPunct/>
              <w:topLinePunct w:val="0"/>
              <w:autoSpaceDE/>
              <w:autoSpaceDN/>
              <w:bidi w:val="0"/>
              <w:adjustRightInd/>
              <w:snapToGrid/>
              <w:spacing w:line="400" w:lineRule="exact"/>
              <w:ind w:left="0" w:leftChars="0" w:firstLine="0" w:firstLineChars="0"/>
              <w:jc w:val="center"/>
              <w:textAlignment w:val="auto"/>
              <w:rPr>
                <w:rFonts w:hint="eastAsia" w:ascii="宋体" w:hAnsi="宋体" w:eastAsia="宋体" w:cs="宋体"/>
                <w:b/>
                <w:bCs/>
                <w:color w:val="auto"/>
                <w:kern w:val="0"/>
                <w:sz w:val="21"/>
                <w:szCs w:val="21"/>
                <w:highlight w:val="none"/>
              </w:rPr>
            </w:pPr>
            <w:r>
              <w:rPr>
                <w:rFonts w:hint="eastAsia" w:ascii="宋体" w:hAnsi="宋体" w:eastAsia="宋体" w:cs="宋体"/>
                <w:b/>
                <w:bCs/>
                <w:color w:val="auto"/>
                <w:kern w:val="0"/>
                <w:sz w:val="21"/>
                <w:szCs w:val="21"/>
                <w:highlight w:val="none"/>
              </w:rPr>
              <w:t>系统任务</w:t>
            </w:r>
          </w:p>
        </w:tc>
        <w:tc>
          <w:tcPr>
            <w:tcW w:w="1625" w:type="pct"/>
            <w:tcBorders>
              <w:top w:val="single" w:color="CBCDD1" w:sz="8" w:space="0"/>
              <w:left w:val="nil"/>
              <w:bottom w:val="single" w:color="CBCDD1" w:sz="8" w:space="0"/>
              <w:right w:val="single" w:color="CBCDD1" w:sz="8" w:space="0"/>
            </w:tcBorders>
            <w:shd w:val="clear" w:color="000000" w:fill="DEEAF6"/>
            <w:noWrap w:val="0"/>
            <w:vAlign w:val="center"/>
          </w:tcPr>
          <w:p w14:paraId="030F21EC">
            <w:pPr>
              <w:pageBreakBefore w:val="0"/>
              <w:widowControl/>
              <w:kinsoku/>
              <w:wordWrap/>
              <w:overflowPunct/>
              <w:topLinePunct w:val="0"/>
              <w:autoSpaceDE/>
              <w:autoSpaceDN/>
              <w:bidi w:val="0"/>
              <w:adjustRightInd/>
              <w:snapToGrid/>
              <w:spacing w:line="400" w:lineRule="exact"/>
              <w:ind w:left="0" w:leftChars="0" w:firstLine="0" w:firstLineChars="0"/>
              <w:jc w:val="center"/>
              <w:textAlignment w:val="auto"/>
              <w:rPr>
                <w:rFonts w:hint="eastAsia" w:ascii="宋体" w:hAnsi="宋体" w:eastAsia="宋体" w:cs="宋体"/>
                <w:b/>
                <w:bCs/>
                <w:color w:val="auto"/>
                <w:kern w:val="0"/>
                <w:sz w:val="21"/>
                <w:szCs w:val="21"/>
                <w:highlight w:val="none"/>
              </w:rPr>
            </w:pPr>
            <w:r>
              <w:rPr>
                <w:rFonts w:hint="eastAsia" w:ascii="宋体" w:hAnsi="宋体" w:eastAsia="宋体" w:cs="宋体"/>
                <w:b/>
                <w:bCs/>
                <w:color w:val="auto"/>
                <w:kern w:val="0"/>
                <w:sz w:val="21"/>
                <w:szCs w:val="21"/>
                <w:highlight w:val="none"/>
              </w:rPr>
              <w:t>一级模块/建设内容</w:t>
            </w:r>
          </w:p>
        </w:tc>
        <w:tc>
          <w:tcPr>
            <w:tcW w:w="1842" w:type="pct"/>
            <w:tcBorders>
              <w:top w:val="single" w:color="CBCDD1" w:sz="8" w:space="0"/>
              <w:left w:val="nil"/>
              <w:bottom w:val="single" w:color="CBCDD1" w:sz="8" w:space="0"/>
              <w:right w:val="single" w:color="CBCDD1" w:sz="8" w:space="0"/>
            </w:tcBorders>
            <w:shd w:val="clear" w:color="000000" w:fill="DEEAF6"/>
            <w:noWrap w:val="0"/>
            <w:vAlign w:val="center"/>
          </w:tcPr>
          <w:p w14:paraId="1177D0E2">
            <w:pPr>
              <w:pageBreakBefore w:val="0"/>
              <w:widowControl/>
              <w:kinsoku/>
              <w:wordWrap/>
              <w:overflowPunct/>
              <w:topLinePunct w:val="0"/>
              <w:autoSpaceDE/>
              <w:autoSpaceDN/>
              <w:bidi w:val="0"/>
              <w:adjustRightInd/>
              <w:snapToGrid/>
              <w:spacing w:line="400" w:lineRule="exact"/>
              <w:ind w:left="0" w:leftChars="0" w:firstLine="0" w:firstLineChars="0"/>
              <w:jc w:val="center"/>
              <w:textAlignment w:val="auto"/>
              <w:rPr>
                <w:rFonts w:hint="eastAsia" w:ascii="宋体" w:hAnsi="宋体" w:eastAsia="宋体" w:cs="宋体"/>
                <w:b/>
                <w:bCs/>
                <w:color w:val="auto"/>
                <w:kern w:val="0"/>
                <w:sz w:val="21"/>
                <w:szCs w:val="21"/>
                <w:highlight w:val="none"/>
              </w:rPr>
            </w:pPr>
            <w:r>
              <w:rPr>
                <w:rFonts w:hint="eastAsia" w:ascii="宋体" w:hAnsi="宋体" w:eastAsia="宋体" w:cs="宋体"/>
                <w:b/>
                <w:bCs/>
                <w:color w:val="auto"/>
                <w:kern w:val="0"/>
                <w:sz w:val="21"/>
                <w:szCs w:val="21"/>
                <w:highlight w:val="none"/>
              </w:rPr>
              <w:t>二级模块/建设内容</w:t>
            </w:r>
          </w:p>
        </w:tc>
      </w:tr>
      <w:tr w14:paraId="2E1A87A1">
        <w:tblPrEx>
          <w:tblCellMar>
            <w:top w:w="0" w:type="dxa"/>
            <w:left w:w="108" w:type="dxa"/>
            <w:bottom w:w="0" w:type="dxa"/>
            <w:right w:w="108" w:type="dxa"/>
          </w:tblCellMar>
        </w:tblPrEx>
        <w:trPr>
          <w:trHeight w:val="480" w:hRule="atLeast"/>
        </w:trPr>
        <w:tc>
          <w:tcPr>
            <w:tcW w:w="506" w:type="pct"/>
            <w:tcBorders>
              <w:top w:val="single" w:color="CBCDD1" w:sz="8" w:space="0"/>
              <w:left w:val="single" w:color="CBCDD1" w:sz="8" w:space="0"/>
              <w:bottom w:val="single" w:color="CBCDD1" w:sz="8" w:space="0"/>
              <w:right w:val="single" w:color="CBCDD1" w:sz="8" w:space="0"/>
            </w:tcBorders>
            <w:noWrap w:val="0"/>
            <w:vAlign w:val="center"/>
          </w:tcPr>
          <w:p w14:paraId="2FF6BDE4">
            <w:pPr>
              <w:pageBreakBefore w:val="0"/>
              <w:widowControl/>
              <w:kinsoku/>
              <w:wordWrap/>
              <w:overflowPunct/>
              <w:topLinePunct w:val="0"/>
              <w:autoSpaceDE/>
              <w:autoSpaceDN/>
              <w:bidi w:val="0"/>
              <w:adjustRightInd/>
              <w:snapToGrid/>
              <w:spacing w:line="400" w:lineRule="exact"/>
              <w:ind w:left="0" w:leftChars="0" w:firstLine="0" w:firstLineChars="0"/>
              <w:jc w:val="center"/>
              <w:textAlignment w:val="auto"/>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1</w:t>
            </w:r>
          </w:p>
        </w:tc>
        <w:tc>
          <w:tcPr>
            <w:tcW w:w="1026" w:type="pct"/>
            <w:vMerge w:val="restart"/>
            <w:tcBorders>
              <w:left w:val="nil"/>
              <w:right w:val="single" w:color="CBCDD1" w:sz="8" w:space="0"/>
            </w:tcBorders>
            <w:noWrap w:val="0"/>
            <w:vAlign w:val="center"/>
          </w:tcPr>
          <w:p w14:paraId="6A96DEBA">
            <w:pPr>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运营稳定监控</w:t>
            </w:r>
          </w:p>
        </w:tc>
        <w:tc>
          <w:tcPr>
            <w:tcW w:w="1625" w:type="pct"/>
            <w:tcBorders>
              <w:top w:val="single" w:color="CBCDD1" w:sz="8" w:space="0"/>
              <w:left w:val="nil"/>
              <w:bottom w:val="single" w:color="CBCDD1" w:sz="8" w:space="0"/>
              <w:right w:val="single" w:color="CBCDD1" w:sz="8" w:space="0"/>
            </w:tcBorders>
            <w:noWrap w:val="0"/>
            <w:vAlign w:val="center"/>
          </w:tcPr>
          <w:p w14:paraId="078162EE">
            <w:pPr>
              <w:pageBreakBefore w:val="0"/>
              <w:widowControl/>
              <w:kinsoku/>
              <w:wordWrap/>
              <w:overflowPunct/>
              <w:topLinePunct w:val="0"/>
              <w:autoSpaceDE/>
              <w:autoSpaceDN/>
              <w:bidi w:val="0"/>
              <w:adjustRightInd/>
              <w:snapToGrid/>
              <w:spacing w:line="400" w:lineRule="exact"/>
              <w:ind w:left="0" w:leftChars="0" w:firstLine="0" w:firstLineChars="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运营监控工作台</w:t>
            </w:r>
          </w:p>
        </w:tc>
        <w:tc>
          <w:tcPr>
            <w:tcW w:w="1842" w:type="pct"/>
            <w:tcBorders>
              <w:top w:val="single" w:color="CBCDD1" w:sz="8" w:space="0"/>
              <w:left w:val="nil"/>
              <w:bottom w:val="single" w:color="CBCDD1" w:sz="8" w:space="0"/>
              <w:right w:val="single" w:color="CBCDD1" w:sz="8" w:space="0"/>
            </w:tcBorders>
            <w:noWrap w:val="0"/>
            <w:vAlign w:val="center"/>
          </w:tcPr>
          <w:p w14:paraId="09C53F17">
            <w:pPr>
              <w:pageBreakBefore w:val="0"/>
              <w:widowControl/>
              <w:kinsoku/>
              <w:wordWrap/>
              <w:overflowPunct/>
              <w:topLinePunct w:val="0"/>
              <w:autoSpaceDE/>
              <w:autoSpaceDN/>
              <w:bidi w:val="0"/>
              <w:adjustRightInd/>
              <w:snapToGrid/>
              <w:spacing w:line="400" w:lineRule="exact"/>
              <w:ind w:left="0" w:leftChars="0" w:firstLine="0" w:firstLineChars="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登录页面、运维工作台、应用仓库、个人中心、开发者中心、运营中心、权限中心</w:t>
            </w:r>
          </w:p>
        </w:tc>
      </w:tr>
      <w:tr w14:paraId="6E83CB29">
        <w:tblPrEx>
          <w:tblCellMar>
            <w:top w:w="0" w:type="dxa"/>
            <w:left w:w="108" w:type="dxa"/>
            <w:bottom w:w="0" w:type="dxa"/>
            <w:right w:w="108" w:type="dxa"/>
          </w:tblCellMar>
        </w:tblPrEx>
        <w:trPr>
          <w:trHeight w:val="480" w:hRule="atLeast"/>
        </w:trPr>
        <w:tc>
          <w:tcPr>
            <w:tcW w:w="506" w:type="pct"/>
            <w:tcBorders>
              <w:top w:val="single" w:color="CBCDD1" w:sz="8" w:space="0"/>
              <w:left w:val="single" w:color="CBCDD1" w:sz="8" w:space="0"/>
              <w:bottom w:val="single" w:color="CBCDD1" w:sz="8" w:space="0"/>
              <w:right w:val="single" w:color="CBCDD1" w:sz="8" w:space="0"/>
            </w:tcBorders>
            <w:noWrap w:val="0"/>
            <w:vAlign w:val="center"/>
          </w:tcPr>
          <w:p w14:paraId="2578DC4F">
            <w:pPr>
              <w:pageBreakBefore w:val="0"/>
              <w:widowControl/>
              <w:kinsoku/>
              <w:wordWrap/>
              <w:overflowPunct/>
              <w:topLinePunct w:val="0"/>
              <w:autoSpaceDE/>
              <w:autoSpaceDN/>
              <w:bidi w:val="0"/>
              <w:adjustRightInd/>
              <w:snapToGrid/>
              <w:spacing w:line="400" w:lineRule="exact"/>
              <w:ind w:left="0" w:leftChars="0" w:firstLine="0" w:firstLineChars="0"/>
              <w:jc w:val="center"/>
              <w:textAlignment w:val="auto"/>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2</w:t>
            </w:r>
          </w:p>
        </w:tc>
        <w:tc>
          <w:tcPr>
            <w:tcW w:w="1026" w:type="pct"/>
            <w:vMerge w:val="continue"/>
            <w:tcBorders>
              <w:left w:val="nil"/>
              <w:right w:val="single" w:color="CBCDD1" w:sz="8" w:space="0"/>
            </w:tcBorders>
            <w:noWrap w:val="0"/>
            <w:vAlign w:val="center"/>
          </w:tcPr>
          <w:p w14:paraId="6E5A978E">
            <w:pPr>
              <w:pageBreakBefore w:val="0"/>
              <w:widowControl/>
              <w:kinsoku/>
              <w:wordWrap/>
              <w:overflowPunct/>
              <w:topLinePunct w:val="0"/>
              <w:autoSpaceDE/>
              <w:autoSpaceDN/>
              <w:bidi w:val="0"/>
              <w:adjustRightInd/>
              <w:snapToGrid/>
              <w:spacing w:line="400" w:lineRule="exact"/>
              <w:ind w:left="0" w:leftChars="0" w:firstLine="0" w:firstLineChars="0"/>
              <w:jc w:val="center"/>
              <w:textAlignment w:val="auto"/>
              <w:rPr>
                <w:rFonts w:hint="eastAsia" w:ascii="宋体" w:hAnsi="宋体" w:eastAsia="宋体" w:cs="宋体"/>
                <w:b/>
                <w:bCs/>
                <w:color w:val="auto"/>
                <w:kern w:val="0"/>
                <w:sz w:val="21"/>
                <w:szCs w:val="21"/>
                <w:highlight w:val="none"/>
              </w:rPr>
            </w:pPr>
          </w:p>
        </w:tc>
        <w:tc>
          <w:tcPr>
            <w:tcW w:w="1625" w:type="pct"/>
            <w:tcBorders>
              <w:top w:val="single" w:color="CBCDD1" w:sz="8" w:space="0"/>
              <w:left w:val="nil"/>
              <w:bottom w:val="single" w:color="CBCDD1" w:sz="8" w:space="0"/>
              <w:right w:val="single" w:color="CBCDD1" w:sz="8" w:space="0"/>
            </w:tcBorders>
            <w:noWrap w:val="0"/>
            <w:vAlign w:val="center"/>
          </w:tcPr>
          <w:p w14:paraId="041CC1C1">
            <w:pPr>
              <w:pStyle w:val="6"/>
              <w:pageBreakBefore w:val="0"/>
              <w:widowControl/>
              <w:kinsoku/>
              <w:wordWrap/>
              <w:overflowPunct/>
              <w:topLinePunct w:val="0"/>
              <w:autoSpaceDE/>
              <w:autoSpaceDN/>
              <w:bidi w:val="0"/>
              <w:adjustRightInd/>
              <w:snapToGrid/>
              <w:spacing w:line="400" w:lineRule="exact"/>
              <w:ind w:left="0" w:leftChars="0" w:firstLine="0" w:firstLineChars="0"/>
              <w:jc w:val="center"/>
              <w:textAlignment w:val="auto"/>
              <w:rPr>
                <w:rFonts w:hint="eastAsia" w:ascii="宋体" w:hAnsi="宋体" w:eastAsia="宋体" w:cs="宋体"/>
                <w:color w:val="auto"/>
                <w:kern w:val="0"/>
                <w:sz w:val="21"/>
                <w:szCs w:val="21"/>
                <w:highlight w:val="none"/>
              </w:rPr>
            </w:pPr>
            <w:r>
              <w:rPr>
                <w:rFonts w:hint="eastAsia" w:ascii="宋体" w:hAnsi="宋体" w:eastAsia="宋体" w:cs="宋体"/>
                <w:b w:val="0"/>
                <w:color w:val="auto"/>
                <w:sz w:val="21"/>
                <w:szCs w:val="21"/>
                <w:highlight w:val="none"/>
              </w:rPr>
              <w:t>浏览器监控</w:t>
            </w:r>
          </w:p>
        </w:tc>
        <w:tc>
          <w:tcPr>
            <w:tcW w:w="1842" w:type="pct"/>
            <w:tcBorders>
              <w:top w:val="single" w:color="CBCDD1" w:sz="8" w:space="0"/>
              <w:left w:val="nil"/>
              <w:bottom w:val="single" w:color="CBCDD1" w:sz="8" w:space="0"/>
              <w:right w:val="single" w:color="CBCDD1" w:sz="8" w:space="0"/>
            </w:tcBorders>
            <w:noWrap w:val="0"/>
            <w:vAlign w:val="center"/>
          </w:tcPr>
          <w:p w14:paraId="0CFA5D80">
            <w:pPr>
              <w:pageBreakBefore w:val="0"/>
              <w:widowControl/>
              <w:kinsoku/>
              <w:wordWrap/>
              <w:overflowPunct/>
              <w:topLinePunct w:val="0"/>
              <w:autoSpaceDE/>
              <w:autoSpaceDN/>
              <w:bidi w:val="0"/>
              <w:adjustRightInd/>
              <w:snapToGrid/>
              <w:spacing w:line="400" w:lineRule="exact"/>
              <w:ind w:left="0" w:leftChars="0" w:firstLine="0" w:firstLineChars="0"/>
              <w:jc w:val="left"/>
              <w:textAlignment w:val="auto"/>
              <w:rPr>
                <w:rFonts w:hint="eastAsia" w:ascii="宋体" w:hAnsi="宋体" w:eastAsia="宋体" w:cs="宋体"/>
                <w:color w:val="auto"/>
                <w:kern w:val="0"/>
                <w:sz w:val="21"/>
                <w:szCs w:val="21"/>
                <w:highlight w:val="none"/>
              </w:rPr>
            </w:pPr>
            <w:r>
              <w:rPr>
                <w:rFonts w:hint="eastAsia" w:ascii="宋体" w:hAnsi="宋体" w:eastAsia="宋体" w:cs="宋体"/>
                <w:color w:val="auto"/>
                <w:sz w:val="21"/>
                <w:szCs w:val="21"/>
                <w:highlight w:val="none"/>
                <w:lang w:bidi="ar"/>
              </w:rPr>
              <w:t>系统感知总览、页面性能分析、页面详情查询、页面弹窗分析、页面请求分析、页面错误分析、用户稽核、用户轨迹、前端告警查询、前端告警配置、运营分析、数据采集</w:t>
            </w:r>
          </w:p>
        </w:tc>
      </w:tr>
      <w:tr w14:paraId="19DB1F67">
        <w:tblPrEx>
          <w:tblCellMar>
            <w:top w:w="0" w:type="dxa"/>
            <w:left w:w="108" w:type="dxa"/>
            <w:bottom w:w="0" w:type="dxa"/>
            <w:right w:w="108" w:type="dxa"/>
          </w:tblCellMar>
        </w:tblPrEx>
        <w:trPr>
          <w:trHeight w:val="480" w:hRule="atLeast"/>
        </w:trPr>
        <w:tc>
          <w:tcPr>
            <w:tcW w:w="506" w:type="pct"/>
            <w:tcBorders>
              <w:top w:val="single" w:color="CBCDD1" w:sz="8" w:space="0"/>
              <w:left w:val="single" w:color="CBCDD1" w:sz="8" w:space="0"/>
              <w:bottom w:val="single" w:color="CBCDD1" w:sz="8" w:space="0"/>
              <w:right w:val="single" w:color="CBCDD1" w:sz="8" w:space="0"/>
            </w:tcBorders>
            <w:noWrap w:val="0"/>
            <w:vAlign w:val="center"/>
          </w:tcPr>
          <w:p w14:paraId="2DBD4BC9">
            <w:pPr>
              <w:pageBreakBefore w:val="0"/>
              <w:widowControl/>
              <w:kinsoku/>
              <w:wordWrap/>
              <w:overflowPunct/>
              <w:topLinePunct w:val="0"/>
              <w:autoSpaceDE/>
              <w:autoSpaceDN/>
              <w:bidi w:val="0"/>
              <w:adjustRightInd/>
              <w:snapToGrid/>
              <w:spacing w:line="400" w:lineRule="exact"/>
              <w:ind w:left="0" w:leftChars="0" w:firstLine="0" w:firstLineChars="0"/>
              <w:jc w:val="center"/>
              <w:textAlignment w:val="auto"/>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3</w:t>
            </w:r>
          </w:p>
        </w:tc>
        <w:tc>
          <w:tcPr>
            <w:tcW w:w="1026" w:type="pct"/>
            <w:vMerge w:val="continue"/>
            <w:tcBorders>
              <w:left w:val="nil"/>
              <w:right w:val="single" w:color="CBCDD1" w:sz="8" w:space="0"/>
            </w:tcBorders>
            <w:noWrap w:val="0"/>
            <w:vAlign w:val="center"/>
          </w:tcPr>
          <w:p w14:paraId="66E36A1C">
            <w:pPr>
              <w:pageBreakBefore w:val="0"/>
              <w:widowControl/>
              <w:kinsoku/>
              <w:wordWrap/>
              <w:overflowPunct/>
              <w:topLinePunct w:val="0"/>
              <w:autoSpaceDE/>
              <w:autoSpaceDN/>
              <w:bidi w:val="0"/>
              <w:adjustRightInd/>
              <w:snapToGrid/>
              <w:spacing w:line="400" w:lineRule="exact"/>
              <w:ind w:left="0" w:leftChars="0" w:firstLine="0" w:firstLineChars="0"/>
              <w:jc w:val="center"/>
              <w:textAlignment w:val="auto"/>
              <w:rPr>
                <w:rFonts w:hint="eastAsia" w:ascii="宋体" w:hAnsi="宋体" w:eastAsia="宋体" w:cs="宋体"/>
                <w:b/>
                <w:bCs/>
                <w:color w:val="auto"/>
                <w:kern w:val="0"/>
                <w:sz w:val="21"/>
                <w:szCs w:val="21"/>
                <w:highlight w:val="none"/>
              </w:rPr>
            </w:pPr>
          </w:p>
        </w:tc>
        <w:tc>
          <w:tcPr>
            <w:tcW w:w="1625" w:type="pct"/>
            <w:tcBorders>
              <w:top w:val="single" w:color="CBCDD1" w:sz="8" w:space="0"/>
              <w:left w:val="nil"/>
              <w:bottom w:val="single" w:color="CBCDD1" w:sz="8" w:space="0"/>
              <w:right w:val="single" w:color="CBCDD1" w:sz="8" w:space="0"/>
            </w:tcBorders>
            <w:noWrap w:val="0"/>
            <w:vAlign w:val="center"/>
          </w:tcPr>
          <w:p w14:paraId="6BC48A54">
            <w:pPr>
              <w:pageBreakBefore w:val="0"/>
              <w:widowControl/>
              <w:kinsoku/>
              <w:wordWrap/>
              <w:overflowPunct/>
              <w:topLinePunct w:val="0"/>
              <w:autoSpaceDE/>
              <w:autoSpaceDN/>
              <w:bidi w:val="0"/>
              <w:adjustRightInd/>
              <w:snapToGrid/>
              <w:spacing w:line="400" w:lineRule="exact"/>
              <w:ind w:left="0" w:leftChars="0" w:firstLine="0" w:firstLineChars="0"/>
              <w:jc w:val="center"/>
              <w:textAlignment w:val="auto"/>
              <w:rPr>
                <w:rFonts w:hint="eastAsia" w:ascii="宋体" w:hAnsi="宋体" w:eastAsia="宋体" w:cs="宋体"/>
                <w:color w:val="auto"/>
                <w:kern w:val="0"/>
                <w:sz w:val="21"/>
                <w:szCs w:val="21"/>
                <w:highlight w:val="none"/>
              </w:rPr>
            </w:pPr>
            <w:r>
              <w:rPr>
                <w:rFonts w:hint="eastAsia" w:ascii="宋体" w:hAnsi="宋体" w:eastAsia="宋体" w:cs="宋体"/>
                <w:color w:val="auto"/>
                <w:sz w:val="21"/>
                <w:szCs w:val="21"/>
                <w:highlight w:val="none"/>
              </w:rPr>
              <w:t>全链路调用链</w:t>
            </w:r>
          </w:p>
        </w:tc>
        <w:tc>
          <w:tcPr>
            <w:tcW w:w="1842" w:type="pct"/>
            <w:tcBorders>
              <w:top w:val="single" w:color="CBCDD1" w:sz="8" w:space="0"/>
              <w:left w:val="nil"/>
              <w:bottom w:val="single" w:color="CBCDD1" w:sz="8" w:space="0"/>
              <w:right w:val="single" w:color="CBCDD1" w:sz="8" w:space="0"/>
            </w:tcBorders>
            <w:noWrap w:val="0"/>
            <w:vAlign w:val="center"/>
          </w:tcPr>
          <w:p w14:paraId="606E1EC8">
            <w:pPr>
              <w:pageBreakBefore w:val="0"/>
              <w:widowControl/>
              <w:kinsoku/>
              <w:wordWrap/>
              <w:overflowPunct/>
              <w:topLinePunct w:val="0"/>
              <w:autoSpaceDE/>
              <w:autoSpaceDN/>
              <w:bidi w:val="0"/>
              <w:adjustRightInd/>
              <w:snapToGrid/>
              <w:spacing w:line="400" w:lineRule="exact"/>
              <w:ind w:left="0" w:leftChars="0" w:firstLine="0" w:firstLineChars="0"/>
              <w:jc w:val="left"/>
              <w:textAlignment w:val="auto"/>
              <w:rPr>
                <w:rFonts w:hint="eastAsia" w:ascii="宋体" w:hAnsi="宋体" w:eastAsia="宋体" w:cs="宋体"/>
                <w:color w:val="auto"/>
                <w:kern w:val="0"/>
                <w:sz w:val="21"/>
                <w:szCs w:val="21"/>
                <w:highlight w:val="none"/>
              </w:rPr>
            </w:pPr>
            <w:r>
              <w:rPr>
                <w:rFonts w:hint="eastAsia" w:ascii="宋体" w:hAnsi="宋体" w:eastAsia="宋体" w:cs="宋体"/>
                <w:color w:val="auto"/>
                <w:sz w:val="21"/>
                <w:szCs w:val="21"/>
                <w:highlight w:val="none"/>
                <w:lang w:bidi="ar"/>
              </w:rPr>
              <w:t>链路数据采集监控、链路运行总览、调用链展现、根因分析、调用链清单、应用分析、主机实例分析、TPS分析、告警配置、根因告警、告警查询、调用链业务配置、运营分析</w:t>
            </w:r>
          </w:p>
        </w:tc>
      </w:tr>
      <w:tr w14:paraId="35E1683F">
        <w:tblPrEx>
          <w:tblCellMar>
            <w:top w:w="0" w:type="dxa"/>
            <w:left w:w="108" w:type="dxa"/>
            <w:bottom w:w="0" w:type="dxa"/>
            <w:right w:w="108" w:type="dxa"/>
          </w:tblCellMar>
        </w:tblPrEx>
        <w:trPr>
          <w:trHeight w:val="480" w:hRule="atLeast"/>
        </w:trPr>
        <w:tc>
          <w:tcPr>
            <w:tcW w:w="506" w:type="pct"/>
            <w:tcBorders>
              <w:top w:val="single" w:color="CBCDD1" w:sz="8" w:space="0"/>
              <w:left w:val="single" w:color="CBCDD1" w:sz="8" w:space="0"/>
              <w:bottom w:val="single" w:color="CBCDD1" w:sz="8" w:space="0"/>
              <w:right w:val="single" w:color="CBCDD1" w:sz="8" w:space="0"/>
            </w:tcBorders>
            <w:noWrap w:val="0"/>
            <w:vAlign w:val="center"/>
          </w:tcPr>
          <w:p w14:paraId="213BA087">
            <w:pPr>
              <w:pageBreakBefore w:val="0"/>
              <w:widowControl/>
              <w:kinsoku/>
              <w:wordWrap/>
              <w:overflowPunct/>
              <w:topLinePunct w:val="0"/>
              <w:autoSpaceDE/>
              <w:autoSpaceDN/>
              <w:bidi w:val="0"/>
              <w:adjustRightInd/>
              <w:snapToGrid/>
              <w:spacing w:line="400" w:lineRule="exact"/>
              <w:ind w:left="0" w:leftChars="0" w:firstLine="0" w:firstLineChars="0"/>
              <w:jc w:val="center"/>
              <w:textAlignment w:val="auto"/>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4</w:t>
            </w:r>
          </w:p>
        </w:tc>
        <w:tc>
          <w:tcPr>
            <w:tcW w:w="1026" w:type="pct"/>
            <w:vMerge w:val="continue"/>
            <w:tcBorders>
              <w:left w:val="nil"/>
              <w:right w:val="single" w:color="CBCDD1" w:sz="8" w:space="0"/>
            </w:tcBorders>
            <w:noWrap w:val="0"/>
            <w:vAlign w:val="center"/>
          </w:tcPr>
          <w:p w14:paraId="72EB88C7">
            <w:pPr>
              <w:pageBreakBefore w:val="0"/>
              <w:widowControl/>
              <w:kinsoku/>
              <w:wordWrap/>
              <w:overflowPunct/>
              <w:topLinePunct w:val="0"/>
              <w:autoSpaceDE/>
              <w:autoSpaceDN/>
              <w:bidi w:val="0"/>
              <w:adjustRightInd/>
              <w:snapToGrid/>
              <w:spacing w:line="400" w:lineRule="exact"/>
              <w:ind w:left="0" w:leftChars="0" w:firstLine="0" w:firstLineChars="0"/>
              <w:jc w:val="center"/>
              <w:textAlignment w:val="auto"/>
              <w:rPr>
                <w:rFonts w:hint="eastAsia" w:ascii="宋体" w:hAnsi="宋体" w:eastAsia="宋体" w:cs="宋体"/>
                <w:b/>
                <w:bCs/>
                <w:color w:val="auto"/>
                <w:kern w:val="0"/>
                <w:sz w:val="21"/>
                <w:szCs w:val="21"/>
                <w:highlight w:val="none"/>
              </w:rPr>
            </w:pPr>
          </w:p>
        </w:tc>
        <w:tc>
          <w:tcPr>
            <w:tcW w:w="1625" w:type="pct"/>
            <w:tcBorders>
              <w:top w:val="single" w:color="CBCDD1" w:sz="8" w:space="0"/>
              <w:left w:val="nil"/>
              <w:bottom w:val="single" w:color="CBCDD1" w:sz="8" w:space="0"/>
              <w:right w:val="single" w:color="CBCDD1" w:sz="8" w:space="0"/>
            </w:tcBorders>
            <w:noWrap w:val="0"/>
            <w:vAlign w:val="center"/>
          </w:tcPr>
          <w:p w14:paraId="4123BE24">
            <w:pPr>
              <w:pageBreakBefore w:val="0"/>
              <w:widowControl/>
              <w:kinsoku/>
              <w:wordWrap/>
              <w:overflowPunct/>
              <w:topLinePunct w:val="0"/>
              <w:autoSpaceDE/>
              <w:autoSpaceDN/>
              <w:bidi w:val="0"/>
              <w:adjustRightInd/>
              <w:snapToGrid/>
              <w:spacing w:line="400" w:lineRule="exact"/>
              <w:ind w:left="0" w:leftChars="0" w:firstLine="0" w:firstLineChars="0"/>
              <w:jc w:val="center"/>
              <w:textAlignment w:val="auto"/>
              <w:rPr>
                <w:rFonts w:hint="eastAsia" w:ascii="宋体" w:hAnsi="宋体" w:eastAsia="宋体" w:cs="宋体"/>
                <w:color w:val="auto"/>
                <w:kern w:val="0"/>
                <w:sz w:val="21"/>
                <w:szCs w:val="21"/>
                <w:highlight w:val="none"/>
              </w:rPr>
            </w:pPr>
            <w:r>
              <w:rPr>
                <w:rFonts w:hint="eastAsia" w:ascii="宋体" w:hAnsi="宋体" w:eastAsia="宋体" w:cs="宋体"/>
                <w:color w:val="auto"/>
                <w:sz w:val="21"/>
                <w:szCs w:val="21"/>
                <w:highlight w:val="none"/>
              </w:rPr>
              <w:t>智能监控告警能力</w:t>
            </w:r>
          </w:p>
        </w:tc>
        <w:tc>
          <w:tcPr>
            <w:tcW w:w="1842" w:type="pct"/>
            <w:tcBorders>
              <w:top w:val="single" w:color="CBCDD1" w:sz="8" w:space="0"/>
              <w:left w:val="nil"/>
              <w:bottom w:val="single" w:color="CBCDD1" w:sz="8" w:space="0"/>
              <w:right w:val="single" w:color="CBCDD1" w:sz="8" w:space="0"/>
            </w:tcBorders>
            <w:noWrap w:val="0"/>
            <w:vAlign w:val="center"/>
          </w:tcPr>
          <w:p w14:paraId="0408D4A2">
            <w:pPr>
              <w:pStyle w:val="6"/>
              <w:pageBreakBefore w:val="0"/>
              <w:numPr>
                <w:ilvl w:val="3"/>
                <w:numId w:val="0"/>
              </w:numPr>
              <w:kinsoku/>
              <w:wordWrap/>
              <w:overflowPunct/>
              <w:topLinePunct w:val="0"/>
              <w:autoSpaceDE/>
              <w:autoSpaceDN/>
              <w:bidi w:val="0"/>
              <w:adjustRightInd/>
              <w:snapToGrid/>
              <w:spacing w:line="400" w:lineRule="exact"/>
              <w:ind w:left="0" w:leftChars="0" w:firstLine="0" w:firstLineChars="0"/>
              <w:jc w:val="left"/>
              <w:textAlignment w:val="auto"/>
              <w:rPr>
                <w:rFonts w:hint="eastAsia" w:ascii="宋体" w:hAnsi="宋体" w:eastAsia="宋体" w:cs="宋体"/>
                <w:color w:val="auto"/>
                <w:kern w:val="0"/>
                <w:sz w:val="21"/>
                <w:szCs w:val="21"/>
                <w:highlight w:val="none"/>
              </w:rPr>
            </w:pPr>
            <w:r>
              <w:rPr>
                <w:rFonts w:hint="eastAsia" w:ascii="宋体" w:hAnsi="宋体" w:eastAsia="宋体" w:cs="宋体"/>
                <w:b w:val="0"/>
                <w:color w:val="auto"/>
                <w:sz w:val="21"/>
                <w:szCs w:val="21"/>
                <w:highlight w:val="none"/>
              </w:rPr>
              <w:t>系统监控总览、指标采集、告警配置、静默配置、告警闭环管理、告警查询、订阅查询、操作记录、值班管理、运营看板</w:t>
            </w:r>
          </w:p>
        </w:tc>
      </w:tr>
      <w:tr w14:paraId="3ACF5494">
        <w:tblPrEx>
          <w:tblCellMar>
            <w:top w:w="0" w:type="dxa"/>
            <w:left w:w="108" w:type="dxa"/>
            <w:bottom w:w="0" w:type="dxa"/>
            <w:right w:w="108" w:type="dxa"/>
          </w:tblCellMar>
        </w:tblPrEx>
        <w:trPr>
          <w:trHeight w:val="480" w:hRule="atLeast"/>
        </w:trPr>
        <w:tc>
          <w:tcPr>
            <w:tcW w:w="506" w:type="pct"/>
            <w:tcBorders>
              <w:top w:val="single" w:color="CBCDD1" w:sz="8" w:space="0"/>
              <w:left w:val="single" w:color="CBCDD1" w:sz="8" w:space="0"/>
              <w:bottom w:val="single" w:color="CBCDD1" w:sz="8" w:space="0"/>
              <w:right w:val="single" w:color="CBCDD1" w:sz="8" w:space="0"/>
            </w:tcBorders>
            <w:noWrap w:val="0"/>
            <w:vAlign w:val="center"/>
          </w:tcPr>
          <w:p w14:paraId="7C75F4AD">
            <w:pPr>
              <w:pageBreakBefore w:val="0"/>
              <w:widowControl/>
              <w:kinsoku/>
              <w:wordWrap/>
              <w:overflowPunct/>
              <w:topLinePunct w:val="0"/>
              <w:autoSpaceDE/>
              <w:autoSpaceDN/>
              <w:bidi w:val="0"/>
              <w:adjustRightInd/>
              <w:snapToGrid/>
              <w:spacing w:line="400" w:lineRule="exact"/>
              <w:ind w:left="0" w:leftChars="0" w:firstLine="0" w:firstLineChars="0"/>
              <w:jc w:val="center"/>
              <w:textAlignment w:val="auto"/>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5</w:t>
            </w:r>
          </w:p>
        </w:tc>
        <w:tc>
          <w:tcPr>
            <w:tcW w:w="1026" w:type="pct"/>
            <w:vMerge w:val="continue"/>
            <w:tcBorders>
              <w:left w:val="nil"/>
              <w:right w:val="single" w:color="CBCDD1" w:sz="8" w:space="0"/>
            </w:tcBorders>
            <w:noWrap w:val="0"/>
            <w:vAlign w:val="center"/>
          </w:tcPr>
          <w:p w14:paraId="4208C6C9">
            <w:pPr>
              <w:pageBreakBefore w:val="0"/>
              <w:widowControl/>
              <w:kinsoku/>
              <w:wordWrap/>
              <w:overflowPunct/>
              <w:topLinePunct w:val="0"/>
              <w:autoSpaceDE/>
              <w:autoSpaceDN/>
              <w:bidi w:val="0"/>
              <w:adjustRightInd/>
              <w:snapToGrid/>
              <w:spacing w:line="400" w:lineRule="exact"/>
              <w:ind w:left="0" w:leftChars="0" w:firstLine="0" w:firstLineChars="0"/>
              <w:jc w:val="center"/>
              <w:textAlignment w:val="auto"/>
              <w:rPr>
                <w:rFonts w:hint="eastAsia" w:ascii="宋体" w:hAnsi="宋体" w:eastAsia="宋体" w:cs="宋体"/>
                <w:b/>
                <w:bCs/>
                <w:color w:val="auto"/>
                <w:kern w:val="0"/>
                <w:sz w:val="21"/>
                <w:szCs w:val="21"/>
                <w:highlight w:val="none"/>
              </w:rPr>
            </w:pPr>
          </w:p>
        </w:tc>
        <w:tc>
          <w:tcPr>
            <w:tcW w:w="1625" w:type="pct"/>
            <w:tcBorders>
              <w:top w:val="single" w:color="CBCDD1" w:sz="8" w:space="0"/>
              <w:left w:val="nil"/>
              <w:bottom w:val="single" w:color="CBCDD1" w:sz="8" w:space="0"/>
              <w:right w:val="single" w:color="CBCDD1" w:sz="8" w:space="0"/>
            </w:tcBorders>
            <w:noWrap w:val="0"/>
            <w:vAlign w:val="center"/>
          </w:tcPr>
          <w:p w14:paraId="221EFDAE">
            <w:pPr>
              <w:pageBreakBefore w:val="0"/>
              <w:widowControl/>
              <w:kinsoku/>
              <w:wordWrap/>
              <w:overflowPunct/>
              <w:topLinePunct w:val="0"/>
              <w:autoSpaceDE/>
              <w:autoSpaceDN/>
              <w:bidi w:val="0"/>
              <w:adjustRightInd/>
              <w:snapToGrid/>
              <w:spacing w:line="400" w:lineRule="exact"/>
              <w:ind w:left="0" w:leftChars="0" w:firstLine="0" w:firstLineChars="0"/>
              <w:jc w:val="center"/>
              <w:textAlignment w:val="auto"/>
              <w:rPr>
                <w:rFonts w:hint="eastAsia" w:ascii="宋体" w:hAnsi="宋体" w:eastAsia="宋体" w:cs="宋体"/>
                <w:color w:val="auto"/>
                <w:kern w:val="0"/>
                <w:sz w:val="21"/>
                <w:szCs w:val="21"/>
                <w:highlight w:val="none"/>
              </w:rPr>
            </w:pPr>
            <w:r>
              <w:rPr>
                <w:rFonts w:hint="eastAsia" w:ascii="宋体" w:hAnsi="宋体" w:eastAsia="宋体" w:cs="宋体"/>
                <w:color w:val="auto"/>
                <w:sz w:val="21"/>
                <w:szCs w:val="21"/>
                <w:highlight w:val="none"/>
              </w:rPr>
              <w:t>自动化巡检</w:t>
            </w:r>
          </w:p>
        </w:tc>
        <w:tc>
          <w:tcPr>
            <w:tcW w:w="1842" w:type="pct"/>
            <w:tcBorders>
              <w:top w:val="single" w:color="CBCDD1" w:sz="8" w:space="0"/>
              <w:left w:val="nil"/>
              <w:bottom w:val="single" w:color="CBCDD1" w:sz="8" w:space="0"/>
              <w:right w:val="single" w:color="CBCDD1" w:sz="8" w:space="0"/>
            </w:tcBorders>
            <w:noWrap w:val="0"/>
            <w:vAlign w:val="center"/>
          </w:tcPr>
          <w:p w14:paraId="6AD70DE7">
            <w:pPr>
              <w:pStyle w:val="9"/>
              <w:pageBreakBefore w:val="0"/>
              <w:widowControl/>
              <w:kinsoku/>
              <w:wordWrap/>
              <w:overflowPunct/>
              <w:topLinePunct w:val="0"/>
              <w:autoSpaceDE/>
              <w:autoSpaceDN/>
              <w:bidi w:val="0"/>
              <w:adjustRightInd/>
              <w:snapToGrid/>
              <w:spacing w:line="400" w:lineRule="exact"/>
              <w:ind w:left="0" w:leftChars="0" w:firstLine="0" w:firstLineChars="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巡检总览、巡检数据管理、接口巡检管理、UI巡检管理、计划管理、巡检报告、告警管理</w:t>
            </w:r>
          </w:p>
        </w:tc>
      </w:tr>
      <w:tr w14:paraId="3FD0C6AA">
        <w:tblPrEx>
          <w:tblCellMar>
            <w:top w:w="0" w:type="dxa"/>
            <w:left w:w="108" w:type="dxa"/>
            <w:bottom w:w="0" w:type="dxa"/>
            <w:right w:w="108" w:type="dxa"/>
          </w:tblCellMar>
        </w:tblPrEx>
        <w:trPr>
          <w:trHeight w:val="480" w:hRule="atLeast"/>
        </w:trPr>
        <w:tc>
          <w:tcPr>
            <w:tcW w:w="506" w:type="pct"/>
            <w:tcBorders>
              <w:top w:val="single" w:color="CBCDD1" w:sz="8" w:space="0"/>
              <w:left w:val="single" w:color="CBCDD1" w:sz="8" w:space="0"/>
              <w:bottom w:val="single" w:color="CBCDD1" w:sz="8" w:space="0"/>
              <w:right w:val="single" w:color="CBCDD1" w:sz="8" w:space="0"/>
            </w:tcBorders>
            <w:noWrap w:val="0"/>
            <w:vAlign w:val="center"/>
          </w:tcPr>
          <w:p w14:paraId="794FFBD6">
            <w:pPr>
              <w:pageBreakBefore w:val="0"/>
              <w:widowControl/>
              <w:kinsoku/>
              <w:wordWrap/>
              <w:overflowPunct/>
              <w:topLinePunct w:val="0"/>
              <w:autoSpaceDE/>
              <w:autoSpaceDN/>
              <w:bidi w:val="0"/>
              <w:adjustRightInd/>
              <w:snapToGrid/>
              <w:spacing w:line="400" w:lineRule="exact"/>
              <w:ind w:left="0" w:leftChars="0" w:firstLine="0" w:firstLineChars="0"/>
              <w:jc w:val="center"/>
              <w:textAlignment w:val="auto"/>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6</w:t>
            </w:r>
          </w:p>
        </w:tc>
        <w:tc>
          <w:tcPr>
            <w:tcW w:w="1026" w:type="pct"/>
            <w:vMerge w:val="continue"/>
            <w:tcBorders>
              <w:left w:val="nil"/>
              <w:right w:val="single" w:color="CBCDD1" w:sz="8" w:space="0"/>
            </w:tcBorders>
            <w:noWrap w:val="0"/>
            <w:vAlign w:val="center"/>
          </w:tcPr>
          <w:p w14:paraId="4F57EE21">
            <w:pPr>
              <w:pageBreakBefore w:val="0"/>
              <w:widowControl/>
              <w:kinsoku/>
              <w:wordWrap/>
              <w:overflowPunct/>
              <w:topLinePunct w:val="0"/>
              <w:autoSpaceDE/>
              <w:autoSpaceDN/>
              <w:bidi w:val="0"/>
              <w:adjustRightInd/>
              <w:snapToGrid/>
              <w:spacing w:line="400" w:lineRule="exact"/>
              <w:ind w:left="0" w:leftChars="0" w:firstLine="0" w:firstLineChars="0"/>
              <w:jc w:val="center"/>
              <w:textAlignment w:val="auto"/>
              <w:rPr>
                <w:rFonts w:hint="eastAsia" w:ascii="宋体" w:hAnsi="宋体" w:eastAsia="宋体" w:cs="宋体"/>
                <w:b/>
                <w:bCs/>
                <w:color w:val="auto"/>
                <w:kern w:val="0"/>
                <w:sz w:val="21"/>
                <w:szCs w:val="21"/>
                <w:highlight w:val="none"/>
              </w:rPr>
            </w:pPr>
          </w:p>
        </w:tc>
        <w:tc>
          <w:tcPr>
            <w:tcW w:w="1625" w:type="pct"/>
            <w:tcBorders>
              <w:top w:val="single" w:color="CBCDD1" w:sz="8" w:space="0"/>
              <w:left w:val="nil"/>
              <w:bottom w:val="single" w:color="CBCDD1" w:sz="8" w:space="0"/>
              <w:right w:val="single" w:color="CBCDD1" w:sz="8" w:space="0"/>
            </w:tcBorders>
            <w:noWrap w:val="0"/>
            <w:vAlign w:val="center"/>
          </w:tcPr>
          <w:p w14:paraId="4E36F877">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textAlignment w:val="auto"/>
              <w:outlineLvl w:val="9"/>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日志中心</w:t>
            </w:r>
          </w:p>
        </w:tc>
        <w:tc>
          <w:tcPr>
            <w:tcW w:w="1842" w:type="pct"/>
            <w:tcBorders>
              <w:top w:val="single" w:color="CBCDD1" w:sz="8" w:space="0"/>
              <w:left w:val="nil"/>
              <w:bottom w:val="single" w:color="CBCDD1" w:sz="8" w:space="0"/>
              <w:right w:val="single" w:color="CBCDD1" w:sz="8" w:space="0"/>
            </w:tcBorders>
            <w:noWrap w:val="0"/>
            <w:vAlign w:val="center"/>
          </w:tcPr>
          <w:p w14:paraId="25BB489F">
            <w:pPr>
              <w:pStyle w:val="9"/>
              <w:pageBreakBefore w:val="0"/>
              <w:kinsoku/>
              <w:wordWrap/>
              <w:overflowPunct/>
              <w:topLinePunct w:val="0"/>
              <w:autoSpaceDE/>
              <w:autoSpaceDN/>
              <w:bidi w:val="0"/>
              <w:adjustRightInd/>
              <w:snapToGrid/>
              <w:spacing w:line="400" w:lineRule="exact"/>
              <w:ind w:left="0" w:leftChars="0" w:firstLine="0" w:firstLineChars="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采集管理、Agent管理、数据开发、数据资产、主机管理、日志查询、日志监控、异常检测、异常检测总览、运维管理</w:t>
            </w:r>
          </w:p>
        </w:tc>
      </w:tr>
      <w:tr w14:paraId="56E41CFC">
        <w:tblPrEx>
          <w:tblCellMar>
            <w:top w:w="0" w:type="dxa"/>
            <w:left w:w="108" w:type="dxa"/>
            <w:bottom w:w="0" w:type="dxa"/>
            <w:right w:w="108" w:type="dxa"/>
          </w:tblCellMar>
        </w:tblPrEx>
        <w:trPr>
          <w:trHeight w:val="90" w:hRule="atLeast"/>
        </w:trPr>
        <w:tc>
          <w:tcPr>
            <w:tcW w:w="506" w:type="pct"/>
            <w:tcBorders>
              <w:top w:val="single" w:color="CBCDD1" w:sz="8" w:space="0"/>
              <w:left w:val="single" w:color="CBCDD1" w:sz="8" w:space="0"/>
              <w:bottom w:val="single" w:color="CBCDD1" w:sz="8" w:space="0"/>
              <w:right w:val="single" w:color="CBCDD1" w:sz="8" w:space="0"/>
            </w:tcBorders>
            <w:noWrap w:val="0"/>
            <w:vAlign w:val="center"/>
          </w:tcPr>
          <w:p w14:paraId="5D146D83">
            <w:pPr>
              <w:pageBreakBefore w:val="0"/>
              <w:widowControl/>
              <w:kinsoku/>
              <w:wordWrap/>
              <w:overflowPunct/>
              <w:topLinePunct w:val="0"/>
              <w:autoSpaceDE/>
              <w:autoSpaceDN/>
              <w:bidi w:val="0"/>
              <w:adjustRightInd/>
              <w:snapToGrid/>
              <w:spacing w:line="400" w:lineRule="exact"/>
              <w:ind w:left="0" w:leftChars="0" w:firstLine="0" w:firstLineChars="0"/>
              <w:jc w:val="center"/>
              <w:textAlignment w:val="auto"/>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7</w:t>
            </w:r>
          </w:p>
        </w:tc>
        <w:tc>
          <w:tcPr>
            <w:tcW w:w="1026" w:type="pct"/>
            <w:vMerge w:val="continue"/>
            <w:tcBorders>
              <w:left w:val="nil"/>
              <w:right w:val="single" w:color="CBCDD1" w:sz="8" w:space="0"/>
            </w:tcBorders>
            <w:noWrap w:val="0"/>
            <w:vAlign w:val="center"/>
          </w:tcPr>
          <w:p w14:paraId="17655265">
            <w:pPr>
              <w:pageBreakBefore w:val="0"/>
              <w:widowControl/>
              <w:kinsoku/>
              <w:wordWrap/>
              <w:overflowPunct/>
              <w:topLinePunct w:val="0"/>
              <w:autoSpaceDE/>
              <w:autoSpaceDN/>
              <w:bidi w:val="0"/>
              <w:adjustRightInd/>
              <w:snapToGrid/>
              <w:spacing w:line="400" w:lineRule="exact"/>
              <w:ind w:left="0" w:leftChars="0" w:firstLine="0" w:firstLineChars="0"/>
              <w:jc w:val="center"/>
              <w:textAlignment w:val="auto"/>
              <w:rPr>
                <w:rFonts w:hint="eastAsia" w:ascii="宋体" w:hAnsi="宋体" w:eastAsia="宋体" w:cs="宋体"/>
                <w:b/>
                <w:bCs/>
                <w:color w:val="auto"/>
                <w:kern w:val="0"/>
                <w:sz w:val="21"/>
                <w:szCs w:val="21"/>
                <w:highlight w:val="none"/>
              </w:rPr>
            </w:pPr>
          </w:p>
        </w:tc>
        <w:tc>
          <w:tcPr>
            <w:tcW w:w="1625" w:type="pct"/>
            <w:tcBorders>
              <w:top w:val="single" w:color="CBCDD1" w:sz="8" w:space="0"/>
              <w:left w:val="nil"/>
              <w:bottom w:val="single" w:color="CBCDD1" w:sz="8" w:space="0"/>
              <w:right w:val="single" w:color="CBCDD1" w:sz="8" w:space="0"/>
            </w:tcBorders>
            <w:noWrap w:val="0"/>
            <w:vAlign w:val="center"/>
          </w:tcPr>
          <w:p w14:paraId="53926A43">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auto"/>
              <w:outlineLvl w:val="9"/>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CMDB</w:t>
            </w:r>
          </w:p>
        </w:tc>
        <w:tc>
          <w:tcPr>
            <w:tcW w:w="1842" w:type="pct"/>
            <w:tcBorders>
              <w:top w:val="single" w:color="CBCDD1" w:sz="8" w:space="0"/>
              <w:left w:val="nil"/>
              <w:bottom w:val="single" w:color="CBCDD1" w:sz="8" w:space="0"/>
              <w:right w:val="single" w:color="CBCDD1" w:sz="8" w:space="0"/>
            </w:tcBorders>
            <w:noWrap w:val="0"/>
            <w:vAlign w:val="center"/>
          </w:tcPr>
          <w:p w14:paraId="286AEDE7">
            <w:pPr>
              <w:pStyle w:val="9"/>
              <w:pageBreakBefore w:val="0"/>
              <w:kinsoku/>
              <w:wordWrap/>
              <w:overflowPunct/>
              <w:topLinePunct w:val="0"/>
              <w:autoSpaceDE/>
              <w:autoSpaceDN/>
              <w:bidi w:val="0"/>
              <w:adjustRightInd/>
              <w:snapToGrid/>
              <w:spacing w:line="400" w:lineRule="exact"/>
              <w:ind w:left="0" w:leftChars="0" w:firstLine="0" w:firstLineChars="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搜索、应用管理、资源维护组管理、拓扑管理、配置仓库管理、模型管理、系统设置、配置和关系自动生成</w:t>
            </w:r>
          </w:p>
        </w:tc>
      </w:tr>
      <w:tr w14:paraId="7ACB9622">
        <w:tblPrEx>
          <w:tblCellMar>
            <w:top w:w="0" w:type="dxa"/>
            <w:left w:w="108" w:type="dxa"/>
            <w:bottom w:w="0" w:type="dxa"/>
            <w:right w:w="108" w:type="dxa"/>
          </w:tblCellMar>
        </w:tblPrEx>
        <w:trPr>
          <w:trHeight w:val="90" w:hRule="atLeast"/>
        </w:trPr>
        <w:tc>
          <w:tcPr>
            <w:tcW w:w="506" w:type="pct"/>
            <w:tcBorders>
              <w:top w:val="single" w:color="CBCDD1" w:sz="8" w:space="0"/>
              <w:left w:val="single" w:color="CBCDD1" w:sz="8" w:space="0"/>
              <w:bottom w:val="single" w:color="CBCDD1" w:sz="8" w:space="0"/>
              <w:right w:val="single" w:color="CBCDD1" w:sz="8" w:space="0"/>
            </w:tcBorders>
            <w:noWrap w:val="0"/>
            <w:vAlign w:val="center"/>
          </w:tcPr>
          <w:p w14:paraId="11A01811">
            <w:pPr>
              <w:pageBreakBefore w:val="0"/>
              <w:widowControl/>
              <w:kinsoku/>
              <w:wordWrap/>
              <w:overflowPunct/>
              <w:topLinePunct w:val="0"/>
              <w:autoSpaceDE/>
              <w:autoSpaceDN/>
              <w:bidi w:val="0"/>
              <w:adjustRightInd/>
              <w:snapToGrid/>
              <w:spacing w:line="400" w:lineRule="exact"/>
              <w:ind w:left="0" w:leftChars="0" w:firstLine="0" w:firstLineChars="0"/>
              <w:jc w:val="center"/>
              <w:textAlignment w:val="auto"/>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8</w:t>
            </w:r>
          </w:p>
        </w:tc>
        <w:tc>
          <w:tcPr>
            <w:tcW w:w="1026" w:type="pct"/>
            <w:vMerge w:val="continue"/>
            <w:tcBorders>
              <w:left w:val="nil"/>
              <w:right w:val="single" w:color="CBCDD1" w:sz="8" w:space="0"/>
            </w:tcBorders>
            <w:noWrap w:val="0"/>
            <w:vAlign w:val="center"/>
          </w:tcPr>
          <w:p w14:paraId="4E80A723">
            <w:pPr>
              <w:pageBreakBefore w:val="0"/>
              <w:widowControl/>
              <w:kinsoku/>
              <w:wordWrap/>
              <w:overflowPunct/>
              <w:topLinePunct w:val="0"/>
              <w:autoSpaceDE/>
              <w:autoSpaceDN/>
              <w:bidi w:val="0"/>
              <w:adjustRightInd/>
              <w:snapToGrid/>
              <w:spacing w:line="400" w:lineRule="exact"/>
              <w:ind w:left="0" w:leftChars="0" w:firstLine="0" w:firstLineChars="0"/>
              <w:jc w:val="center"/>
              <w:textAlignment w:val="auto"/>
              <w:rPr>
                <w:rFonts w:hint="eastAsia" w:ascii="宋体" w:hAnsi="宋体" w:eastAsia="宋体" w:cs="宋体"/>
                <w:b/>
                <w:bCs/>
                <w:color w:val="auto"/>
                <w:kern w:val="0"/>
                <w:sz w:val="21"/>
                <w:szCs w:val="21"/>
                <w:highlight w:val="none"/>
              </w:rPr>
            </w:pPr>
          </w:p>
        </w:tc>
        <w:tc>
          <w:tcPr>
            <w:tcW w:w="1625" w:type="pct"/>
            <w:tcBorders>
              <w:top w:val="single" w:color="CBCDD1" w:sz="8" w:space="0"/>
              <w:left w:val="nil"/>
              <w:bottom w:val="single" w:color="CBCDD1" w:sz="8" w:space="0"/>
              <w:right w:val="single" w:color="CBCDD1" w:sz="8" w:space="0"/>
            </w:tcBorders>
            <w:noWrap w:val="0"/>
            <w:vAlign w:val="center"/>
          </w:tcPr>
          <w:p w14:paraId="5F0D7D5E">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textAlignment w:val="auto"/>
              <w:outlineLvl w:val="9"/>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任务调度功能</w:t>
            </w:r>
          </w:p>
        </w:tc>
        <w:tc>
          <w:tcPr>
            <w:tcW w:w="1842" w:type="pct"/>
            <w:tcBorders>
              <w:top w:val="single" w:color="CBCDD1" w:sz="8" w:space="0"/>
              <w:left w:val="nil"/>
              <w:bottom w:val="single" w:color="CBCDD1" w:sz="8" w:space="0"/>
              <w:right w:val="single" w:color="CBCDD1" w:sz="8" w:space="0"/>
            </w:tcBorders>
            <w:noWrap w:val="0"/>
            <w:vAlign w:val="center"/>
          </w:tcPr>
          <w:p w14:paraId="0551F1B2">
            <w:pPr>
              <w:pStyle w:val="9"/>
              <w:pageBreakBefore w:val="0"/>
              <w:kinsoku/>
              <w:wordWrap/>
              <w:overflowPunct/>
              <w:topLinePunct w:val="0"/>
              <w:autoSpaceDE/>
              <w:autoSpaceDN/>
              <w:bidi w:val="0"/>
              <w:adjustRightInd/>
              <w:snapToGrid/>
              <w:spacing w:line="400" w:lineRule="exact"/>
              <w:ind w:left="0" w:leftChars="0" w:firstLine="0" w:firstLineChars="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驾驶舱、我发起的、待办工单、所有工单、流程查询、数据报告、业务设置、用户组管理、系统设置</w:t>
            </w:r>
          </w:p>
        </w:tc>
      </w:tr>
      <w:tr w14:paraId="495B2FAB">
        <w:tblPrEx>
          <w:tblCellMar>
            <w:top w:w="0" w:type="dxa"/>
            <w:left w:w="108" w:type="dxa"/>
            <w:bottom w:w="0" w:type="dxa"/>
            <w:right w:w="108" w:type="dxa"/>
          </w:tblCellMar>
        </w:tblPrEx>
        <w:trPr>
          <w:trHeight w:val="90" w:hRule="atLeast"/>
        </w:trPr>
        <w:tc>
          <w:tcPr>
            <w:tcW w:w="506" w:type="pct"/>
            <w:tcBorders>
              <w:top w:val="single" w:color="CBCDD1" w:sz="8" w:space="0"/>
              <w:left w:val="single" w:color="CBCDD1" w:sz="8" w:space="0"/>
              <w:bottom w:val="single" w:color="CBCDD1" w:sz="8" w:space="0"/>
              <w:right w:val="single" w:color="CBCDD1" w:sz="8" w:space="0"/>
            </w:tcBorders>
            <w:noWrap w:val="0"/>
            <w:vAlign w:val="center"/>
          </w:tcPr>
          <w:p w14:paraId="5D15C3BE">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outlineLvl w:val="9"/>
              <w:rPr>
                <w:rFonts w:hint="eastAsia" w:ascii="宋体" w:hAnsi="宋体" w:eastAsia="宋体" w:cs="宋体"/>
                <w:color w:val="auto"/>
                <w:kern w:val="0"/>
                <w:sz w:val="21"/>
                <w:szCs w:val="21"/>
                <w:highlight w:val="none"/>
              </w:rPr>
            </w:pPr>
            <w:bookmarkStart w:id="23" w:name="_Toc5116"/>
            <w:r>
              <w:rPr>
                <w:rFonts w:hint="eastAsia" w:ascii="宋体" w:hAnsi="宋体" w:eastAsia="宋体" w:cs="宋体"/>
                <w:color w:val="auto"/>
                <w:kern w:val="0"/>
                <w:sz w:val="21"/>
                <w:szCs w:val="21"/>
                <w:highlight w:val="none"/>
              </w:rPr>
              <w:t>9</w:t>
            </w:r>
            <w:bookmarkEnd w:id="23"/>
          </w:p>
        </w:tc>
        <w:tc>
          <w:tcPr>
            <w:tcW w:w="1026" w:type="pct"/>
            <w:vMerge w:val="restart"/>
            <w:tcBorders>
              <w:left w:val="nil"/>
              <w:right w:val="single" w:color="CBCDD1" w:sz="8" w:space="0"/>
            </w:tcBorders>
            <w:noWrap w:val="0"/>
            <w:vAlign w:val="center"/>
          </w:tcPr>
          <w:p w14:paraId="722AEA8B">
            <w:pPr>
              <w:pStyle w:val="9"/>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left"/>
              <w:textAlignment w:val="auto"/>
              <w:outlineLvl w:val="9"/>
              <w:rPr>
                <w:rFonts w:hint="eastAsia" w:ascii="宋体" w:hAnsi="宋体" w:eastAsia="宋体" w:cs="宋体"/>
                <w:b/>
                <w:bCs/>
                <w:color w:val="auto"/>
                <w:kern w:val="0"/>
                <w:sz w:val="21"/>
                <w:szCs w:val="21"/>
                <w:highlight w:val="none"/>
              </w:rPr>
            </w:pPr>
          </w:p>
        </w:tc>
        <w:tc>
          <w:tcPr>
            <w:tcW w:w="1625" w:type="pct"/>
            <w:tcBorders>
              <w:top w:val="single" w:color="CBCDD1" w:sz="8" w:space="0"/>
              <w:left w:val="nil"/>
              <w:bottom w:val="single" w:color="CBCDD1" w:sz="8" w:space="0"/>
              <w:right w:val="single" w:color="CBCDD1" w:sz="8" w:space="0"/>
            </w:tcBorders>
            <w:noWrap w:val="0"/>
            <w:vAlign w:val="center"/>
          </w:tcPr>
          <w:p w14:paraId="69911B3B">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outlineLvl w:val="9"/>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故障管理功能</w:t>
            </w:r>
          </w:p>
        </w:tc>
        <w:tc>
          <w:tcPr>
            <w:tcW w:w="1842" w:type="pct"/>
            <w:tcBorders>
              <w:top w:val="single" w:color="CBCDD1" w:sz="8" w:space="0"/>
              <w:left w:val="nil"/>
              <w:bottom w:val="single" w:color="CBCDD1" w:sz="8" w:space="0"/>
              <w:right w:val="single" w:color="CBCDD1" w:sz="8" w:space="0"/>
            </w:tcBorders>
            <w:noWrap w:val="0"/>
            <w:vAlign w:val="center"/>
          </w:tcPr>
          <w:p w14:paraId="719DB662">
            <w:pPr>
              <w:pStyle w:val="9"/>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left"/>
              <w:textAlignment w:val="auto"/>
              <w:outlineLvl w:val="9"/>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事件上报、一键拉会、事中指挥室、故障报告管理、故障报告处理、整改措施查询、整改措施处理、故障看板、故障统计报表、配置管理</w:t>
            </w:r>
          </w:p>
        </w:tc>
      </w:tr>
      <w:tr w14:paraId="78308402">
        <w:tblPrEx>
          <w:tblCellMar>
            <w:top w:w="0" w:type="dxa"/>
            <w:left w:w="108" w:type="dxa"/>
            <w:bottom w:w="0" w:type="dxa"/>
            <w:right w:w="108" w:type="dxa"/>
          </w:tblCellMar>
        </w:tblPrEx>
        <w:trPr>
          <w:trHeight w:val="480" w:hRule="atLeast"/>
        </w:trPr>
        <w:tc>
          <w:tcPr>
            <w:tcW w:w="506" w:type="pct"/>
            <w:tcBorders>
              <w:top w:val="single" w:color="CBCDD1" w:sz="8" w:space="0"/>
              <w:left w:val="single" w:color="CBCDD1" w:sz="8" w:space="0"/>
              <w:bottom w:val="single" w:color="CBCDD1" w:sz="8" w:space="0"/>
              <w:right w:val="single" w:color="CBCDD1" w:sz="8" w:space="0"/>
            </w:tcBorders>
            <w:noWrap w:val="0"/>
            <w:vAlign w:val="center"/>
          </w:tcPr>
          <w:p w14:paraId="5859140E">
            <w:pPr>
              <w:pageBreakBefore w:val="0"/>
              <w:widowControl/>
              <w:kinsoku/>
              <w:wordWrap/>
              <w:overflowPunct/>
              <w:topLinePunct w:val="0"/>
              <w:autoSpaceDE/>
              <w:autoSpaceDN/>
              <w:bidi w:val="0"/>
              <w:adjustRightInd/>
              <w:snapToGrid/>
              <w:spacing w:line="400" w:lineRule="exact"/>
              <w:ind w:left="0" w:leftChars="0" w:firstLine="0" w:firstLineChars="0"/>
              <w:jc w:val="center"/>
              <w:textAlignment w:val="auto"/>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10</w:t>
            </w:r>
          </w:p>
        </w:tc>
        <w:tc>
          <w:tcPr>
            <w:tcW w:w="1026" w:type="pct"/>
            <w:vMerge w:val="continue"/>
            <w:tcBorders>
              <w:left w:val="nil"/>
              <w:bottom w:val="single" w:color="CBCDD1" w:sz="8" w:space="0"/>
              <w:right w:val="single" w:color="CBCDD1" w:sz="8" w:space="0"/>
            </w:tcBorders>
            <w:noWrap w:val="0"/>
            <w:vAlign w:val="center"/>
          </w:tcPr>
          <w:p w14:paraId="1C81FA02">
            <w:pPr>
              <w:pageBreakBefore w:val="0"/>
              <w:widowControl/>
              <w:kinsoku/>
              <w:wordWrap/>
              <w:overflowPunct/>
              <w:topLinePunct w:val="0"/>
              <w:autoSpaceDE/>
              <w:autoSpaceDN/>
              <w:bidi w:val="0"/>
              <w:adjustRightInd/>
              <w:snapToGrid/>
              <w:spacing w:line="400" w:lineRule="exact"/>
              <w:ind w:left="0" w:leftChars="0" w:firstLine="0" w:firstLineChars="0"/>
              <w:jc w:val="center"/>
              <w:textAlignment w:val="auto"/>
              <w:rPr>
                <w:rFonts w:hint="eastAsia" w:ascii="宋体" w:hAnsi="宋体" w:eastAsia="宋体" w:cs="宋体"/>
                <w:b/>
                <w:bCs/>
                <w:color w:val="auto"/>
                <w:kern w:val="0"/>
                <w:sz w:val="21"/>
                <w:szCs w:val="21"/>
                <w:highlight w:val="none"/>
              </w:rPr>
            </w:pPr>
          </w:p>
        </w:tc>
        <w:tc>
          <w:tcPr>
            <w:tcW w:w="1625" w:type="pct"/>
            <w:tcBorders>
              <w:top w:val="single" w:color="CBCDD1" w:sz="8" w:space="0"/>
              <w:left w:val="nil"/>
              <w:bottom w:val="single" w:color="CBCDD1" w:sz="8" w:space="0"/>
              <w:right w:val="single" w:color="CBCDD1" w:sz="8" w:space="0"/>
            </w:tcBorders>
            <w:noWrap w:val="0"/>
            <w:vAlign w:val="center"/>
          </w:tcPr>
          <w:p w14:paraId="7EF197ED">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outlineLvl w:val="9"/>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感知运营可视化中心</w:t>
            </w:r>
          </w:p>
        </w:tc>
        <w:tc>
          <w:tcPr>
            <w:tcW w:w="1842" w:type="pct"/>
            <w:tcBorders>
              <w:top w:val="single" w:color="CBCDD1" w:sz="8" w:space="0"/>
              <w:left w:val="nil"/>
              <w:bottom w:val="single" w:color="CBCDD1" w:sz="8" w:space="0"/>
              <w:right w:val="single" w:color="CBCDD1" w:sz="8" w:space="0"/>
            </w:tcBorders>
            <w:noWrap w:val="0"/>
            <w:vAlign w:val="center"/>
          </w:tcPr>
          <w:p w14:paraId="253D07DF">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left"/>
              <w:textAlignment w:val="auto"/>
              <w:outlineLvl w:val="9"/>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告警调度分析、告警工单运营分析、安全生产保障分析</w:t>
            </w:r>
          </w:p>
        </w:tc>
      </w:tr>
    </w:tbl>
    <w:p w14:paraId="6BD5CFDE">
      <w:pPr>
        <w:pStyle w:val="4"/>
        <w:pageBreakBefore w:val="0"/>
        <w:numPr>
          <w:ilvl w:val="0"/>
          <w:numId w:val="4"/>
        </w:numPr>
        <w:kinsoku/>
        <w:wordWrap/>
        <w:overflowPunct/>
        <w:topLinePunct w:val="0"/>
        <w:autoSpaceDE/>
        <w:autoSpaceDN/>
        <w:bidi w:val="0"/>
        <w:spacing w:before="0" w:after="0" w:line="572" w:lineRule="exact"/>
        <w:ind w:left="425" w:leftChars="0" w:hanging="425" w:firstLineChars="0"/>
        <w:jc w:val="both"/>
        <w:outlineLvl w:val="1"/>
        <w:rPr>
          <w:rFonts w:hint="eastAsia" w:ascii="黑体" w:hAnsi="黑体" w:eastAsia="黑体" w:cs="黑体"/>
          <w:b w:val="0"/>
          <w:bCs/>
          <w:color w:val="auto"/>
          <w:sz w:val="24"/>
          <w:szCs w:val="24"/>
          <w:highlight w:val="none"/>
        </w:rPr>
      </w:pPr>
      <w:bookmarkStart w:id="24" w:name="_Toc151621372"/>
      <w:bookmarkStart w:id="25" w:name="_Toc152004377"/>
      <w:bookmarkStart w:id="26" w:name="_Toc15476"/>
      <w:r>
        <w:rPr>
          <w:rFonts w:hint="eastAsia" w:ascii="黑体" w:hAnsi="黑体" w:eastAsia="黑体" w:cs="黑体"/>
          <w:b w:val="0"/>
          <w:bCs/>
          <w:color w:val="auto"/>
          <w:sz w:val="24"/>
          <w:szCs w:val="24"/>
          <w:highlight w:val="none"/>
        </w:rPr>
        <w:t>项目技术规格及要求</w:t>
      </w:r>
      <w:bookmarkEnd w:id="24"/>
      <w:bookmarkEnd w:id="25"/>
      <w:bookmarkEnd w:id="26"/>
    </w:p>
    <w:p w14:paraId="4D013BE5">
      <w:pPr>
        <w:pageBreakBefore w:val="0"/>
        <w:kinsoku/>
        <w:wordWrap/>
        <w:overflowPunct/>
        <w:topLinePunct w:val="0"/>
        <w:autoSpaceDE/>
        <w:autoSpaceDN/>
        <w:bidi w:val="0"/>
        <w:spacing w:line="572" w:lineRule="exact"/>
        <w:ind w:left="0" w:leftChars="0" w:firstLine="482" w:firstLineChars="200"/>
        <w:jc w:val="center"/>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《项目技术规格指标响应汇总表》</w:t>
      </w:r>
    </w:p>
    <w:p w14:paraId="1BB8CEB2">
      <w:pPr>
        <w:pageBreakBefore w:val="0"/>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说明：根据指标的重要程度分为“★”、“▲”和一般无标示指标。其中，</w:t>
      </w:r>
      <w:r>
        <w:rPr>
          <w:rFonts w:hint="eastAsia" w:ascii="宋体" w:hAnsi="宋体" w:cs="Times New Roman"/>
          <w:b w:val="0"/>
          <w:bCs/>
          <w:color w:val="auto"/>
          <w:sz w:val="24"/>
          <w:szCs w:val="24"/>
          <w:highlight w:val="none"/>
          <w:lang w:eastAsia="zh-CN"/>
        </w:rPr>
        <w:t>关键项★、重要项▲需提供点对点应答并附【相关案例截图或证明材料】证明资料，</w:t>
      </w:r>
      <w:r>
        <w:rPr>
          <w:rFonts w:hint="eastAsia" w:ascii="宋体" w:hAnsi="宋体" w:eastAsia="宋体" w:cs="宋体"/>
          <w:color w:val="auto"/>
          <w:sz w:val="24"/>
          <w:szCs w:val="24"/>
          <w:highlight w:val="none"/>
        </w:rPr>
        <w:t>★代表关键指标，每有任意一项★指标负偏离将导致投标被否决；▲代表重要指标；无标识项为一般指标。▲及无标识项指标，不满足将扣分。</w:t>
      </w:r>
    </w:p>
    <w:tbl>
      <w:tblPr>
        <w:tblStyle w:val="16"/>
        <w:tblW w:w="8979" w:type="dxa"/>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0"/>
        <w:gridCol w:w="1316"/>
        <w:gridCol w:w="1196"/>
        <w:gridCol w:w="5507"/>
      </w:tblGrid>
      <w:tr w14:paraId="432CA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960" w:type="dxa"/>
            <w:noWrap/>
            <w:vAlign w:val="bottom"/>
          </w:tcPr>
          <w:p w14:paraId="2B6071CC">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b/>
                <w:bCs/>
                <w:color w:val="auto"/>
                <w:sz w:val="21"/>
                <w:szCs w:val="21"/>
                <w:highlight w:val="none"/>
              </w:rPr>
            </w:pPr>
            <w:r>
              <w:rPr>
                <w:rFonts w:hint="eastAsia" w:ascii="宋体" w:hAnsi="宋体" w:eastAsia="宋体" w:cs="宋体"/>
                <w:b/>
                <w:bCs/>
                <w:color w:val="auto"/>
                <w:kern w:val="0"/>
                <w:sz w:val="21"/>
                <w:szCs w:val="21"/>
                <w:highlight w:val="none"/>
                <w:lang w:bidi="ar"/>
              </w:rPr>
              <w:t>序号</w:t>
            </w:r>
          </w:p>
        </w:tc>
        <w:tc>
          <w:tcPr>
            <w:tcW w:w="1316" w:type="dxa"/>
            <w:noWrap/>
            <w:vAlign w:val="bottom"/>
          </w:tcPr>
          <w:p w14:paraId="20DDFE96">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b/>
                <w:bCs/>
                <w:color w:val="auto"/>
                <w:sz w:val="21"/>
                <w:szCs w:val="21"/>
                <w:highlight w:val="none"/>
              </w:rPr>
            </w:pPr>
            <w:r>
              <w:rPr>
                <w:rFonts w:hint="eastAsia" w:ascii="宋体" w:hAnsi="宋体" w:eastAsia="宋体" w:cs="宋体"/>
                <w:b/>
                <w:bCs/>
                <w:color w:val="auto"/>
                <w:kern w:val="0"/>
                <w:sz w:val="21"/>
                <w:szCs w:val="21"/>
                <w:highlight w:val="none"/>
                <w:lang w:bidi="ar"/>
              </w:rPr>
              <w:t>类型</w:t>
            </w:r>
          </w:p>
        </w:tc>
        <w:tc>
          <w:tcPr>
            <w:tcW w:w="6703" w:type="dxa"/>
            <w:gridSpan w:val="2"/>
            <w:noWrap/>
            <w:vAlign w:val="bottom"/>
          </w:tcPr>
          <w:p w14:paraId="468C13B6">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b/>
                <w:bCs/>
                <w:color w:val="auto"/>
                <w:sz w:val="21"/>
                <w:szCs w:val="21"/>
                <w:highlight w:val="none"/>
              </w:rPr>
            </w:pPr>
            <w:r>
              <w:rPr>
                <w:rFonts w:hint="eastAsia" w:ascii="宋体" w:hAnsi="宋体" w:eastAsia="宋体" w:cs="宋体"/>
                <w:b/>
                <w:bCs/>
                <w:color w:val="auto"/>
                <w:kern w:val="0"/>
                <w:sz w:val="21"/>
                <w:szCs w:val="21"/>
                <w:highlight w:val="none"/>
                <w:lang w:bidi="ar"/>
              </w:rPr>
              <w:t>内容</w:t>
            </w:r>
          </w:p>
        </w:tc>
      </w:tr>
      <w:tr w14:paraId="69044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60" w:type="dxa"/>
            <w:noWrap/>
            <w:vAlign w:val="bottom"/>
          </w:tcPr>
          <w:p w14:paraId="0FF98686">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w:t>
            </w:r>
          </w:p>
        </w:tc>
        <w:tc>
          <w:tcPr>
            <w:tcW w:w="1316" w:type="dxa"/>
            <w:vMerge w:val="restart"/>
            <w:noWrap/>
            <w:vAlign w:val="bottom"/>
          </w:tcPr>
          <w:p w14:paraId="1C7C33D0">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1.需求分析</w:t>
            </w:r>
          </w:p>
        </w:tc>
        <w:tc>
          <w:tcPr>
            <w:tcW w:w="6703" w:type="dxa"/>
            <w:gridSpan w:val="2"/>
            <w:noWrap/>
            <w:vAlign w:val="bottom"/>
          </w:tcPr>
          <w:p w14:paraId="0BDAD544">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1.1业务需求</w:t>
            </w:r>
          </w:p>
        </w:tc>
      </w:tr>
      <w:tr w14:paraId="07417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60" w:type="dxa"/>
            <w:noWrap/>
            <w:vAlign w:val="bottom"/>
          </w:tcPr>
          <w:p w14:paraId="35EEF9E5">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2</w:t>
            </w:r>
          </w:p>
        </w:tc>
        <w:tc>
          <w:tcPr>
            <w:tcW w:w="1316" w:type="dxa"/>
            <w:vMerge w:val="continue"/>
            <w:noWrap/>
            <w:vAlign w:val="bottom"/>
          </w:tcPr>
          <w:p w14:paraId="22D840D4">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6703" w:type="dxa"/>
            <w:gridSpan w:val="2"/>
            <w:noWrap/>
            <w:vAlign w:val="bottom"/>
          </w:tcPr>
          <w:p w14:paraId="721EF082">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1.2性能需求</w:t>
            </w:r>
          </w:p>
        </w:tc>
      </w:tr>
      <w:tr w14:paraId="103D9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0" w:type="dxa"/>
            <w:noWrap/>
            <w:vAlign w:val="bottom"/>
          </w:tcPr>
          <w:p w14:paraId="7D9FB3FC">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3</w:t>
            </w:r>
          </w:p>
        </w:tc>
        <w:tc>
          <w:tcPr>
            <w:tcW w:w="1316" w:type="dxa"/>
            <w:vMerge w:val="continue"/>
            <w:noWrap/>
            <w:vAlign w:val="bottom"/>
          </w:tcPr>
          <w:p w14:paraId="7312BEF9">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6703" w:type="dxa"/>
            <w:gridSpan w:val="2"/>
            <w:noWrap/>
            <w:vAlign w:val="bottom"/>
          </w:tcPr>
          <w:p w14:paraId="0DFD51CA">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1.3 适配需求</w:t>
            </w:r>
          </w:p>
        </w:tc>
      </w:tr>
      <w:tr w14:paraId="6BAC3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60" w:type="dxa"/>
            <w:noWrap/>
            <w:vAlign w:val="bottom"/>
          </w:tcPr>
          <w:p w14:paraId="7073C41D">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w:t>
            </w:r>
          </w:p>
        </w:tc>
        <w:tc>
          <w:tcPr>
            <w:tcW w:w="1316" w:type="dxa"/>
            <w:vMerge w:val="continue"/>
            <w:noWrap/>
            <w:vAlign w:val="bottom"/>
          </w:tcPr>
          <w:p w14:paraId="0F0EF69A">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6703" w:type="dxa"/>
            <w:gridSpan w:val="2"/>
            <w:noWrap/>
            <w:vAlign w:val="bottom"/>
          </w:tcPr>
          <w:p w14:paraId="3E29C9BE">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1.4 ★信创要求</w:t>
            </w:r>
          </w:p>
          <w:p w14:paraId="2E871051">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cs="宋体"/>
                <w:i w:val="0"/>
                <w:iCs w:val="0"/>
                <w:color w:val="auto"/>
                <w:kern w:val="0"/>
                <w:sz w:val="21"/>
                <w:szCs w:val="21"/>
                <w:highlight w:val="none"/>
                <w:u w:val="none"/>
                <w:lang w:val="en-US" w:eastAsia="zh-CN" w:bidi="ar"/>
              </w:rPr>
              <w:t>提供相关案例截图或证明材料</w:t>
            </w:r>
          </w:p>
        </w:tc>
      </w:tr>
      <w:tr w14:paraId="40778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60" w:type="dxa"/>
            <w:noWrap/>
            <w:vAlign w:val="bottom"/>
          </w:tcPr>
          <w:p w14:paraId="2C13FB64">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5</w:t>
            </w:r>
          </w:p>
        </w:tc>
        <w:tc>
          <w:tcPr>
            <w:tcW w:w="1316" w:type="dxa"/>
            <w:vMerge w:val="restart"/>
            <w:noWrap/>
            <w:vAlign w:val="bottom"/>
          </w:tcPr>
          <w:p w14:paraId="1E5D5402">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2.信息安全</w:t>
            </w:r>
          </w:p>
        </w:tc>
        <w:tc>
          <w:tcPr>
            <w:tcW w:w="6703" w:type="dxa"/>
            <w:gridSpan w:val="2"/>
            <w:noWrap/>
            <w:vAlign w:val="bottom"/>
          </w:tcPr>
          <w:p w14:paraId="441D61CB">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2.1安全及测评要求</w:t>
            </w:r>
          </w:p>
        </w:tc>
      </w:tr>
      <w:tr w14:paraId="7B3FA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60" w:type="dxa"/>
            <w:noWrap/>
            <w:vAlign w:val="bottom"/>
          </w:tcPr>
          <w:p w14:paraId="21D8FB86">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6</w:t>
            </w:r>
          </w:p>
        </w:tc>
        <w:tc>
          <w:tcPr>
            <w:tcW w:w="1316" w:type="dxa"/>
            <w:vMerge w:val="continue"/>
            <w:noWrap/>
            <w:vAlign w:val="bottom"/>
          </w:tcPr>
          <w:p w14:paraId="32DBCDEE">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6703" w:type="dxa"/>
            <w:gridSpan w:val="2"/>
            <w:noWrap/>
            <w:vAlign w:val="bottom"/>
          </w:tcPr>
          <w:p w14:paraId="20F54ED0">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2.2功能测评要求</w:t>
            </w:r>
          </w:p>
        </w:tc>
      </w:tr>
      <w:tr w14:paraId="6E266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60" w:type="dxa"/>
            <w:noWrap/>
            <w:vAlign w:val="bottom"/>
          </w:tcPr>
          <w:p w14:paraId="5F541870">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7</w:t>
            </w:r>
          </w:p>
        </w:tc>
        <w:tc>
          <w:tcPr>
            <w:tcW w:w="1316" w:type="dxa"/>
            <w:vMerge w:val="continue"/>
            <w:noWrap/>
            <w:vAlign w:val="bottom"/>
          </w:tcPr>
          <w:p w14:paraId="6A4735D2">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6703" w:type="dxa"/>
            <w:gridSpan w:val="2"/>
            <w:noWrap/>
            <w:vAlign w:val="bottom"/>
          </w:tcPr>
          <w:p w14:paraId="010D8519">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2.3数据安全要求</w:t>
            </w:r>
          </w:p>
        </w:tc>
      </w:tr>
      <w:tr w14:paraId="5239D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60" w:type="dxa"/>
            <w:noWrap/>
            <w:vAlign w:val="bottom"/>
          </w:tcPr>
          <w:p w14:paraId="11C0D330">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8</w:t>
            </w:r>
          </w:p>
        </w:tc>
        <w:tc>
          <w:tcPr>
            <w:tcW w:w="8019" w:type="dxa"/>
            <w:gridSpan w:val="3"/>
            <w:noWrap/>
            <w:vAlign w:val="bottom"/>
          </w:tcPr>
          <w:p w14:paraId="0E3C80A1">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3.整体架构要求</w:t>
            </w:r>
          </w:p>
        </w:tc>
      </w:tr>
      <w:tr w14:paraId="5FE29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60" w:type="dxa"/>
            <w:noWrap/>
            <w:vAlign w:val="bottom"/>
          </w:tcPr>
          <w:p w14:paraId="595DBDED">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9</w:t>
            </w:r>
          </w:p>
        </w:tc>
        <w:tc>
          <w:tcPr>
            <w:tcW w:w="1316" w:type="dxa"/>
            <w:vMerge w:val="restart"/>
            <w:noWrap/>
            <w:vAlign w:val="bottom"/>
          </w:tcPr>
          <w:p w14:paraId="4D8B7049">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4.软件功能</w:t>
            </w:r>
          </w:p>
        </w:tc>
        <w:tc>
          <w:tcPr>
            <w:tcW w:w="6703" w:type="dxa"/>
            <w:gridSpan w:val="2"/>
            <w:noWrap w:val="0"/>
            <w:vAlign w:val="bottom"/>
          </w:tcPr>
          <w:p w14:paraId="2C615945">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4.1 运营监控工作台</w:t>
            </w:r>
          </w:p>
        </w:tc>
      </w:tr>
      <w:tr w14:paraId="5CA10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60" w:type="dxa"/>
            <w:noWrap/>
            <w:vAlign w:val="bottom"/>
          </w:tcPr>
          <w:p w14:paraId="2EACBE9E">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10</w:t>
            </w:r>
          </w:p>
        </w:tc>
        <w:tc>
          <w:tcPr>
            <w:tcW w:w="1316" w:type="dxa"/>
            <w:vMerge w:val="continue"/>
            <w:noWrap/>
            <w:vAlign w:val="bottom"/>
          </w:tcPr>
          <w:p w14:paraId="11C9A059">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6703" w:type="dxa"/>
            <w:gridSpan w:val="2"/>
            <w:noWrap w:val="0"/>
            <w:vAlign w:val="bottom"/>
          </w:tcPr>
          <w:p w14:paraId="50E4ADC2">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4.1.1登录页面</w:t>
            </w:r>
          </w:p>
        </w:tc>
      </w:tr>
      <w:tr w14:paraId="2C1BD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960" w:type="dxa"/>
            <w:noWrap/>
            <w:vAlign w:val="bottom"/>
          </w:tcPr>
          <w:p w14:paraId="18AAE2F9">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11</w:t>
            </w:r>
          </w:p>
        </w:tc>
        <w:tc>
          <w:tcPr>
            <w:tcW w:w="1316" w:type="dxa"/>
            <w:vMerge w:val="continue"/>
            <w:noWrap/>
            <w:vAlign w:val="bottom"/>
          </w:tcPr>
          <w:p w14:paraId="4E271BD0">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restart"/>
            <w:noWrap w:val="0"/>
            <w:vAlign w:val="bottom"/>
          </w:tcPr>
          <w:p w14:paraId="27FEBD09">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4.1.2运维工作台</w:t>
            </w:r>
          </w:p>
        </w:tc>
        <w:tc>
          <w:tcPr>
            <w:tcW w:w="5507" w:type="dxa"/>
            <w:noWrap w:val="0"/>
            <w:vAlign w:val="bottom"/>
          </w:tcPr>
          <w:p w14:paraId="39250F2F">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支持显示用户已添加的应用，点击应用，即可打开新页面进入应用。</w:t>
            </w:r>
          </w:p>
        </w:tc>
      </w:tr>
      <w:tr w14:paraId="228ED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60" w:type="dxa"/>
            <w:noWrap/>
            <w:vAlign w:val="bottom"/>
          </w:tcPr>
          <w:p w14:paraId="3A79CFCE">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12</w:t>
            </w:r>
          </w:p>
        </w:tc>
        <w:tc>
          <w:tcPr>
            <w:tcW w:w="1316" w:type="dxa"/>
            <w:vMerge w:val="continue"/>
            <w:noWrap/>
            <w:vAlign w:val="bottom"/>
          </w:tcPr>
          <w:p w14:paraId="794394CB">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7EE2956C">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0100ED6B">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支持顶部公告栏，显示当前有效系统的公告。</w:t>
            </w:r>
          </w:p>
        </w:tc>
      </w:tr>
      <w:tr w14:paraId="7262F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960" w:type="dxa"/>
            <w:noWrap/>
            <w:vAlign w:val="bottom"/>
          </w:tcPr>
          <w:p w14:paraId="61377426">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13</w:t>
            </w:r>
          </w:p>
        </w:tc>
        <w:tc>
          <w:tcPr>
            <w:tcW w:w="1316" w:type="dxa"/>
            <w:vMerge w:val="continue"/>
            <w:noWrap/>
            <w:vAlign w:val="bottom"/>
          </w:tcPr>
          <w:p w14:paraId="6EC66EBB">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150755AF">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4572D196">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具备意见反馈和支撑热线功能，可通过线上留言或者联系电话进行问题反馈。</w:t>
            </w:r>
          </w:p>
        </w:tc>
      </w:tr>
      <w:tr w14:paraId="04522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960" w:type="dxa"/>
            <w:noWrap/>
            <w:vAlign w:val="bottom"/>
          </w:tcPr>
          <w:p w14:paraId="14E7B83B">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14</w:t>
            </w:r>
          </w:p>
        </w:tc>
        <w:tc>
          <w:tcPr>
            <w:tcW w:w="1316" w:type="dxa"/>
            <w:vMerge w:val="continue"/>
            <w:noWrap/>
            <w:vAlign w:val="bottom"/>
          </w:tcPr>
          <w:p w14:paraId="0237CCF8">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6D2FD7A2">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12560021">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支持功能导航栏，可分别跳转进入“应用仓库”、“个人中心”、“开发者中心”、运营中心、权限中心。</w:t>
            </w:r>
          </w:p>
        </w:tc>
      </w:tr>
      <w:tr w14:paraId="6E00A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 w:hRule="atLeast"/>
        </w:trPr>
        <w:tc>
          <w:tcPr>
            <w:tcW w:w="960" w:type="dxa"/>
            <w:noWrap/>
            <w:vAlign w:val="bottom"/>
          </w:tcPr>
          <w:p w14:paraId="5CDF8A06">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15</w:t>
            </w:r>
          </w:p>
        </w:tc>
        <w:tc>
          <w:tcPr>
            <w:tcW w:w="1316" w:type="dxa"/>
            <w:vMerge w:val="continue"/>
            <w:noWrap/>
            <w:vAlign w:val="bottom"/>
          </w:tcPr>
          <w:p w14:paraId="526D9229">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noWrap w:val="0"/>
            <w:vAlign w:val="bottom"/>
          </w:tcPr>
          <w:p w14:paraId="501AF1E7">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4.1.3应用仓库</w:t>
            </w:r>
          </w:p>
        </w:tc>
        <w:tc>
          <w:tcPr>
            <w:tcW w:w="5507" w:type="dxa"/>
            <w:noWrap w:val="0"/>
            <w:vAlign w:val="bottom"/>
          </w:tcPr>
          <w:p w14:paraId="7B06A0C6">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kern w:val="0"/>
                <w:sz w:val="21"/>
                <w:szCs w:val="21"/>
                <w:highlight w:val="none"/>
                <w:lang w:bidi="ar"/>
              </w:rPr>
            </w:pPr>
            <w:r>
              <w:rPr>
                <w:rFonts w:hint="eastAsia" w:ascii="宋体" w:hAnsi="宋体" w:eastAsia="宋体" w:cs="宋体"/>
                <w:color w:val="auto"/>
                <w:sz w:val="21"/>
                <w:szCs w:val="21"/>
                <w:highlight w:val="none"/>
              </w:rPr>
              <w:t>▲</w:t>
            </w:r>
            <w:r>
              <w:rPr>
                <w:rFonts w:hint="eastAsia" w:ascii="宋体" w:hAnsi="宋体" w:eastAsia="宋体" w:cs="宋体"/>
                <w:color w:val="auto"/>
                <w:kern w:val="0"/>
                <w:sz w:val="21"/>
                <w:szCs w:val="21"/>
                <w:highlight w:val="none"/>
                <w:lang w:bidi="ar"/>
              </w:rPr>
              <w:t>应用的统一纳管，统一权限管理。支持但不限于显示所有已上架的应用、用户可根据需求对应用进行管理。</w:t>
            </w:r>
          </w:p>
          <w:p w14:paraId="0911D8F2">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kern w:val="0"/>
                <w:sz w:val="21"/>
                <w:szCs w:val="21"/>
                <w:highlight w:val="none"/>
                <w:lang w:bidi="ar"/>
              </w:rPr>
            </w:pPr>
            <w:r>
              <w:rPr>
                <w:rFonts w:hint="eastAsia" w:ascii="宋体" w:hAnsi="宋体" w:cs="宋体"/>
                <w:i w:val="0"/>
                <w:iCs w:val="0"/>
                <w:color w:val="auto"/>
                <w:kern w:val="0"/>
                <w:sz w:val="21"/>
                <w:szCs w:val="21"/>
                <w:highlight w:val="none"/>
                <w:u w:val="none"/>
                <w:lang w:val="en-US" w:eastAsia="zh-CN" w:bidi="ar"/>
              </w:rPr>
              <w:t>提供相关案例截图或证明材料</w:t>
            </w:r>
          </w:p>
        </w:tc>
      </w:tr>
      <w:tr w14:paraId="2E411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960" w:type="dxa"/>
            <w:noWrap/>
            <w:vAlign w:val="bottom"/>
          </w:tcPr>
          <w:p w14:paraId="5F9FF69E">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16</w:t>
            </w:r>
          </w:p>
        </w:tc>
        <w:tc>
          <w:tcPr>
            <w:tcW w:w="1316" w:type="dxa"/>
            <w:vMerge w:val="continue"/>
            <w:noWrap/>
            <w:vAlign w:val="bottom"/>
          </w:tcPr>
          <w:p w14:paraId="49251FD4">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6703" w:type="dxa"/>
            <w:gridSpan w:val="2"/>
            <w:noWrap w:val="0"/>
            <w:vAlign w:val="bottom"/>
          </w:tcPr>
          <w:p w14:paraId="332FC275">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4.1.4个人中心</w:t>
            </w:r>
          </w:p>
          <w:p w14:paraId="71C8ED44">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4.1.5开发者中心</w:t>
            </w:r>
          </w:p>
        </w:tc>
      </w:tr>
      <w:tr w14:paraId="355C1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960" w:type="dxa"/>
            <w:noWrap/>
            <w:vAlign w:val="bottom"/>
          </w:tcPr>
          <w:p w14:paraId="1255D6E6">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17</w:t>
            </w:r>
          </w:p>
        </w:tc>
        <w:tc>
          <w:tcPr>
            <w:tcW w:w="1316" w:type="dxa"/>
            <w:vMerge w:val="continue"/>
            <w:noWrap/>
            <w:vAlign w:val="bottom"/>
          </w:tcPr>
          <w:p w14:paraId="64724281">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restart"/>
            <w:noWrap w:val="0"/>
            <w:vAlign w:val="bottom"/>
          </w:tcPr>
          <w:p w14:paraId="582B7258">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4.1.6运营中心</w:t>
            </w:r>
          </w:p>
        </w:tc>
        <w:tc>
          <w:tcPr>
            <w:tcW w:w="5507" w:type="dxa"/>
            <w:noWrap w:val="0"/>
            <w:vAlign w:val="bottom"/>
          </w:tcPr>
          <w:p w14:paraId="0A7B30BB">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提供公告的发布、编辑、删除、撤回等功能。</w:t>
            </w:r>
          </w:p>
        </w:tc>
      </w:tr>
      <w:tr w14:paraId="6AB1C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60" w:type="dxa"/>
            <w:noWrap/>
            <w:vAlign w:val="bottom"/>
          </w:tcPr>
          <w:p w14:paraId="3F42825D">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18</w:t>
            </w:r>
          </w:p>
        </w:tc>
        <w:tc>
          <w:tcPr>
            <w:tcW w:w="1316" w:type="dxa"/>
            <w:vMerge w:val="continue"/>
            <w:noWrap/>
            <w:vAlign w:val="bottom"/>
          </w:tcPr>
          <w:p w14:paraId="096D69E6">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775FAD37">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527D9FFB">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支持应用的上下架审核。</w:t>
            </w:r>
          </w:p>
        </w:tc>
      </w:tr>
      <w:tr w14:paraId="78B43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7" w:hRule="atLeast"/>
        </w:trPr>
        <w:tc>
          <w:tcPr>
            <w:tcW w:w="960" w:type="dxa"/>
            <w:noWrap/>
            <w:vAlign w:val="bottom"/>
          </w:tcPr>
          <w:p w14:paraId="7586EA94">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19</w:t>
            </w:r>
          </w:p>
        </w:tc>
        <w:tc>
          <w:tcPr>
            <w:tcW w:w="1316" w:type="dxa"/>
            <w:vMerge w:val="continue"/>
            <w:noWrap/>
            <w:vAlign w:val="bottom"/>
          </w:tcPr>
          <w:p w14:paraId="417EF3D3">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7252A408">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4811ECF3">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kern w:val="0"/>
                <w:sz w:val="21"/>
                <w:szCs w:val="21"/>
                <w:highlight w:val="none"/>
                <w:lang w:bidi="ar"/>
              </w:rPr>
            </w:pPr>
            <w:r>
              <w:rPr>
                <w:rFonts w:hint="eastAsia" w:ascii="宋体" w:hAnsi="宋体" w:eastAsia="宋体" w:cs="宋体"/>
                <w:color w:val="auto"/>
                <w:sz w:val="21"/>
                <w:szCs w:val="21"/>
                <w:highlight w:val="none"/>
              </w:rPr>
              <w:t>▲</w:t>
            </w:r>
            <w:r>
              <w:rPr>
                <w:rFonts w:hint="eastAsia" w:ascii="宋体" w:hAnsi="宋体" w:eastAsia="宋体" w:cs="宋体"/>
                <w:color w:val="auto"/>
                <w:kern w:val="0"/>
                <w:sz w:val="21"/>
                <w:szCs w:val="21"/>
                <w:highlight w:val="none"/>
                <w:lang w:bidi="ar"/>
              </w:rPr>
              <w:t>统计所有应用访问情况，可指定展示TOP数量的应用、各应用登录情况。统计每个应用的使用效果指标。以及指标指定时间段的趋势图表。</w:t>
            </w:r>
          </w:p>
          <w:p w14:paraId="0202DA73">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kern w:val="0"/>
                <w:sz w:val="21"/>
                <w:szCs w:val="21"/>
                <w:highlight w:val="none"/>
                <w:lang w:bidi="ar"/>
              </w:rPr>
            </w:pPr>
            <w:r>
              <w:rPr>
                <w:rFonts w:hint="eastAsia" w:ascii="宋体" w:hAnsi="宋体" w:cs="宋体"/>
                <w:i w:val="0"/>
                <w:iCs w:val="0"/>
                <w:color w:val="auto"/>
                <w:kern w:val="0"/>
                <w:sz w:val="21"/>
                <w:szCs w:val="21"/>
                <w:highlight w:val="none"/>
                <w:u w:val="none"/>
                <w:lang w:val="en-US" w:eastAsia="zh-CN" w:bidi="ar"/>
              </w:rPr>
              <w:t>提供相关案例截图或证明材料</w:t>
            </w:r>
          </w:p>
        </w:tc>
      </w:tr>
      <w:tr w14:paraId="62DCF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60" w:type="dxa"/>
            <w:noWrap/>
            <w:vAlign w:val="bottom"/>
          </w:tcPr>
          <w:p w14:paraId="4DA6CAA7">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20</w:t>
            </w:r>
          </w:p>
        </w:tc>
        <w:tc>
          <w:tcPr>
            <w:tcW w:w="1316" w:type="dxa"/>
            <w:vMerge w:val="continue"/>
            <w:noWrap/>
            <w:vAlign w:val="bottom"/>
          </w:tcPr>
          <w:p w14:paraId="040A63F5">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06B31D96">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2162B761">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展示用户的意见反馈情况，支持反馈回复等功能。</w:t>
            </w:r>
          </w:p>
        </w:tc>
      </w:tr>
      <w:tr w14:paraId="6B520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60" w:type="dxa"/>
            <w:noWrap/>
            <w:vAlign w:val="bottom"/>
          </w:tcPr>
          <w:p w14:paraId="213F09F6">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21</w:t>
            </w:r>
          </w:p>
        </w:tc>
        <w:tc>
          <w:tcPr>
            <w:tcW w:w="1316" w:type="dxa"/>
            <w:vMerge w:val="continue"/>
            <w:noWrap/>
            <w:vAlign w:val="bottom"/>
          </w:tcPr>
          <w:p w14:paraId="5D5506A8">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6703" w:type="dxa"/>
            <w:gridSpan w:val="2"/>
            <w:noWrap w:val="0"/>
            <w:vAlign w:val="bottom"/>
          </w:tcPr>
          <w:p w14:paraId="597D685B">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4.1.7权限中心</w:t>
            </w:r>
          </w:p>
        </w:tc>
      </w:tr>
      <w:tr w14:paraId="6459F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60" w:type="dxa"/>
            <w:noWrap/>
            <w:vAlign w:val="bottom"/>
          </w:tcPr>
          <w:p w14:paraId="5C250AC6">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22</w:t>
            </w:r>
          </w:p>
        </w:tc>
        <w:tc>
          <w:tcPr>
            <w:tcW w:w="1316" w:type="dxa"/>
            <w:vMerge w:val="continue"/>
            <w:noWrap/>
            <w:vAlign w:val="bottom"/>
          </w:tcPr>
          <w:p w14:paraId="4BC4E4D2">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6703" w:type="dxa"/>
            <w:gridSpan w:val="2"/>
            <w:noWrap w:val="0"/>
            <w:vAlign w:val="bottom"/>
          </w:tcPr>
          <w:p w14:paraId="05A5D168">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4.2 浏览器监控</w:t>
            </w:r>
          </w:p>
        </w:tc>
      </w:tr>
      <w:tr w14:paraId="00C3D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7" w:hRule="atLeast"/>
        </w:trPr>
        <w:tc>
          <w:tcPr>
            <w:tcW w:w="960" w:type="dxa"/>
            <w:noWrap/>
            <w:vAlign w:val="bottom"/>
          </w:tcPr>
          <w:p w14:paraId="3FCC6011">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23</w:t>
            </w:r>
          </w:p>
        </w:tc>
        <w:tc>
          <w:tcPr>
            <w:tcW w:w="1316" w:type="dxa"/>
            <w:vMerge w:val="continue"/>
            <w:noWrap/>
            <w:vAlign w:val="bottom"/>
          </w:tcPr>
          <w:p w14:paraId="2382C209">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restart"/>
            <w:noWrap w:val="0"/>
            <w:vAlign w:val="bottom"/>
          </w:tcPr>
          <w:p w14:paraId="061CFB97">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4.2.1系统感知总览</w:t>
            </w:r>
          </w:p>
        </w:tc>
        <w:tc>
          <w:tcPr>
            <w:tcW w:w="5507" w:type="dxa"/>
            <w:noWrap w:val="0"/>
            <w:vAlign w:val="bottom"/>
          </w:tcPr>
          <w:p w14:paraId="0E38841B">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支持按时间、系统、网络、区域维度进行查询，以系统为视角，查询独立访客数（UV）、独立 IP 数（IP）、页面浏览量（PV）、页面点击量等基础指标，支持精准定位特定场景下的前端监控数据。</w:t>
            </w:r>
          </w:p>
        </w:tc>
      </w:tr>
      <w:tr w14:paraId="2F03F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 w:hRule="atLeast"/>
        </w:trPr>
        <w:tc>
          <w:tcPr>
            <w:tcW w:w="960" w:type="dxa"/>
            <w:noWrap/>
            <w:vAlign w:val="bottom"/>
          </w:tcPr>
          <w:p w14:paraId="1932BB56">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24</w:t>
            </w:r>
          </w:p>
        </w:tc>
        <w:tc>
          <w:tcPr>
            <w:tcW w:w="1316" w:type="dxa"/>
            <w:vMerge w:val="continue"/>
            <w:noWrap/>
            <w:vAlign w:val="bottom"/>
          </w:tcPr>
          <w:p w14:paraId="044132EA">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22B990D2">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7EDA67D2">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kern w:val="0"/>
                <w:sz w:val="21"/>
                <w:szCs w:val="21"/>
                <w:highlight w:val="none"/>
                <w:lang w:bidi="ar"/>
              </w:rPr>
            </w:pPr>
            <w:r>
              <w:rPr>
                <w:rFonts w:hint="eastAsia" w:ascii="宋体" w:hAnsi="宋体" w:eastAsia="宋体" w:cs="宋体"/>
                <w:color w:val="auto"/>
                <w:sz w:val="21"/>
                <w:szCs w:val="21"/>
                <w:highlight w:val="none"/>
              </w:rPr>
              <w:t>▲</w:t>
            </w:r>
            <w:r>
              <w:rPr>
                <w:rFonts w:hint="eastAsia" w:ascii="宋体" w:hAnsi="宋体" w:eastAsia="宋体" w:cs="宋体"/>
                <w:color w:val="auto"/>
                <w:kern w:val="0"/>
                <w:sz w:val="21"/>
                <w:szCs w:val="21"/>
                <w:highlight w:val="none"/>
                <w:lang w:bidi="ar"/>
              </w:rPr>
              <w:t>支持呈现页面耗时趋势数据，覆盖多时间维度的页面打开时长对比，以折线图或其他适当的表现形式展示耗时波动。</w:t>
            </w:r>
          </w:p>
          <w:p w14:paraId="4B915E21">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kern w:val="0"/>
                <w:sz w:val="21"/>
                <w:szCs w:val="21"/>
                <w:highlight w:val="none"/>
                <w:lang w:bidi="ar"/>
              </w:rPr>
            </w:pPr>
            <w:r>
              <w:rPr>
                <w:rFonts w:hint="eastAsia" w:ascii="宋体" w:hAnsi="宋体" w:cs="宋体"/>
                <w:i w:val="0"/>
                <w:iCs w:val="0"/>
                <w:color w:val="auto"/>
                <w:kern w:val="0"/>
                <w:sz w:val="21"/>
                <w:szCs w:val="21"/>
                <w:highlight w:val="none"/>
                <w:u w:val="none"/>
                <w:lang w:val="en-US" w:eastAsia="zh-CN" w:bidi="ar"/>
              </w:rPr>
              <w:t>提供相关案例截图或证明材料</w:t>
            </w:r>
          </w:p>
        </w:tc>
      </w:tr>
      <w:tr w14:paraId="39AD2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960" w:type="dxa"/>
            <w:noWrap/>
            <w:vAlign w:val="bottom"/>
          </w:tcPr>
          <w:p w14:paraId="1F95B555">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25</w:t>
            </w:r>
          </w:p>
        </w:tc>
        <w:tc>
          <w:tcPr>
            <w:tcW w:w="1316" w:type="dxa"/>
            <w:vMerge w:val="continue"/>
            <w:noWrap/>
            <w:vAlign w:val="bottom"/>
          </w:tcPr>
          <w:p w14:paraId="6C230753">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316C219C">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2FFF8D9A">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支持根据地图可视化呈现不同区域页面和系统性能分布。</w:t>
            </w:r>
          </w:p>
        </w:tc>
      </w:tr>
      <w:tr w14:paraId="646D5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0" w:type="dxa"/>
            <w:noWrap/>
            <w:vAlign w:val="bottom"/>
          </w:tcPr>
          <w:p w14:paraId="1AD38933">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26</w:t>
            </w:r>
          </w:p>
        </w:tc>
        <w:tc>
          <w:tcPr>
            <w:tcW w:w="1316" w:type="dxa"/>
            <w:vMerge w:val="continue"/>
            <w:noWrap/>
            <w:vAlign w:val="bottom"/>
          </w:tcPr>
          <w:p w14:paraId="5AE8E8A2">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restart"/>
            <w:noWrap w:val="0"/>
            <w:vAlign w:val="bottom"/>
          </w:tcPr>
          <w:p w14:paraId="3372C228">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4.2.2页面性能分析</w:t>
            </w:r>
          </w:p>
        </w:tc>
        <w:tc>
          <w:tcPr>
            <w:tcW w:w="5507" w:type="dxa"/>
            <w:noWrap w:val="0"/>
            <w:vAlign w:val="bottom"/>
          </w:tcPr>
          <w:p w14:paraId="09133F2A">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auto"/>
              <w:rPr>
                <w:rFonts w:hint="eastAsia" w:ascii="宋体" w:hAnsi="宋体" w:eastAsia="宋体" w:cs="宋体"/>
                <w:color w:val="auto"/>
                <w:kern w:val="0"/>
                <w:sz w:val="21"/>
                <w:szCs w:val="21"/>
                <w:highlight w:val="none"/>
                <w:lang w:bidi="ar"/>
              </w:rPr>
            </w:pPr>
            <w:r>
              <w:rPr>
                <w:rFonts w:hint="eastAsia" w:ascii="宋体" w:hAnsi="宋体" w:eastAsia="宋体" w:cs="宋体"/>
                <w:color w:val="auto"/>
                <w:sz w:val="21"/>
                <w:szCs w:val="21"/>
                <w:highlight w:val="none"/>
              </w:rPr>
              <w:t>▲</w:t>
            </w:r>
            <w:r>
              <w:rPr>
                <w:rFonts w:hint="eastAsia" w:ascii="宋体" w:hAnsi="宋体" w:eastAsia="宋体" w:cs="宋体"/>
                <w:color w:val="auto"/>
                <w:kern w:val="0"/>
                <w:sz w:val="21"/>
                <w:szCs w:val="21"/>
                <w:highlight w:val="none"/>
                <w:lang w:bidi="ar"/>
              </w:rPr>
              <w:t>支持按系统、页面维度参数、网络、耗时等维度，统计展现请求响应、白屏时间、首屏时间、打开时长等性能指标，同时覆盖深度分析指标（如长日偏离等）。</w:t>
            </w:r>
          </w:p>
          <w:p w14:paraId="73137929">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auto"/>
              <w:rPr>
                <w:rFonts w:hint="eastAsia" w:ascii="宋体" w:hAnsi="宋体" w:eastAsia="宋体" w:cs="宋体"/>
                <w:color w:val="auto"/>
                <w:kern w:val="0"/>
                <w:sz w:val="21"/>
                <w:szCs w:val="21"/>
                <w:highlight w:val="none"/>
                <w:lang w:bidi="ar"/>
              </w:rPr>
            </w:pPr>
            <w:r>
              <w:rPr>
                <w:rFonts w:hint="eastAsia" w:ascii="宋体" w:hAnsi="宋体" w:cs="宋体"/>
                <w:i w:val="0"/>
                <w:iCs w:val="0"/>
                <w:color w:val="auto"/>
                <w:kern w:val="0"/>
                <w:sz w:val="21"/>
                <w:szCs w:val="21"/>
                <w:highlight w:val="none"/>
                <w:u w:val="none"/>
                <w:lang w:val="en-US" w:eastAsia="zh-CN" w:bidi="ar"/>
              </w:rPr>
              <w:t>提供相关案例截图或证明材料</w:t>
            </w:r>
          </w:p>
        </w:tc>
      </w:tr>
      <w:tr w14:paraId="151EB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5" w:hRule="atLeast"/>
        </w:trPr>
        <w:tc>
          <w:tcPr>
            <w:tcW w:w="960" w:type="dxa"/>
            <w:noWrap/>
            <w:vAlign w:val="bottom"/>
          </w:tcPr>
          <w:p w14:paraId="301AB5B9">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27</w:t>
            </w:r>
          </w:p>
        </w:tc>
        <w:tc>
          <w:tcPr>
            <w:tcW w:w="1316" w:type="dxa"/>
            <w:vMerge w:val="continue"/>
            <w:noWrap/>
            <w:vAlign w:val="bottom"/>
          </w:tcPr>
          <w:p w14:paraId="13088277">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79365A0F">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79C8CF2C">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支持呈现页面打开时长趋势数据，覆盖今日、昨日、上周等时间维度对比，以折线图形式或其他适当的表现形式展示不同时段打开时长波动，支持切换查看 “打开时长”“浏览量” 双维度趋势曲线。</w:t>
            </w:r>
          </w:p>
        </w:tc>
      </w:tr>
      <w:tr w14:paraId="30FA0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960" w:type="dxa"/>
            <w:noWrap/>
            <w:vAlign w:val="bottom"/>
          </w:tcPr>
          <w:p w14:paraId="06F7DECB">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28</w:t>
            </w:r>
          </w:p>
        </w:tc>
        <w:tc>
          <w:tcPr>
            <w:tcW w:w="1316" w:type="dxa"/>
            <w:vMerge w:val="continue"/>
            <w:noWrap/>
            <w:vAlign w:val="bottom"/>
          </w:tcPr>
          <w:p w14:paraId="6679E289">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46179781">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5E453616">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支持基于地图可视化呈现不同区域页面性能分布。</w:t>
            </w:r>
          </w:p>
        </w:tc>
      </w:tr>
      <w:tr w14:paraId="710CC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7" w:hRule="atLeast"/>
        </w:trPr>
        <w:tc>
          <w:tcPr>
            <w:tcW w:w="960" w:type="dxa"/>
            <w:noWrap/>
            <w:vAlign w:val="bottom"/>
          </w:tcPr>
          <w:p w14:paraId="51E63A17">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29</w:t>
            </w:r>
          </w:p>
        </w:tc>
        <w:tc>
          <w:tcPr>
            <w:tcW w:w="1316" w:type="dxa"/>
            <w:vMerge w:val="continue"/>
            <w:noWrap/>
            <w:vAlign w:val="bottom"/>
          </w:tcPr>
          <w:p w14:paraId="66A134EC">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1FA3A32A">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510AE280">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支持按浏览器、操作系统、IP分析等不同维度，以柱状图 + 折线图结合形式或其他适当的表现形式展示浏览量与耗时分布，识别不同终端环境下的性能差异。</w:t>
            </w:r>
          </w:p>
        </w:tc>
      </w:tr>
      <w:tr w14:paraId="592BD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60" w:type="dxa"/>
            <w:noWrap/>
            <w:vAlign w:val="bottom"/>
          </w:tcPr>
          <w:p w14:paraId="2F2FCEF1">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30</w:t>
            </w:r>
          </w:p>
        </w:tc>
        <w:tc>
          <w:tcPr>
            <w:tcW w:w="1316" w:type="dxa"/>
            <w:vMerge w:val="continue"/>
            <w:noWrap/>
            <w:vAlign w:val="bottom"/>
          </w:tcPr>
          <w:p w14:paraId="44576678">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6703" w:type="dxa"/>
            <w:gridSpan w:val="2"/>
            <w:noWrap w:val="0"/>
            <w:vAlign w:val="bottom"/>
          </w:tcPr>
          <w:p w14:paraId="48F7F079">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4.2.3页面详情查询</w:t>
            </w:r>
          </w:p>
        </w:tc>
      </w:tr>
      <w:tr w14:paraId="34210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7" w:hRule="atLeast"/>
        </w:trPr>
        <w:tc>
          <w:tcPr>
            <w:tcW w:w="960" w:type="dxa"/>
            <w:noWrap/>
            <w:vAlign w:val="bottom"/>
          </w:tcPr>
          <w:p w14:paraId="1EF92ECC">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31</w:t>
            </w:r>
          </w:p>
        </w:tc>
        <w:tc>
          <w:tcPr>
            <w:tcW w:w="1316" w:type="dxa"/>
            <w:vMerge w:val="continue"/>
            <w:noWrap/>
            <w:vAlign w:val="bottom"/>
          </w:tcPr>
          <w:p w14:paraId="724A216B">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restart"/>
            <w:noWrap w:val="0"/>
            <w:vAlign w:val="bottom"/>
          </w:tcPr>
          <w:p w14:paraId="2AA7BB54">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4.2.4页面弹窗分析</w:t>
            </w:r>
          </w:p>
        </w:tc>
        <w:tc>
          <w:tcPr>
            <w:tcW w:w="5507" w:type="dxa"/>
            <w:noWrap w:val="0"/>
            <w:vAlign w:val="bottom"/>
          </w:tcPr>
          <w:p w14:paraId="258C4D02">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kern w:val="0"/>
                <w:sz w:val="21"/>
                <w:szCs w:val="21"/>
                <w:highlight w:val="none"/>
                <w:lang w:bidi="ar"/>
              </w:rPr>
            </w:pPr>
            <w:r>
              <w:rPr>
                <w:rFonts w:hint="eastAsia" w:ascii="宋体" w:hAnsi="宋体" w:eastAsia="宋体" w:cs="宋体"/>
                <w:color w:val="auto"/>
                <w:sz w:val="21"/>
                <w:szCs w:val="21"/>
                <w:highlight w:val="none"/>
              </w:rPr>
              <w:t>▲</w:t>
            </w:r>
            <w:r>
              <w:rPr>
                <w:rFonts w:hint="eastAsia" w:ascii="宋体" w:hAnsi="宋体" w:eastAsia="宋体" w:cs="宋体"/>
                <w:color w:val="auto"/>
                <w:kern w:val="0"/>
                <w:sz w:val="21"/>
                <w:szCs w:val="21"/>
                <w:highlight w:val="none"/>
                <w:lang w:bidi="ar"/>
              </w:rPr>
              <w:t>支持按系统、页面、时长阶段、网络、频率、时间等维度，统计展示查询页面弹窗信息、弹窗次数、弹窗同比数据等指标。</w:t>
            </w:r>
          </w:p>
          <w:p w14:paraId="78D24234">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kern w:val="0"/>
                <w:sz w:val="21"/>
                <w:szCs w:val="21"/>
                <w:highlight w:val="none"/>
                <w:lang w:bidi="ar"/>
              </w:rPr>
            </w:pPr>
            <w:r>
              <w:rPr>
                <w:rFonts w:hint="eastAsia" w:ascii="宋体" w:hAnsi="宋体" w:cs="宋体"/>
                <w:i w:val="0"/>
                <w:iCs w:val="0"/>
                <w:color w:val="auto"/>
                <w:kern w:val="0"/>
                <w:sz w:val="21"/>
                <w:szCs w:val="21"/>
                <w:highlight w:val="none"/>
                <w:u w:val="none"/>
                <w:lang w:val="en-US" w:eastAsia="zh-CN" w:bidi="ar"/>
              </w:rPr>
              <w:t>提供相关案例截图或证明材料</w:t>
            </w:r>
          </w:p>
        </w:tc>
      </w:tr>
      <w:tr w14:paraId="1477B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0" w:type="dxa"/>
            <w:noWrap/>
            <w:vAlign w:val="bottom"/>
          </w:tcPr>
          <w:p w14:paraId="733C6D15">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32</w:t>
            </w:r>
          </w:p>
        </w:tc>
        <w:tc>
          <w:tcPr>
            <w:tcW w:w="1316" w:type="dxa"/>
            <w:vMerge w:val="continue"/>
            <w:noWrap/>
            <w:vAlign w:val="bottom"/>
          </w:tcPr>
          <w:p w14:paraId="627D1E8B">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0D28F97E">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4FD30B9B">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支持趋势数据，覆盖今日、昨日、上周等时间维度对比，以图表展示不同时段弹窗趋势波动。</w:t>
            </w:r>
          </w:p>
        </w:tc>
      </w:tr>
      <w:tr w14:paraId="113C3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960" w:type="dxa"/>
            <w:noWrap/>
            <w:vAlign w:val="bottom"/>
          </w:tcPr>
          <w:p w14:paraId="01B69F55">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33</w:t>
            </w:r>
          </w:p>
        </w:tc>
        <w:tc>
          <w:tcPr>
            <w:tcW w:w="1316" w:type="dxa"/>
            <w:vMerge w:val="continue"/>
            <w:noWrap/>
            <w:vAlign w:val="bottom"/>
          </w:tcPr>
          <w:p w14:paraId="749EB780">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489ADC4D">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3B834907">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支持基于地图可视化呈现不同区域弹窗分布。</w:t>
            </w:r>
          </w:p>
        </w:tc>
      </w:tr>
      <w:tr w14:paraId="71D9E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960" w:type="dxa"/>
            <w:noWrap/>
            <w:vAlign w:val="bottom"/>
          </w:tcPr>
          <w:p w14:paraId="263318B5">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34</w:t>
            </w:r>
          </w:p>
        </w:tc>
        <w:tc>
          <w:tcPr>
            <w:tcW w:w="1316" w:type="dxa"/>
            <w:vMerge w:val="continue"/>
            <w:noWrap/>
            <w:vAlign w:val="bottom"/>
          </w:tcPr>
          <w:p w14:paraId="52519883">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79CE36DC">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3320D03C">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支持按浏览器、操作系统、IP分析等不同维度，以柱状图、折线图结合形式或其他适当的表现形式展示弹窗分布。</w:t>
            </w:r>
          </w:p>
        </w:tc>
      </w:tr>
      <w:tr w14:paraId="63580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9" w:hRule="atLeast"/>
        </w:trPr>
        <w:tc>
          <w:tcPr>
            <w:tcW w:w="960" w:type="dxa"/>
            <w:noWrap/>
            <w:vAlign w:val="bottom"/>
          </w:tcPr>
          <w:p w14:paraId="7EE6DAF5">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35</w:t>
            </w:r>
          </w:p>
        </w:tc>
        <w:tc>
          <w:tcPr>
            <w:tcW w:w="1316" w:type="dxa"/>
            <w:vMerge w:val="continue"/>
            <w:noWrap/>
            <w:vAlign w:val="bottom"/>
          </w:tcPr>
          <w:p w14:paraId="5B77DE4D">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6703" w:type="dxa"/>
            <w:gridSpan w:val="2"/>
            <w:noWrap w:val="0"/>
            <w:vAlign w:val="bottom"/>
          </w:tcPr>
          <w:p w14:paraId="15F8865E">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4.2.5页面请求分析</w:t>
            </w:r>
          </w:p>
          <w:p w14:paraId="3ACE4280">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4.2.6页面错误分析</w:t>
            </w:r>
          </w:p>
          <w:p w14:paraId="29003BA6">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4.2.7用户稽核</w:t>
            </w:r>
          </w:p>
        </w:tc>
      </w:tr>
      <w:tr w14:paraId="78429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7" w:hRule="atLeast"/>
        </w:trPr>
        <w:tc>
          <w:tcPr>
            <w:tcW w:w="960" w:type="dxa"/>
            <w:noWrap/>
            <w:vAlign w:val="bottom"/>
          </w:tcPr>
          <w:p w14:paraId="2A4900CD">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36</w:t>
            </w:r>
          </w:p>
        </w:tc>
        <w:tc>
          <w:tcPr>
            <w:tcW w:w="1316" w:type="dxa"/>
            <w:vMerge w:val="continue"/>
            <w:noWrap/>
            <w:vAlign w:val="bottom"/>
          </w:tcPr>
          <w:p w14:paraId="4516AC55">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noWrap w:val="0"/>
            <w:vAlign w:val="bottom"/>
          </w:tcPr>
          <w:p w14:paraId="2B8B22C4">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4.2.8用户轨迹</w:t>
            </w:r>
          </w:p>
        </w:tc>
        <w:tc>
          <w:tcPr>
            <w:tcW w:w="5507" w:type="dxa"/>
            <w:noWrap w:val="0"/>
            <w:vAlign w:val="bottom"/>
          </w:tcPr>
          <w:p w14:paraId="1E2295AF">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支持通过系统、网络、类型、用户等多维度筛选，查询页面操作日志，涵盖时间、地域、终端环境、操作流程及耗时等信息，支持展示分析页面级操作的细粒度运行指标。</w:t>
            </w:r>
          </w:p>
        </w:tc>
      </w:tr>
      <w:tr w14:paraId="71DE6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2" w:hRule="atLeast"/>
        </w:trPr>
        <w:tc>
          <w:tcPr>
            <w:tcW w:w="960" w:type="dxa"/>
            <w:noWrap/>
            <w:vAlign w:val="bottom"/>
          </w:tcPr>
          <w:p w14:paraId="2290A443">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37</w:t>
            </w:r>
          </w:p>
        </w:tc>
        <w:tc>
          <w:tcPr>
            <w:tcW w:w="1316" w:type="dxa"/>
            <w:vMerge w:val="continue"/>
            <w:noWrap/>
            <w:vAlign w:val="bottom"/>
          </w:tcPr>
          <w:p w14:paraId="322AD058">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6703" w:type="dxa"/>
            <w:gridSpan w:val="2"/>
            <w:noWrap w:val="0"/>
            <w:vAlign w:val="bottom"/>
          </w:tcPr>
          <w:p w14:paraId="41ACE77F">
            <w:pPr>
              <w:keepNext w:val="0"/>
              <w:keepLines w:val="0"/>
              <w:pageBreakBefore w:val="0"/>
              <w:widowControl/>
              <w:tabs>
                <w:tab w:val="left" w:pos="896"/>
              </w:tabs>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4.2.9前端告警查询</w:t>
            </w:r>
          </w:p>
          <w:p w14:paraId="31B4C135">
            <w:pPr>
              <w:keepNext w:val="0"/>
              <w:keepLines w:val="0"/>
              <w:pageBreakBefore w:val="0"/>
              <w:widowControl/>
              <w:tabs>
                <w:tab w:val="left" w:pos="896"/>
              </w:tabs>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4.2.10前端告警配置</w:t>
            </w:r>
          </w:p>
          <w:p w14:paraId="164A1496">
            <w:pPr>
              <w:keepNext w:val="0"/>
              <w:keepLines w:val="0"/>
              <w:pageBreakBefore w:val="0"/>
              <w:widowControl/>
              <w:tabs>
                <w:tab w:val="left" w:pos="896"/>
              </w:tabs>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4.2.11运营分析</w:t>
            </w:r>
          </w:p>
          <w:p w14:paraId="1D45000E">
            <w:pPr>
              <w:keepNext w:val="0"/>
              <w:keepLines w:val="0"/>
              <w:pageBreakBefore w:val="0"/>
              <w:widowControl/>
              <w:tabs>
                <w:tab w:val="left" w:pos="896"/>
              </w:tabs>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4.2.12数据采集</w:t>
            </w:r>
          </w:p>
        </w:tc>
      </w:tr>
      <w:tr w14:paraId="5D6C3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60" w:type="dxa"/>
            <w:noWrap/>
            <w:vAlign w:val="bottom"/>
          </w:tcPr>
          <w:p w14:paraId="7531677C">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38</w:t>
            </w:r>
          </w:p>
        </w:tc>
        <w:tc>
          <w:tcPr>
            <w:tcW w:w="1316" w:type="dxa"/>
            <w:vMerge w:val="continue"/>
            <w:noWrap/>
            <w:vAlign w:val="bottom"/>
          </w:tcPr>
          <w:p w14:paraId="45DA0126">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6703" w:type="dxa"/>
            <w:gridSpan w:val="2"/>
            <w:noWrap w:val="0"/>
            <w:vAlign w:val="bottom"/>
          </w:tcPr>
          <w:p w14:paraId="0930BACC">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4.3 全链路调用链监控</w:t>
            </w:r>
          </w:p>
        </w:tc>
      </w:tr>
      <w:tr w14:paraId="2C4DE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trPr>
        <w:tc>
          <w:tcPr>
            <w:tcW w:w="960" w:type="dxa"/>
            <w:noWrap/>
            <w:vAlign w:val="bottom"/>
          </w:tcPr>
          <w:p w14:paraId="2AD4E03C">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39</w:t>
            </w:r>
          </w:p>
        </w:tc>
        <w:tc>
          <w:tcPr>
            <w:tcW w:w="1316" w:type="dxa"/>
            <w:vMerge w:val="continue"/>
            <w:noWrap/>
            <w:vAlign w:val="bottom"/>
          </w:tcPr>
          <w:p w14:paraId="58A40FD1">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6703" w:type="dxa"/>
            <w:gridSpan w:val="2"/>
            <w:noWrap w:val="0"/>
            <w:vAlign w:val="bottom"/>
          </w:tcPr>
          <w:p w14:paraId="533530D7">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4.3.1链路数据采集监控</w:t>
            </w:r>
          </w:p>
        </w:tc>
      </w:tr>
      <w:tr w14:paraId="028C0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 w:hRule="atLeast"/>
        </w:trPr>
        <w:tc>
          <w:tcPr>
            <w:tcW w:w="960" w:type="dxa"/>
            <w:noWrap/>
            <w:vAlign w:val="bottom"/>
          </w:tcPr>
          <w:p w14:paraId="6EAC0ED7">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40</w:t>
            </w:r>
          </w:p>
        </w:tc>
        <w:tc>
          <w:tcPr>
            <w:tcW w:w="1316" w:type="dxa"/>
            <w:vMerge w:val="continue"/>
            <w:noWrap/>
            <w:vAlign w:val="bottom"/>
          </w:tcPr>
          <w:p w14:paraId="7A449E69">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restart"/>
            <w:noWrap w:val="0"/>
            <w:vAlign w:val="bottom"/>
          </w:tcPr>
          <w:p w14:paraId="44FB590B">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4.3.2链路运行总览</w:t>
            </w:r>
          </w:p>
        </w:tc>
        <w:tc>
          <w:tcPr>
            <w:tcW w:w="5507" w:type="dxa"/>
            <w:noWrap w:val="0"/>
            <w:vAlign w:val="bottom"/>
          </w:tcPr>
          <w:p w14:paraId="6740EDDB">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kern w:val="0"/>
                <w:sz w:val="21"/>
                <w:szCs w:val="21"/>
                <w:highlight w:val="none"/>
                <w:lang w:bidi="ar"/>
              </w:rPr>
            </w:pPr>
            <w:r>
              <w:rPr>
                <w:rFonts w:hint="eastAsia" w:ascii="宋体" w:hAnsi="宋体" w:eastAsia="宋体" w:cs="宋体"/>
                <w:color w:val="auto"/>
                <w:sz w:val="21"/>
                <w:szCs w:val="21"/>
                <w:highlight w:val="none"/>
              </w:rPr>
              <w:t>▲</w:t>
            </w:r>
            <w:r>
              <w:rPr>
                <w:rFonts w:hint="eastAsia" w:ascii="宋体" w:hAnsi="宋体" w:eastAsia="宋体" w:cs="宋体"/>
                <w:color w:val="auto"/>
                <w:kern w:val="0"/>
                <w:sz w:val="21"/>
                <w:szCs w:val="21"/>
                <w:highlight w:val="none"/>
                <w:lang w:bidi="ar"/>
              </w:rPr>
              <w:t>支持以系统视角查询系统告警服务数、总调用量、响应时长、TP指标、失败率、系统异常量等指标。</w:t>
            </w:r>
          </w:p>
          <w:p w14:paraId="11F8AD72">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kern w:val="0"/>
                <w:sz w:val="21"/>
                <w:szCs w:val="21"/>
                <w:highlight w:val="none"/>
                <w:lang w:bidi="ar"/>
              </w:rPr>
            </w:pPr>
            <w:r>
              <w:rPr>
                <w:rFonts w:hint="eastAsia" w:ascii="宋体" w:hAnsi="宋体" w:cs="宋体"/>
                <w:i w:val="0"/>
                <w:iCs w:val="0"/>
                <w:color w:val="auto"/>
                <w:kern w:val="0"/>
                <w:sz w:val="21"/>
                <w:szCs w:val="21"/>
                <w:highlight w:val="none"/>
                <w:u w:val="none"/>
                <w:lang w:val="en-US" w:eastAsia="zh-CN" w:bidi="ar"/>
              </w:rPr>
              <w:t>提供相关案例截图或证明材料</w:t>
            </w:r>
          </w:p>
        </w:tc>
      </w:tr>
      <w:tr w14:paraId="62F9F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 w:hRule="atLeast"/>
        </w:trPr>
        <w:tc>
          <w:tcPr>
            <w:tcW w:w="960" w:type="dxa"/>
            <w:noWrap/>
            <w:vAlign w:val="bottom"/>
          </w:tcPr>
          <w:p w14:paraId="0A28D74B">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41</w:t>
            </w:r>
          </w:p>
        </w:tc>
        <w:tc>
          <w:tcPr>
            <w:tcW w:w="1316" w:type="dxa"/>
            <w:vMerge w:val="continue"/>
            <w:noWrap/>
            <w:vAlign w:val="bottom"/>
          </w:tcPr>
          <w:p w14:paraId="175B9765">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59D19EB0">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1DBE2D04">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支持查询系统的告警趋势，查看今日原始告警、今日收敛告警、昨日原始告警、昨日收敛告警趋势，并能根据指定时间维度进行对比展示。</w:t>
            </w:r>
          </w:p>
        </w:tc>
      </w:tr>
      <w:tr w14:paraId="6C87E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 w:hRule="atLeast"/>
        </w:trPr>
        <w:tc>
          <w:tcPr>
            <w:tcW w:w="960" w:type="dxa"/>
            <w:noWrap/>
            <w:vAlign w:val="bottom"/>
          </w:tcPr>
          <w:p w14:paraId="0F18AA41">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42</w:t>
            </w:r>
          </w:p>
        </w:tc>
        <w:tc>
          <w:tcPr>
            <w:tcW w:w="1316" w:type="dxa"/>
            <w:vMerge w:val="continue"/>
            <w:noWrap/>
            <w:vAlign w:val="bottom"/>
          </w:tcPr>
          <w:p w14:paraId="025F28A8">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438BBA15">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50E3D82D">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kern w:val="0"/>
                <w:sz w:val="21"/>
                <w:szCs w:val="21"/>
                <w:highlight w:val="none"/>
                <w:lang w:bidi="ar"/>
              </w:rPr>
            </w:pPr>
            <w:r>
              <w:rPr>
                <w:rFonts w:hint="eastAsia" w:ascii="宋体" w:hAnsi="宋体" w:eastAsia="宋体" w:cs="宋体"/>
                <w:color w:val="auto"/>
                <w:sz w:val="21"/>
                <w:szCs w:val="21"/>
                <w:highlight w:val="none"/>
              </w:rPr>
              <w:t>▲</w:t>
            </w:r>
            <w:r>
              <w:rPr>
                <w:rFonts w:hint="eastAsia" w:ascii="宋体" w:hAnsi="宋体" w:eastAsia="宋体" w:cs="宋体"/>
                <w:color w:val="auto"/>
                <w:kern w:val="0"/>
                <w:sz w:val="21"/>
                <w:szCs w:val="21"/>
                <w:highlight w:val="none"/>
                <w:lang w:bidi="ar"/>
              </w:rPr>
              <w:t>支持查询系统的指标运行趋势，查看指定多个时间维度的调用量、失败率、三秒超时率等指标，并能根据指定时间维度进行对比展示查询。</w:t>
            </w:r>
          </w:p>
          <w:p w14:paraId="1DB0DC4E">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kern w:val="0"/>
                <w:sz w:val="21"/>
                <w:szCs w:val="21"/>
                <w:highlight w:val="none"/>
                <w:lang w:bidi="ar"/>
              </w:rPr>
            </w:pPr>
            <w:r>
              <w:rPr>
                <w:rFonts w:hint="eastAsia" w:ascii="宋体" w:hAnsi="宋体" w:cs="宋体"/>
                <w:i w:val="0"/>
                <w:iCs w:val="0"/>
                <w:color w:val="auto"/>
                <w:kern w:val="0"/>
                <w:sz w:val="21"/>
                <w:szCs w:val="21"/>
                <w:highlight w:val="none"/>
                <w:u w:val="none"/>
                <w:lang w:val="en-US" w:eastAsia="zh-CN" w:bidi="ar"/>
              </w:rPr>
              <w:t>提供相关案例截图或证明材料</w:t>
            </w:r>
          </w:p>
        </w:tc>
      </w:tr>
      <w:tr w14:paraId="1CACE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 w:hRule="atLeast"/>
        </w:trPr>
        <w:tc>
          <w:tcPr>
            <w:tcW w:w="960" w:type="dxa"/>
            <w:noWrap/>
            <w:vAlign w:val="bottom"/>
          </w:tcPr>
          <w:p w14:paraId="4A276907">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43</w:t>
            </w:r>
          </w:p>
        </w:tc>
        <w:tc>
          <w:tcPr>
            <w:tcW w:w="1316" w:type="dxa"/>
            <w:vMerge w:val="continue"/>
            <w:noWrap/>
            <w:vAlign w:val="bottom"/>
          </w:tcPr>
          <w:p w14:paraId="2567F360">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7647534D">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4413F2B0">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支持系统以故障拓扑形式动态展现告警服务的节点与拓扑，支持快速分析告警的根因服务及服务的影响范围的能力。</w:t>
            </w:r>
          </w:p>
        </w:tc>
      </w:tr>
      <w:tr w14:paraId="3EFF0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7" w:hRule="atLeast"/>
        </w:trPr>
        <w:tc>
          <w:tcPr>
            <w:tcW w:w="960" w:type="dxa"/>
            <w:noWrap/>
            <w:vAlign w:val="bottom"/>
          </w:tcPr>
          <w:p w14:paraId="0A30DF56">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44</w:t>
            </w:r>
          </w:p>
        </w:tc>
        <w:tc>
          <w:tcPr>
            <w:tcW w:w="1316" w:type="dxa"/>
            <w:vMerge w:val="continue"/>
            <w:noWrap/>
            <w:vAlign w:val="bottom"/>
          </w:tcPr>
          <w:p w14:paraId="1428D5D5">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3C690525">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22E59F3F">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支持服务告警分析，支持查看当前系统告警服务列表，并支持切换查询服务的调用指标，主要包括服务调用量、失败率、三秒超时率、影响服务数等情况及指标的运行趋势。</w:t>
            </w:r>
          </w:p>
        </w:tc>
      </w:tr>
      <w:tr w14:paraId="3AA97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60" w:type="dxa"/>
            <w:noWrap/>
            <w:vAlign w:val="bottom"/>
          </w:tcPr>
          <w:p w14:paraId="550B7103">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45</w:t>
            </w:r>
          </w:p>
        </w:tc>
        <w:tc>
          <w:tcPr>
            <w:tcW w:w="1316" w:type="dxa"/>
            <w:vMerge w:val="continue"/>
            <w:noWrap/>
            <w:vAlign w:val="bottom"/>
          </w:tcPr>
          <w:p w14:paraId="6496A7B3">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6703" w:type="dxa"/>
            <w:gridSpan w:val="2"/>
            <w:noWrap w:val="0"/>
            <w:vAlign w:val="bottom"/>
          </w:tcPr>
          <w:p w14:paraId="0BD2C95B">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4.3.3调用链展现</w:t>
            </w:r>
          </w:p>
        </w:tc>
      </w:tr>
      <w:tr w14:paraId="4B037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5" w:hRule="atLeast"/>
        </w:trPr>
        <w:tc>
          <w:tcPr>
            <w:tcW w:w="960" w:type="dxa"/>
            <w:noWrap/>
            <w:vAlign w:val="bottom"/>
          </w:tcPr>
          <w:p w14:paraId="1F4C25A3">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46</w:t>
            </w:r>
          </w:p>
        </w:tc>
        <w:tc>
          <w:tcPr>
            <w:tcW w:w="1316" w:type="dxa"/>
            <w:vMerge w:val="continue"/>
            <w:noWrap/>
            <w:vAlign w:val="bottom"/>
          </w:tcPr>
          <w:p w14:paraId="4BAAA494">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restart"/>
            <w:noWrap w:val="0"/>
            <w:vAlign w:val="bottom"/>
          </w:tcPr>
          <w:p w14:paraId="0B55889B">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4.3.4根因分析</w:t>
            </w:r>
          </w:p>
        </w:tc>
        <w:tc>
          <w:tcPr>
            <w:tcW w:w="5507" w:type="dxa"/>
            <w:noWrap w:val="0"/>
            <w:vAlign w:val="bottom"/>
          </w:tcPr>
          <w:p w14:paraId="77EA54F6">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支持查询服务与服务、服务与组件、服务与外部接口调用关系并拉通指标与告警，支持故障时上下游服务切换逐步下钻定位根因，支持分析服务、数据库、及中间件调用量、失败量、超时量、系统异常量等指标。</w:t>
            </w:r>
          </w:p>
        </w:tc>
      </w:tr>
      <w:tr w14:paraId="583E2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7" w:hRule="atLeast"/>
        </w:trPr>
        <w:tc>
          <w:tcPr>
            <w:tcW w:w="960" w:type="dxa"/>
            <w:noWrap/>
            <w:vAlign w:val="bottom"/>
          </w:tcPr>
          <w:p w14:paraId="48B517C1">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47</w:t>
            </w:r>
          </w:p>
        </w:tc>
        <w:tc>
          <w:tcPr>
            <w:tcW w:w="1316" w:type="dxa"/>
            <w:vMerge w:val="continue"/>
            <w:noWrap/>
            <w:vAlign w:val="bottom"/>
          </w:tcPr>
          <w:p w14:paraId="5074ABDE">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15489D89">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35200AAA">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支持查看服务调用趋势，查看服务调用量、不同等级的超时量、服务失败量、方法异常量、系统异常量、耗时等指标的调用趋势图，分析服务性能趋势。</w:t>
            </w:r>
          </w:p>
        </w:tc>
      </w:tr>
      <w:tr w14:paraId="3F6D9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 w:hRule="atLeast"/>
        </w:trPr>
        <w:tc>
          <w:tcPr>
            <w:tcW w:w="960" w:type="dxa"/>
            <w:noWrap/>
            <w:vAlign w:val="bottom"/>
          </w:tcPr>
          <w:p w14:paraId="5B701101">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48</w:t>
            </w:r>
          </w:p>
        </w:tc>
        <w:tc>
          <w:tcPr>
            <w:tcW w:w="1316" w:type="dxa"/>
            <w:vMerge w:val="continue"/>
            <w:noWrap/>
            <w:vAlign w:val="bottom"/>
          </w:tcPr>
          <w:p w14:paraId="119F78E4">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7026A330">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1D73A48A">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支持查看服务报错分类详情，查看系统异常与业务异常下的错误信息、错误类型、错误数量等指标。</w:t>
            </w:r>
          </w:p>
        </w:tc>
      </w:tr>
      <w:tr w14:paraId="00D0B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7" w:hRule="atLeast"/>
        </w:trPr>
        <w:tc>
          <w:tcPr>
            <w:tcW w:w="960" w:type="dxa"/>
            <w:noWrap/>
            <w:vAlign w:val="bottom"/>
          </w:tcPr>
          <w:p w14:paraId="03256648">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49</w:t>
            </w:r>
          </w:p>
        </w:tc>
        <w:tc>
          <w:tcPr>
            <w:tcW w:w="1316" w:type="dxa"/>
            <w:vMerge w:val="continue"/>
            <w:noWrap/>
            <w:vAlign w:val="bottom"/>
          </w:tcPr>
          <w:p w14:paraId="7ECA0A83">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71E0B0B2">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689D0A6E">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kern w:val="0"/>
                <w:sz w:val="21"/>
                <w:szCs w:val="21"/>
                <w:highlight w:val="none"/>
                <w:lang w:bidi="ar"/>
              </w:rPr>
            </w:pPr>
            <w:r>
              <w:rPr>
                <w:rFonts w:hint="eastAsia" w:ascii="宋体" w:hAnsi="宋体" w:eastAsia="宋体" w:cs="宋体"/>
                <w:color w:val="auto"/>
                <w:sz w:val="21"/>
                <w:szCs w:val="21"/>
                <w:highlight w:val="none"/>
              </w:rPr>
              <w:t>▲</w:t>
            </w:r>
            <w:r>
              <w:rPr>
                <w:rFonts w:hint="eastAsia" w:ascii="宋体" w:hAnsi="宋体" w:eastAsia="宋体" w:cs="宋体"/>
                <w:color w:val="auto"/>
                <w:kern w:val="0"/>
                <w:sz w:val="21"/>
                <w:szCs w:val="21"/>
                <w:highlight w:val="none"/>
                <w:lang w:bidi="ar"/>
              </w:rPr>
              <w:t>支持以服务为基础，查看服务各实例调用量、不同等级超时量、服务失败量、方法异常量、系统异常量等指标总量，分析服务实例级的性能监控。</w:t>
            </w:r>
          </w:p>
          <w:p w14:paraId="3C40F9BC">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kern w:val="0"/>
                <w:sz w:val="21"/>
                <w:szCs w:val="21"/>
                <w:highlight w:val="none"/>
                <w:lang w:bidi="ar"/>
              </w:rPr>
            </w:pPr>
            <w:r>
              <w:rPr>
                <w:rFonts w:hint="eastAsia" w:ascii="宋体" w:hAnsi="宋体" w:cs="宋体"/>
                <w:i w:val="0"/>
                <w:iCs w:val="0"/>
                <w:color w:val="auto"/>
                <w:kern w:val="0"/>
                <w:sz w:val="21"/>
                <w:szCs w:val="21"/>
                <w:highlight w:val="none"/>
                <w:u w:val="none"/>
                <w:lang w:val="en-US" w:eastAsia="zh-CN" w:bidi="ar"/>
              </w:rPr>
              <w:t>提供相关案例截图或证明材料</w:t>
            </w:r>
          </w:p>
        </w:tc>
      </w:tr>
      <w:tr w14:paraId="6E5CD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 w:hRule="atLeast"/>
        </w:trPr>
        <w:tc>
          <w:tcPr>
            <w:tcW w:w="960" w:type="dxa"/>
            <w:noWrap/>
            <w:vAlign w:val="bottom"/>
          </w:tcPr>
          <w:p w14:paraId="0325EBE8">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50</w:t>
            </w:r>
          </w:p>
        </w:tc>
        <w:tc>
          <w:tcPr>
            <w:tcW w:w="1316" w:type="dxa"/>
            <w:vMerge w:val="continue"/>
            <w:noWrap/>
            <w:vAlign w:val="bottom"/>
          </w:tcPr>
          <w:p w14:paraId="58153C1D">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0E9462F3">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590BB916">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kern w:val="0"/>
                <w:sz w:val="21"/>
                <w:szCs w:val="21"/>
                <w:highlight w:val="none"/>
                <w:lang w:bidi="ar"/>
              </w:rPr>
            </w:pPr>
            <w:r>
              <w:rPr>
                <w:rFonts w:hint="eastAsia" w:ascii="宋体" w:hAnsi="宋体" w:eastAsia="宋体" w:cs="宋体"/>
                <w:color w:val="auto"/>
                <w:sz w:val="21"/>
                <w:szCs w:val="21"/>
                <w:highlight w:val="none"/>
              </w:rPr>
              <w:t>▲</w:t>
            </w:r>
            <w:r>
              <w:rPr>
                <w:rFonts w:hint="eastAsia" w:ascii="宋体" w:hAnsi="宋体" w:eastAsia="宋体" w:cs="宋体"/>
                <w:color w:val="auto"/>
                <w:kern w:val="0"/>
                <w:sz w:val="21"/>
                <w:szCs w:val="21"/>
                <w:highlight w:val="none"/>
                <w:lang w:bidi="ar"/>
              </w:rPr>
              <w:t>支持查询服务下外部接口调用详情，查看外部地址不同接口的调用量、超时量、耗时等指标趋势，分析外部接口调用性能。</w:t>
            </w:r>
          </w:p>
          <w:p w14:paraId="7419E6CE">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kern w:val="0"/>
                <w:sz w:val="21"/>
                <w:szCs w:val="21"/>
                <w:highlight w:val="none"/>
                <w:lang w:bidi="ar"/>
              </w:rPr>
            </w:pPr>
            <w:r>
              <w:rPr>
                <w:rFonts w:hint="eastAsia" w:ascii="宋体" w:hAnsi="宋体" w:cs="宋体"/>
                <w:i w:val="0"/>
                <w:iCs w:val="0"/>
                <w:color w:val="auto"/>
                <w:kern w:val="0"/>
                <w:sz w:val="21"/>
                <w:szCs w:val="21"/>
                <w:highlight w:val="none"/>
                <w:u w:val="none"/>
                <w:lang w:val="en-US" w:eastAsia="zh-CN" w:bidi="ar"/>
              </w:rPr>
              <w:t>提供相关案例截图或证明材料</w:t>
            </w:r>
          </w:p>
        </w:tc>
      </w:tr>
      <w:tr w14:paraId="778CA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7" w:hRule="atLeast"/>
        </w:trPr>
        <w:tc>
          <w:tcPr>
            <w:tcW w:w="960" w:type="dxa"/>
            <w:noWrap/>
            <w:vAlign w:val="bottom"/>
          </w:tcPr>
          <w:p w14:paraId="3B99B590">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51</w:t>
            </w:r>
          </w:p>
        </w:tc>
        <w:tc>
          <w:tcPr>
            <w:tcW w:w="1316" w:type="dxa"/>
            <w:vMerge w:val="continue"/>
            <w:noWrap/>
            <w:vAlign w:val="bottom"/>
          </w:tcPr>
          <w:p w14:paraId="7BE020C5">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6ED11088">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731BF6C2">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支持查询服务下数据库调用详情分析，查看SQL查询趋势，SQL语句执行次数、平均执行时长、TP耗时、超时量等指标，支持查看SQL语句的查询趋势，分析数据库性能。</w:t>
            </w:r>
          </w:p>
        </w:tc>
      </w:tr>
      <w:tr w14:paraId="0700C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 w:hRule="atLeast"/>
        </w:trPr>
        <w:tc>
          <w:tcPr>
            <w:tcW w:w="960" w:type="dxa"/>
            <w:noWrap/>
            <w:vAlign w:val="bottom"/>
          </w:tcPr>
          <w:p w14:paraId="06F6345E">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52</w:t>
            </w:r>
          </w:p>
        </w:tc>
        <w:tc>
          <w:tcPr>
            <w:tcW w:w="1316" w:type="dxa"/>
            <w:vMerge w:val="continue"/>
            <w:noWrap/>
            <w:vAlign w:val="bottom"/>
          </w:tcPr>
          <w:p w14:paraId="3ABE5885">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6F5D0685">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2BCF54FF">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支持查询服务下NoSQL详情分析，查询NoSQL查询趋势与查询详情，支持查看NoSQL执行语句、参数、执行次数、平均耗时、TP耗时等指标。</w:t>
            </w:r>
          </w:p>
        </w:tc>
      </w:tr>
      <w:tr w14:paraId="07C3B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60" w:type="dxa"/>
            <w:noWrap/>
            <w:vAlign w:val="bottom"/>
          </w:tcPr>
          <w:p w14:paraId="2F5FAF2A">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53</w:t>
            </w:r>
          </w:p>
        </w:tc>
        <w:tc>
          <w:tcPr>
            <w:tcW w:w="1316" w:type="dxa"/>
            <w:vMerge w:val="continue"/>
            <w:noWrap/>
            <w:vAlign w:val="bottom"/>
          </w:tcPr>
          <w:p w14:paraId="7981AE1B">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6703" w:type="dxa"/>
            <w:gridSpan w:val="2"/>
            <w:noWrap w:val="0"/>
            <w:vAlign w:val="bottom"/>
          </w:tcPr>
          <w:p w14:paraId="36AA05A0">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4.3.5调用链清单</w:t>
            </w:r>
          </w:p>
        </w:tc>
      </w:tr>
      <w:tr w14:paraId="152E8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 w:hRule="atLeast"/>
        </w:trPr>
        <w:tc>
          <w:tcPr>
            <w:tcW w:w="960" w:type="dxa"/>
            <w:noWrap/>
            <w:vAlign w:val="bottom"/>
          </w:tcPr>
          <w:p w14:paraId="110DC9B2">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54</w:t>
            </w:r>
          </w:p>
        </w:tc>
        <w:tc>
          <w:tcPr>
            <w:tcW w:w="1316" w:type="dxa"/>
            <w:vMerge w:val="continue"/>
            <w:noWrap/>
            <w:vAlign w:val="bottom"/>
          </w:tcPr>
          <w:p w14:paraId="463D9DA7">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restart"/>
            <w:noWrap w:val="0"/>
            <w:vAlign w:val="bottom"/>
          </w:tcPr>
          <w:p w14:paraId="63684555">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4.3.6应用分析</w:t>
            </w:r>
          </w:p>
        </w:tc>
        <w:tc>
          <w:tcPr>
            <w:tcW w:w="5507" w:type="dxa"/>
            <w:noWrap w:val="0"/>
            <w:vAlign w:val="bottom"/>
          </w:tcPr>
          <w:p w14:paraId="28DE929D">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支持按系统、时间、服务维度，查询服务调用耗时分析情况，查询服务调用量、超时量、异常量、平均耗时、TP耗时等同比指标和耗时趋势。</w:t>
            </w:r>
          </w:p>
        </w:tc>
      </w:tr>
      <w:tr w14:paraId="23663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 w:hRule="atLeast"/>
        </w:trPr>
        <w:tc>
          <w:tcPr>
            <w:tcW w:w="960" w:type="dxa"/>
            <w:noWrap/>
            <w:vAlign w:val="bottom"/>
          </w:tcPr>
          <w:p w14:paraId="499E9150">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55</w:t>
            </w:r>
          </w:p>
        </w:tc>
        <w:tc>
          <w:tcPr>
            <w:tcW w:w="1316" w:type="dxa"/>
            <w:vMerge w:val="continue"/>
            <w:noWrap/>
            <w:vAlign w:val="bottom"/>
          </w:tcPr>
          <w:p w14:paraId="2505FB66">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2E40BF50">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7283A0D7">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支持按系统、时间、服务、异常信息维度，查询服务异常指标情况，查询服务异常信息、异常类型、报错量等同比指标和耗时趋势。</w:t>
            </w:r>
          </w:p>
        </w:tc>
      </w:tr>
      <w:tr w14:paraId="32FA7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 w:hRule="atLeast"/>
        </w:trPr>
        <w:tc>
          <w:tcPr>
            <w:tcW w:w="960" w:type="dxa"/>
            <w:noWrap/>
            <w:vAlign w:val="bottom"/>
          </w:tcPr>
          <w:p w14:paraId="245E6C09">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56</w:t>
            </w:r>
          </w:p>
        </w:tc>
        <w:tc>
          <w:tcPr>
            <w:tcW w:w="1316" w:type="dxa"/>
            <w:vMerge w:val="continue"/>
            <w:noWrap/>
            <w:vAlign w:val="bottom"/>
          </w:tcPr>
          <w:p w14:paraId="2A0131C5">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1E3FDA0D">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6317559A">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支持按系统、时间、服务、数据库维度，查询服务调用数据库的指标情况，查询服务执行SQL语句的调用量、平均耗时等同比指标和耗时趋势。</w:t>
            </w:r>
          </w:p>
        </w:tc>
      </w:tr>
      <w:tr w14:paraId="077E2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trPr>
        <w:tc>
          <w:tcPr>
            <w:tcW w:w="960" w:type="dxa"/>
            <w:noWrap/>
            <w:vAlign w:val="bottom"/>
          </w:tcPr>
          <w:p w14:paraId="24D79B5C">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57</w:t>
            </w:r>
          </w:p>
        </w:tc>
        <w:tc>
          <w:tcPr>
            <w:tcW w:w="1316" w:type="dxa"/>
            <w:vMerge w:val="continue"/>
            <w:noWrap/>
            <w:vAlign w:val="bottom"/>
          </w:tcPr>
          <w:p w14:paraId="05F74489">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6703" w:type="dxa"/>
            <w:gridSpan w:val="2"/>
            <w:noWrap w:val="0"/>
            <w:vAlign w:val="bottom"/>
          </w:tcPr>
          <w:p w14:paraId="1B35FAC9">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4.3.7主机实例分析</w:t>
            </w:r>
          </w:p>
          <w:p w14:paraId="33E1953F">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4.3.8 TPS分析</w:t>
            </w:r>
          </w:p>
          <w:p w14:paraId="7DDD25F9">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4.3.9告警配置</w:t>
            </w:r>
          </w:p>
          <w:p w14:paraId="5C920498">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4.3.10根因告警</w:t>
            </w:r>
          </w:p>
          <w:p w14:paraId="1989384F">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4.3.11告警查询</w:t>
            </w:r>
          </w:p>
        </w:tc>
      </w:tr>
      <w:tr w14:paraId="498B7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7" w:hRule="atLeast"/>
        </w:trPr>
        <w:tc>
          <w:tcPr>
            <w:tcW w:w="960" w:type="dxa"/>
            <w:noWrap/>
            <w:vAlign w:val="bottom"/>
          </w:tcPr>
          <w:p w14:paraId="19BF0EFF">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58</w:t>
            </w:r>
          </w:p>
        </w:tc>
        <w:tc>
          <w:tcPr>
            <w:tcW w:w="1316" w:type="dxa"/>
            <w:vMerge w:val="continue"/>
            <w:noWrap/>
            <w:vAlign w:val="bottom"/>
          </w:tcPr>
          <w:p w14:paraId="65088D80">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noWrap w:val="0"/>
            <w:vAlign w:val="bottom"/>
          </w:tcPr>
          <w:p w14:paraId="6A06607C">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4.3.12调用链业务配置</w:t>
            </w:r>
          </w:p>
        </w:tc>
        <w:tc>
          <w:tcPr>
            <w:tcW w:w="5507" w:type="dxa"/>
            <w:noWrap w:val="0"/>
            <w:vAlign w:val="bottom"/>
          </w:tcPr>
          <w:p w14:paraId="3421B7B8">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支持业务配置列表的增删改查等功能，支持查询业务配置属性信息，支持用户新增配置，关联配置中的业务信息，支持业务的功能，支持业务环节关联入口服务。</w:t>
            </w:r>
          </w:p>
        </w:tc>
      </w:tr>
      <w:tr w14:paraId="151D0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60" w:type="dxa"/>
            <w:noWrap/>
            <w:vAlign w:val="bottom"/>
          </w:tcPr>
          <w:p w14:paraId="704126FB">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59</w:t>
            </w:r>
          </w:p>
        </w:tc>
        <w:tc>
          <w:tcPr>
            <w:tcW w:w="1316" w:type="dxa"/>
            <w:vMerge w:val="continue"/>
            <w:noWrap/>
            <w:vAlign w:val="bottom"/>
          </w:tcPr>
          <w:p w14:paraId="10374690">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6703" w:type="dxa"/>
            <w:gridSpan w:val="2"/>
            <w:noWrap w:val="0"/>
            <w:vAlign w:val="bottom"/>
          </w:tcPr>
          <w:p w14:paraId="60D107BB">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4.3.13运营分析</w:t>
            </w:r>
          </w:p>
        </w:tc>
      </w:tr>
      <w:tr w14:paraId="124BC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60" w:type="dxa"/>
            <w:noWrap/>
            <w:vAlign w:val="bottom"/>
          </w:tcPr>
          <w:p w14:paraId="7B60DFE2">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60</w:t>
            </w:r>
          </w:p>
        </w:tc>
        <w:tc>
          <w:tcPr>
            <w:tcW w:w="1316" w:type="dxa"/>
            <w:vMerge w:val="continue"/>
            <w:noWrap/>
            <w:vAlign w:val="bottom"/>
          </w:tcPr>
          <w:p w14:paraId="6C5917FC">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6703" w:type="dxa"/>
            <w:gridSpan w:val="2"/>
            <w:noWrap w:val="0"/>
            <w:vAlign w:val="bottom"/>
          </w:tcPr>
          <w:p w14:paraId="4A90D449">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4.4 智能监控告警能力</w:t>
            </w:r>
          </w:p>
        </w:tc>
      </w:tr>
      <w:tr w14:paraId="21D3F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 w:hRule="atLeast"/>
        </w:trPr>
        <w:tc>
          <w:tcPr>
            <w:tcW w:w="960" w:type="dxa"/>
            <w:noWrap/>
            <w:vAlign w:val="bottom"/>
          </w:tcPr>
          <w:p w14:paraId="43F22ED0">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61</w:t>
            </w:r>
          </w:p>
        </w:tc>
        <w:tc>
          <w:tcPr>
            <w:tcW w:w="1316" w:type="dxa"/>
            <w:vMerge w:val="continue"/>
            <w:noWrap/>
            <w:vAlign w:val="bottom"/>
          </w:tcPr>
          <w:p w14:paraId="6C5368CE">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restart"/>
            <w:noWrap w:val="0"/>
            <w:vAlign w:val="bottom"/>
          </w:tcPr>
          <w:p w14:paraId="52D2ECD6">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4.4.1系统监控总览</w:t>
            </w:r>
          </w:p>
        </w:tc>
        <w:tc>
          <w:tcPr>
            <w:tcW w:w="5507" w:type="dxa"/>
            <w:noWrap w:val="0"/>
            <w:vAlign w:val="bottom"/>
          </w:tcPr>
          <w:p w14:paraId="5DC26AEE">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支持以租户模块视角按照时间维度查询监控点运行状态、告警工单处理状态、采集任务运行状态，以便观察租户整体监控情况。</w:t>
            </w:r>
          </w:p>
        </w:tc>
      </w:tr>
      <w:tr w14:paraId="67301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960" w:type="dxa"/>
            <w:noWrap/>
            <w:vAlign w:val="bottom"/>
          </w:tcPr>
          <w:p w14:paraId="5FF03E89">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62</w:t>
            </w:r>
          </w:p>
        </w:tc>
        <w:tc>
          <w:tcPr>
            <w:tcW w:w="1316" w:type="dxa"/>
            <w:vMerge w:val="continue"/>
            <w:noWrap/>
            <w:vAlign w:val="bottom"/>
          </w:tcPr>
          <w:p w14:paraId="5AC407C6">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0023E3F7">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697B03F5">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支持查询租户监控的各类应用占比、告警次数 TOP-N（N可指定数量）、告警工单波动情况，分析系统告警劣化情况。</w:t>
            </w:r>
          </w:p>
        </w:tc>
      </w:tr>
      <w:tr w14:paraId="27DC6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 w:hRule="atLeast"/>
        </w:trPr>
        <w:tc>
          <w:tcPr>
            <w:tcW w:w="960" w:type="dxa"/>
            <w:noWrap/>
            <w:vAlign w:val="bottom"/>
          </w:tcPr>
          <w:p w14:paraId="42DD5E0A">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63</w:t>
            </w:r>
          </w:p>
        </w:tc>
        <w:tc>
          <w:tcPr>
            <w:tcW w:w="1316" w:type="dxa"/>
            <w:vMerge w:val="continue"/>
            <w:noWrap/>
            <w:vAlign w:val="bottom"/>
          </w:tcPr>
          <w:p w14:paraId="3685A450">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34F43C1C">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611E9210">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支持查询不同时间范围的监控点列表，包括告警名称、告警次数、告警级别、当前状态、是否静默、告警点详情查看，以快速了解监控点健康状态。</w:t>
            </w:r>
          </w:p>
        </w:tc>
      </w:tr>
      <w:tr w14:paraId="43655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1" w:hRule="atLeast"/>
        </w:trPr>
        <w:tc>
          <w:tcPr>
            <w:tcW w:w="960" w:type="dxa"/>
            <w:noWrap/>
            <w:vAlign w:val="bottom"/>
          </w:tcPr>
          <w:p w14:paraId="55234178">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64</w:t>
            </w:r>
          </w:p>
        </w:tc>
        <w:tc>
          <w:tcPr>
            <w:tcW w:w="1316" w:type="dxa"/>
            <w:vMerge w:val="continue"/>
            <w:noWrap/>
            <w:vAlign w:val="bottom"/>
          </w:tcPr>
          <w:p w14:paraId="79A65AAF">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restart"/>
            <w:noWrap w:val="0"/>
            <w:vAlign w:val="bottom"/>
          </w:tcPr>
          <w:p w14:paraId="0F7A136C">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4.4.2指标采集</w:t>
            </w:r>
          </w:p>
        </w:tc>
        <w:tc>
          <w:tcPr>
            <w:tcW w:w="5507" w:type="dxa"/>
            <w:noWrap w:val="0"/>
            <w:vAlign w:val="bottom"/>
          </w:tcPr>
          <w:p w14:paraId="6C38A479">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全流程界面化的指标采集管理功能，包括实时查看指标的正常采集总量与异常采集总量、正常与异常采集的指标详情，支持按任务信息、采集渠道、模块、状态、提供人等多维度精准查询采集指标，可导出采集任务，并能按层级分类统计指标采集总量、正常采集量及异常采集量，实现采集全流程的清晰管控。</w:t>
            </w:r>
          </w:p>
        </w:tc>
      </w:tr>
      <w:tr w14:paraId="42D07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9" w:hRule="atLeast"/>
        </w:trPr>
        <w:tc>
          <w:tcPr>
            <w:tcW w:w="960" w:type="dxa"/>
            <w:noWrap/>
            <w:vAlign w:val="bottom"/>
          </w:tcPr>
          <w:p w14:paraId="0F8BA1F1">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65</w:t>
            </w:r>
          </w:p>
        </w:tc>
        <w:tc>
          <w:tcPr>
            <w:tcW w:w="1316" w:type="dxa"/>
            <w:vMerge w:val="continue"/>
            <w:noWrap/>
            <w:vAlign w:val="bottom"/>
          </w:tcPr>
          <w:p w14:paraId="5E22C162">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6A70BB69">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7EAEE84F">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Elasticsearch、达梦、ClickHouse、Nginx等常用组件的标准指标采集功能，支持对中间件的远程采集，支持指标采集加密校验，支持快速接入第三方自定义的Prometheuse、自定义Exporter指标采集功能，并提供采集点全生命周期管理，包括但不限于增删改查等操作。</w:t>
            </w:r>
          </w:p>
        </w:tc>
      </w:tr>
      <w:tr w14:paraId="1902E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960" w:type="dxa"/>
            <w:noWrap/>
            <w:vAlign w:val="bottom"/>
          </w:tcPr>
          <w:p w14:paraId="1725EAD2">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66</w:t>
            </w:r>
          </w:p>
        </w:tc>
        <w:tc>
          <w:tcPr>
            <w:tcW w:w="1316" w:type="dxa"/>
            <w:vMerge w:val="continue"/>
            <w:noWrap/>
            <w:vAlign w:val="bottom"/>
          </w:tcPr>
          <w:p w14:paraId="14D982B4">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6703" w:type="dxa"/>
            <w:gridSpan w:val="2"/>
            <w:noWrap w:val="0"/>
            <w:vAlign w:val="bottom"/>
          </w:tcPr>
          <w:p w14:paraId="72F59FF7">
            <w:pPr>
              <w:keepNext w:val="0"/>
              <w:keepLines w:val="0"/>
              <w:pageBreakBefore w:val="0"/>
              <w:widowControl/>
              <w:tabs>
                <w:tab w:val="left" w:pos="849"/>
              </w:tabs>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4.4.3告警配置</w:t>
            </w:r>
          </w:p>
          <w:p w14:paraId="48A0779A">
            <w:pPr>
              <w:keepNext w:val="0"/>
              <w:keepLines w:val="0"/>
              <w:pageBreakBefore w:val="0"/>
              <w:widowControl/>
              <w:tabs>
                <w:tab w:val="left" w:pos="849"/>
              </w:tabs>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4.4.4静默配置</w:t>
            </w:r>
          </w:p>
        </w:tc>
      </w:tr>
      <w:tr w14:paraId="61C8E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960" w:type="dxa"/>
            <w:noWrap/>
            <w:vAlign w:val="bottom"/>
          </w:tcPr>
          <w:p w14:paraId="5D3DB4C0">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67</w:t>
            </w:r>
          </w:p>
        </w:tc>
        <w:tc>
          <w:tcPr>
            <w:tcW w:w="1316" w:type="dxa"/>
            <w:vMerge w:val="continue"/>
            <w:noWrap/>
            <w:vAlign w:val="bottom"/>
          </w:tcPr>
          <w:p w14:paraId="784B3672">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restart"/>
            <w:noWrap w:val="0"/>
            <w:vAlign w:val="bottom"/>
          </w:tcPr>
          <w:p w14:paraId="501E22BD">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4.4.5告警闭环管理</w:t>
            </w:r>
          </w:p>
        </w:tc>
        <w:tc>
          <w:tcPr>
            <w:tcW w:w="5507" w:type="dxa"/>
            <w:noWrap w:val="0"/>
            <w:vAlign w:val="bottom"/>
          </w:tcPr>
          <w:p w14:paraId="4107F19C">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支持对告警工单的多条件精准查询，包括按告警工单编号、租户、模块、告警信息、工单处理状态、工单级别、时间范围等维度筛选，快速定位目标工单。</w:t>
            </w:r>
          </w:p>
        </w:tc>
      </w:tr>
      <w:tr w14:paraId="1840C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4" w:hRule="atLeast"/>
        </w:trPr>
        <w:tc>
          <w:tcPr>
            <w:tcW w:w="960" w:type="dxa"/>
            <w:noWrap/>
            <w:vAlign w:val="bottom"/>
          </w:tcPr>
          <w:p w14:paraId="0F0B6909">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68</w:t>
            </w:r>
          </w:p>
        </w:tc>
        <w:tc>
          <w:tcPr>
            <w:tcW w:w="1316" w:type="dxa"/>
            <w:vMerge w:val="continue"/>
            <w:noWrap/>
            <w:vAlign w:val="bottom"/>
          </w:tcPr>
          <w:p w14:paraId="12359F22">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4DE49894">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4E9F5E70">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kern w:val="0"/>
                <w:sz w:val="21"/>
                <w:szCs w:val="21"/>
                <w:highlight w:val="none"/>
                <w:lang w:bidi="ar"/>
              </w:rPr>
            </w:pPr>
            <w:r>
              <w:rPr>
                <w:rFonts w:hint="eastAsia" w:ascii="宋体" w:hAnsi="宋体" w:eastAsia="宋体" w:cs="宋体"/>
                <w:color w:val="auto"/>
                <w:sz w:val="21"/>
                <w:szCs w:val="21"/>
                <w:highlight w:val="none"/>
              </w:rPr>
              <w:t>▲</w:t>
            </w:r>
            <w:r>
              <w:rPr>
                <w:rFonts w:hint="eastAsia" w:ascii="宋体" w:hAnsi="宋体" w:eastAsia="宋体" w:cs="宋体"/>
                <w:color w:val="auto"/>
                <w:kern w:val="0"/>
                <w:sz w:val="21"/>
                <w:szCs w:val="21"/>
                <w:highlight w:val="none"/>
                <w:lang w:bidi="ar"/>
              </w:rPr>
              <w:t>支持通过PC端与移动端对告警工单进行全流程处理，涵盖签收、转派、解决关闭、确认误告、忽略告警、升级处理及暂时屏蔽等操作。</w:t>
            </w:r>
          </w:p>
          <w:p w14:paraId="5E97EB65">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kern w:val="0"/>
                <w:sz w:val="21"/>
                <w:szCs w:val="21"/>
                <w:highlight w:val="none"/>
                <w:lang w:bidi="ar"/>
              </w:rPr>
            </w:pPr>
            <w:r>
              <w:rPr>
                <w:rFonts w:hint="eastAsia" w:ascii="宋体" w:hAnsi="宋体" w:cs="宋体"/>
                <w:i w:val="0"/>
                <w:iCs w:val="0"/>
                <w:color w:val="auto"/>
                <w:kern w:val="0"/>
                <w:sz w:val="21"/>
                <w:szCs w:val="21"/>
                <w:highlight w:val="none"/>
                <w:u w:val="none"/>
                <w:lang w:val="en-US" w:eastAsia="zh-CN" w:bidi="ar"/>
              </w:rPr>
              <w:t>提供相关案例截图或证明材料</w:t>
            </w:r>
          </w:p>
        </w:tc>
      </w:tr>
      <w:tr w14:paraId="08495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9" w:hRule="atLeast"/>
        </w:trPr>
        <w:tc>
          <w:tcPr>
            <w:tcW w:w="960" w:type="dxa"/>
            <w:noWrap/>
            <w:vAlign w:val="bottom"/>
          </w:tcPr>
          <w:p w14:paraId="00491447">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69</w:t>
            </w:r>
          </w:p>
        </w:tc>
        <w:tc>
          <w:tcPr>
            <w:tcW w:w="1316" w:type="dxa"/>
            <w:vMerge w:val="continue"/>
            <w:noWrap/>
            <w:vAlign w:val="bottom"/>
          </w:tcPr>
          <w:p w14:paraId="7F28009B">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6703" w:type="dxa"/>
            <w:gridSpan w:val="2"/>
            <w:noWrap w:val="0"/>
            <w:vAlign w:val="bottom"/>
          </w:tcPr>
          <w:p w14:paraId="6A7AB02F">
            <w:pPr>
              <w:keepNext w:val="0"/>
              <w:keepLines w:val="0"/>
              <w:pageBreakBefore w:val="0"/>
              <w:widowControl/>
              <w:tabs>
                <w:tab w:val="left" w:pos="1144"/>
              </w:tabs>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4.4.6告警查询</w:t>
            </w:r>
          </w:p>
          <w:p w14:paraId="1AB1569C">
            <w:pPr>
              <w:keepNext w:val="0"/>
              <w:keepLines w:val="0"/>
              <w:pageBreakBefore w:val="0"/>
              <w:widowControl/>
              <w:tabs>
                <w:tab w:val="left" w:pos="1144"/>
              </w:tabs>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4.4.7订阅查询</w:t>
            </w:r>
          </w:p>
          <w:p w14:paraId="5F60C064">
            <w:pPr>
              <w:keepNext w:val="0"/>
              <w:keepLines w:val="0"/>
              <w:pageBreakBefore w:val="0"/>
              <w:widowControl/>
              <w:tabs>
                <w:tab w:val="left" w:pos="1144"/>
              </w:tabs>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4.4.8操作记录</w:t>
            </w:r>
          </w:p>
        </w:tc>
      </w:tr>
      <w:tr w14:paraId="3E070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8" w:hRule="atLeast"/>
        </w:trPr>
        <w:tc>
          <w:tcPr>
            <w:tcW w:w="960" w:type="dxa"/>
            <w:noWrap/>
            <w:vAlign w:val="bottom"/>
          </w:tcPr>
          <w:p w14:paraId="6080F691">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70</w:t>
            </w:r>
          </w:p>
        </w:tc>
        <w:tc>
          <w:tcPr>
            <w:tcW w:w="1316" w:type="dxa"/>
            <w:vMerge w:val="continue"/>
            <w:noWrap/>
            <w:vAlign w:val="bottom"/>
          </w:tcPr>
          <w:p w14:paraId="316E7892">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restart"/>
            <w:noWrap w:val="0"/>
            <w:vAlign w:val="bottom"/>
          </w:tcPr>
          <w:p w14:paraId="34DEFA6E">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4.4.9值班管理</w:t>
            </w:r>
          </w:p>
        </w:tc>
        <w:tc>
          <w:tcPr>
            <w:tcW w:w="5507" w:type="dxa"/>
            <w:noWrap w:val="0"/>
            <w:vAlign w:val="bottom"/>
          </w:tcPr>
          <w:p w14:paraId="18193556">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基于不同租户模块视角，实现分层级、全方位的值班人员管理，管理员可执行添加值班人员、编辑负责人、复制模块值班人员等常规操作，同时具备删除值班人员、安排协助排班的权限，高级人员可协助完成排班任务，普通值班人员能便捷查看个人值班信息，满足差异化权限配置。</w:t>
            </w:r>
          </w:p>
        </w:tc>
      </w:tr>
      <w:tr w14:paraId="5BF46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8" w:hRule="atLeast"/>
        </w:trPr>
        <w:tc>
          <w:tcPr>
            <w:tcW w:w="960" w:type="dxa"/>
            <w:noWrap/>
            <w:vAlign w:val="bottom"/>
          </w:tcPr>
          <w:p w14:paraId="23AF7827">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71</w:t>
            </w:r>
          </w:p>
        </w:tc>
        <w:tc>
          <w:tcPr>
            <w:tcW w:w="1316" w:type="dxa"/>
            <w:vMerge w:val="continue"/>
            <w:noWrap/>
            <w:vAlign w:val="bottom"/>
          </w:tcPr>
          <w:p w14:paraId="53E0FAE6">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06F33269">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26217B88">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支持按模块、值班时间进行排班信息的搜索、导入及复制，同时可参考多个模块进行排班，灵活编辑值班A角、B 角人员，优化排班方案。</w:t>
            </w:r>
          </w:p>
        </w:tc>
      </w:tr>
      <w:tr w14:paraId="20F88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960" w:type="dxa"/>
            <w:noWrap/>
            <w:vAlign w:val="bottom"/>
          </w:tcPr>
          <w:p w14:paraId="4D4410AD">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72</w:t>
            </w:r>
          </w:p>
        </w:tc>
        <w:tc>
          <w:tcPr>
            <w:tcW w:w="1316" w:type="dxa"/>
            <w:vMerge w:val="continue"/>
            <w:noWrap/>
            <w:vAlign w:val="bottom"/>
          </w:tcPr>
          <w:p w14:paraId="2914EDCA">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08392805">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1B5E786E">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kern w:val="0"/>
                <w:sz w:val="21"/>
                <w:szCs w:val="21"/>
                <w:highlight w:val="none"/>
                <w:lang w:bidi="ar"/>
              </w:rPr>
            </w:pPr>
            <w:r>
              <w:rPr>
                <w:rFonts w:hint="eastAsia" w:ascii="宋体" w:hAnsi="宋体" w:eastAsia="宋体" w:cs="宋体"/>
                <w:color w:val="auto"/>
                <w:sz w:val="21"/>
                <w:szCs w:val="21"/>
                <w:highlight w:val="none"/>
              </w:rPr>
              <w:t>▲</w:t>
            </w:r>
            <w:r>
              <w:rPr>
                <w:rFonts w:hint="eastAsia" w:ascii="宋体" w:hAnsi="宋体" w:eastAsia="宋体" w:cs="宋体"/>
                <w:color w:val="auto"/>
                <w:kern w:val="0"/>
                <w:sz w:val="21"/>
                <w:szCs w:val="21"/>
                <w:highlight w:val="none"/>
                <w:lang w:bidi="ar"/>
              </w:rPr>
              <w:t>支持通过短信、外呼等方式发送排班提醒和值班提醒。</w:t>
            </w:r>
          </w:p>
          <w:p w14:paraId="438FEC6D">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kern w:val="0"/>
                <w:sz w:val="21"/>
                <w:szCs w:val="21"/>
                <w:highlight w:val="none"/>
                <w:lang w:bidi="ar"/>
              </w:rPr>
            </w:pPr>
            <w:r>
              <w:rPr>
                <w:rFonts w:hint="eastAsia" w:ascii="宋体" w:hAnsi="宋体" w:cs="宋体"/>
                <w:i w:val="0"/>
                <w:iCs w:val="0"/>
                <w:color w:val="auto"/>
                <w:kern w:val="0"/>
                <w:sz w:val="21"/>
                <w:szCs w:val="21"/>
                <w:highlight w:val="none"/>
                <w:u w:val="none"/>
                <w:lang w:val="en-US" w:eastAsia="zh-CN" w:bidi="ar"/>
              </w:rPr>
              <w:t>提供相关案例截图或证明材料</w:t>
            </w:r>
          </w:p>
        </w:tc>
      </w:tr>
      <w:tr w14:paraId="112BC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 w:hRule="atLeast"/>
        </w:trPr>
        <w:tc>
          <w:tcPr>
            <w:tcW w:w="960" w:type="dxa"/>
            <w:noWrap/>
            <w:vAlign w:val="bottom"/>
          </w:tcPr>
          <w:p w14:paraId="532691CA">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73</w:t>
            </w:r>
          </w:p>
        </w:tc>
        <w:tc>
          <w:tcPr>
            <w:tcW w:w="1316" w:type="dxa"/>
            <w:vMerge w:val="continue"/>
            <w:noWrap/>
            <w:vAlign w:val="bottom"/>
          </w:tcPr>
          <w:p w14:paraId="1A7FABCE">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63137764">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12706A38">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kern w:val="0"/>
                <w:sz w:val="21"/>
                <w:szCs w:val="21"/>
                <w:highlight w:val="none"/>
                <w:lang w:bidi="ar"/>
              </w:rPr>
            </w:pPr>
            <w:r>
              <w:rPr>
                <w:rFonts w:hint="eastAsia" w:ascii="宋体" w:hAnsi="宋体" w:eastAsia="宋体" w:cs="宋体"/>
                <w:color w:val="auto"/>
                <w:sz w:val="21"/>
                <w:szCs w:val="21"/>
                <w:highlight w:val="none"/>
              </w:rPr>
              <w:t>▲</w:t>
            </w:r>
            <w:r>
              <w:rPr>
                <w:rFonts w:hint="eastAsia" w:ascii="宋体" w:hAnsi="宋体" w:eastAsia="宋体" w:cs="宋体"/>
                <w:color w:val="auto"/>
                <w:kern w:val="0"/>
                <w:sz w:val="21"/>
                <w:szCs w:val="21"/>
                <w:highlight w:val="none"/>
                <w:lang w:bidi="ar"/>
              </w:rPr>
              <w:t>支持值班排班管理，提供按时间段指派值班A角、B 角人员，以及值班、排班提醒的能力；同时支持参考其他排班计划进行排班、按模块/值班时间进行排班信息的搜索、导入、导出及复制的能力。</w:t>
            </w:r>
          </w:p>
          <w:p w14:paraId="2B94E547">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kern w:val="0"/>
                <w:sz w:val="21"/>
                <w:szCs w:val="21"/>
                <w:highlight w:val="none"/>
                <w:lang w:bidi="ar"/>
              </w:rPr>
            </w:pPr>
            <w:r>
              <w:rPr>
                <w:rFonts w:hint="eastAsia" w:ascii="宋体" w:hAnsi="宋体" w:cs="宋体"/>
                <w:i w:val="0"/>
                <w:iCs w:val="0"/>
                <w:color w:val="auto"/>
                <w:kern w:val="0"/>
                <w:sz w:val="21"/>
                <w:szCs w:val="21"/>
                <w:highlight w:val="none"/>
                <w:u w:val="none"/>
                <w:lang w:val="en-US" w:eastAsia="zh-CN" w:bidi="ar"/>
              </w:rPr>
              <w:t>提供相关案例截图或证明材料</w:t>
            </w:r>
          </w:p>
        </w:tc>
      </w:tr>
      <w:tr w14:paraId="5635F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 w:hRule="atLeast"/>
        </w:trPr>
        <w:tc>
          <w:tcPr>
            <w:tcW w:w="960" w:type="dxa"/>
            <w:noWrap/>
            <w:vAlign w:val="bottom"/>
          </w:tcPr>
          <w:p w14:paraId="1BCC55D1">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74</w:t>
            </w:r>
          </w:p>
        </w:tc>
        <w:tc>
          <w:tcPr>
            <w:tcW w:w="1316" w:type="dxa"/>
            <w:vMerge w:val="continue"/>
            <w:noWrap/>
            <w:vAlign w:val="bottom"/>
          </w:tcPr>
          <w:p w14:paraId="2B9770D0">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restart"/>
            <w:noWrap w:val="0"/>
            <w:vAlign w:val="bottom"/>
          </w:tcPr>
          <w:p w14:paraId="4692C55E">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4.4.10运营看板</w:t>
            </w:r>
          </w:p>
        </w:tc>
        <w:tc>
          <w:tcPr>
            <w:tcW w:w="5507" w:type="dxa"/>
            <w:noWrap w:val="0"/>
            <w:vAlign w:val="bottom"/>
          </w:tcPr>
          <w:p w14:paraId="5B2E0E31">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支持对告警工单按工单数量、签收及时率、处置耗时等多种维度进行统计展示，并支持下载统计结果。</w:t>
            </w:r>
          </w:p>
        </w:tc>
      </w:tr>
      <w:tr w14:paraId="4E67E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 w:hRule="atLeast"/>
        </w:trPr>
        <w:tc>
          <w:tcPr>
            <w:tcW w:w="960" w:type="dxa"/>
            <w:noWrap/>
            <w:vAlign w:val="bottom"/>
          </w:tcPr>
          <w:p w14:paraId="1221983D">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75</w:t>
            </w:r>
          </w:p>
        </w:tc>
        <w:tc>
          <w:tcPr>
            <w:tcW w:w="1316" w:type="dxa"/>
            <w:vMerge w:val="continue"/>
            <w:noWrap/>
            <w:vAlign w:val="bottom"/>
          </w:tcPr>
          <w:p w14:paraId="0F0B81F9">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2D6C78BA">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1886FE43">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支持展示采集任务、监控点、值班组、告警规则执行情况等相关信息，实现各系统监控点状态、监控能力分布、指标采集点状态的集中可视化呈现。</w:t>
            </w:r>
          </w:p>
        </w:tc>
      </w:tr>
      <w:tr w14:paraId="24CAD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60" w:type="dxa"/>
            <w:noWrap/>
            <w:vAlign w:val="bottom"/>
          </w:tcPr>
          <w:p w14:paraId="322DFD01">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76</w:t>
            </w:r>
          </w:p>
        </w:tc>
        <w:tc>
          <w:tcPr>
            <w:tcW w:w="1316" w:type="dxa"/>
            <w:vMerge w:val="continue"/>
            <w:noWrap/>
            <w:vAlign w:val="bottom"/>
          </w:tcPr>
          <w:p w14:paraId="53E1A9F9">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6703" w:type="dxa"/>
            <w:gridSpan w:val="2"/>
            <w:noWrap w:val="0"/>
            <w:vAlign w:val="bottom"/>
          </w:tcPr>
          <w:p w14:paraId="2620422E">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4.5 自动化巡检</w:t>
            </w:r>
          </w:p>
        </w:tc>
      </w:tr>
      <w:tr w14:paraId="154A4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60" w:type="dxa"/>
            <w:noWrap/>
            <w:vAlign w:val="bottom"/>
          </w:tcPr>
          <w:p w14:paraId="039407A0">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77</w:t>
            </w:r>
          </w:p>
        </w:tc>
        <w:tc>
          <w:tcPr>
            <w:tcW w:w="1316" w:type="dxa"/>
            <w:vMerge w:val="continue"/>
            <w:noWrap/>
            <w:vAlign w:val="bottom"/>
          </w:tcPr>
          <w:p w14:paraId="078DAB01">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6703" w:type="dxa"/>
            <w:gridSpan w:val="2"/>
            <w:noWrap w:val="0"/>
            <w:vAlign w:val="bottom"/>
          </w:tcPr>
          <w:p w14:paraId="42F0D5FC">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4.5.1巡检总览</w:t>
            </w:r>
          </w:p>
        </w:tc>
      </w:tr>
      <w:tr w14:paraId="3A952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960" w:type="dxa"/>
            <w:noWrap/>
            <w:vAlign w:val="bottom"/>
          </w:tcPr>
          <w:p w14:paraId="3D7B421F">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78</w:t>
            </w:r>
          </w:p>
        </w:tc>
        <w:tc>
          <w:tcPr>
            <w:tcW w:w="1316" w:type="dxa"/>
            <w:vMerge w:val="continue"/>
            <w:noWrap/>
            <w:vAlign w:val="bottom"/>
          </w:tcPr>
          <w:p w14:paraId="46AE3BA3">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restart"/>
            <w:noWrap w:val="0"/>
            <w:vAlign w:val="bottom"/>
          </w:tcPr>
          <w:p w14:paraId="1DE4071A">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4.5.2巡检数据管理</w:t>
            </w:r>
          </w:p>
        </w:tc>
        <w:tc>
          <w:tcPr>
            <w:tcW w:w="5507" w:type="dxa"/>
            <w:noWrap w:val="0"/>
            <w:vAlign w:val="bottom"/>
          </w:tcPr>
          <w:p w14:paraId="52F90365">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支持数据池增删改查的能力，以及数据池中数据配置能力，包括数据名称、类型、长度、脱敏类型等。</w:t>
            </w:r>
          </w:p>
        </w:tc>
      </w:tr>
      <w:tr w14:paraId="0FCE1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960" w:type="dxa"/>
            <w:noWrap/>
            <w:vAlign w:val="bottom"/>
          </w:tcPr>
          <w:p w14:paraId="103F72D9">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79</w:t>
            </w:r>
          </w:p>
        </w:tc>
        <w:tc>
          <w:tcPr>
            <w:tcW w:w="1316" w:type="dxa"/>
            <w:vMerge w:val="continue"/>
            <w:noWrap/>
            <w:vAlign w:val="bottom"/>
          </w:tcPr>
          <w:p w14:paraId="2B3E8CC6">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34CC7D6A">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4CA43EF8">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支持数据生成器的增删改查的能力，生成器的类型需包括巡检常用的数据类型，例如手机号、列表取值、固定值、中文姓名、自增主键、数字、字符、脚本等。</w:t>
            </w:r>
          </w:p>
        </w:tc>
      </w:tr>
      <w:tr w14:paraId="61DA2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960" w:type="dxa"/>
            <w:noWrap/>
            <w:vAlign w:val="bottom"/>
          </w:tcPr>
          <w:p w14:paraId="0D70B2F7">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80</w:t>
            </w:r>
          </w:p>
        </w:tc>
        <w:tc>
          <w:tcPr>
            <w:tcW w:w="1316" w:type="dxa"/>
            <w:vMerge w:val="continue"/>
            <w:noWrap/>
            <w:vAlign w:val="bottom"/>
          </w:tcPr>
          <w:p w14:paraId="34773C4F">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2459D146">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34177162">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支持数据工厂的增删改查能力，其中数据工厂需支持参数配置（入参配置和上下文配置的增删能力）。</w:t>
            </w:r>
          </w:p>
        </w:tc>
      </w:tr>
      <w:tr w14:paraId="64E55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960" w:type="dxa"/>
            <w:noWrap/>
            <w:vAlign w:val="bottom"/>
          </w:tcPr>
          <w:p w14:paraId="01D449D8">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81</w:t>
            </w:r>
          </w:p>
        </w:tc>
        <w:tc>
          <w:tcPr>
            <w:tcW w:w="1316" w:type="dxa"/>
            <w:vMerge w:val="continue"/>
            <w:noWrap/>
            <w:vAlign w:val="bottom"/>
          </w:tcPr>
          <w:p w14:paraId="005CD54D">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restart"/>
            <w:noWrap w:val="0"/>
            <w:vAlign w:val="bottom"/>
          </w:tcPr>
          <w:p w14:paraId="5342413F">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4.5.3接口巡检管理</w:t>
            </w:r>
          </w:p>
        </w:tc>
        <w:tc>
          <w:tcPr>
            <w:tcW w:w="5507" w:type="dxa"/>
            <w:noWrap w:val="0"/>
            <w:vAlign w:val="bottom"/>
          </w:tcPr>
          <w:p w14:paraId="195FA2A9">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支持接口接口树状展示和管理，包括目录增删改、接口增删改、拷贝/移动、批量移动、导入/导出等功能。</w:t>
            </w:r>
          </w:p>
        </w:tc>
      </w:tr>
      <w:tr w14:paraId="1AFE9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0" w:type="dxa"/>
            <w:noWrap/>
            <w:vAlign w:val="bottom"/>
          </w:tcPr>
          <w:p w14:paraId="19BD8BEB">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82</w:t>
            </w:r>
          </w:p>
        </w:tc>
        <w:tc>
          <w:tcPr>
            <w:tcW w:w="1316" w:type="dxa"/>
            <w:vMerge w:val="continue"/>
            <w:noWrap/>
            <w:vAlign w:val="bottom"/>
          </w:tcPr>
          <w:p w14:paraId="219FE467">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6AFFB556">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0A8812DA">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支持接口配置管理，包括但不限于协议类型（HTTP、H2、WS等）、地址、请求参数、响应参数、参数值说明等内容设置，以及多种展示方式。</w:t>
            </w:r>
          </w:p>
        </w:tc>
      </w:tr>
      <w:tr w14:paraId="13B21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960" w:type="dxa"/>
            <w:noWrap/>
            <w:vAlign w:val="bottom"/>
          </w:tcPr>
          <w:p w14:paraId="46A7C1E9">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83</w:t>
            </w:r>
          </w:p>
        </w:tc>
        <w:tc>
          <w:tcPr>
            <w:tcW w:w="1316" w:type="dxa"/>
            <w:vMerge w:val="continue"/>
            <w:noWrap/>
            <w:vAlign w:val="bottom"/>
          </w:tcPr>
          <w:p w14:paraId="271BF61B">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1A783AA2">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0259D95B">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支持接口测试功能，需支持多种网络线路选择发起验证并展示返回报文。</w:t>
            </w:r>
          </w:p>
        </w:tc>
      </w:tr>
      <w:tr w14:paraId="1D267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2" w:hRule="atLeast"/>
        </w:trPr>
        <w:tc>
          <w:tcPr>
            <w:tcW w:w="960" w:type="dxa"/>
            <w:noWrap/>
            <w:vAlign w:val="bottom"/>
          </w:tcPr>
          <w:p w14:paraId="0EFFEA9A">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84</w:t>
            </w:r>
          </w:p>
        </w:tc>
        <w:tc>
          <w:tcPr>
            <w:tcW w:w="1316" w:type="dxa"/>
            <w:vMerge w:val="continue"/>
            <w:noWrap/>
            <w:vAlign w:val="bottom"/>
          </w:tcPr>
          <w:p w14:paraId="7D6AF30B">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5CF7EADA">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5D57FD4F">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kern w:val="0"/>
                <w:sz w:val="21"/>
                <w:szCs w:val="21"/>
                <w:highlight w:val="none"/>
                <w:lang w:bidi="ar"/>
              </w:rPr>
            </w:pPr>
            <w:r>
              <w:rPr>
                <w:rFonts w:hint="eastAsia" w:ascii="宋体" w:hAnsi="宋体" w:eastAsia="宋体" w:cs="宋体"/>
                <w:color w:val="auto"/>
                <w:sz w:val="21"/>
                <w:szCs w:val="21"/>
                <w:highlight w:val="none"/>
              </w:rPr>
              <w:t>▲</w:t>
            </w:r>
            <w:r>
              <w:rPr>
                <w:rFonts w:hint="eastAsia" w:ascii="宋体" w:hAnsi="宋体" w:eastAsia="宋体" w:cs="宋体"/>
                <w:color w:val="auto"/>
                <w:kern w:val="0"/>
                <w:sz w:val="21"/>
                <w:szCs w:val="21"/>
                <w:highlight w:val="none"/>
                <w:lang w:bidi="ar"/>
              </w:rPr>
              <w:t>支持接口用例执行能力，可选择多种环境发起用例执行并展示返回执行结果，包括执行情况、结果验证、报文、执行日志、请求头、响应头、参数值等内容。</w:t>
            </w:r>
          </w:p>
          <w:p w14:paraId="3ADDE486">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kern w:val="0"/>
                <w:sz w:val="21"/>
                <w:szCs w:val="21"/>
                <w:highlight w:val="none"/>
                <w:lang w:bidi="ar"/>
              </w:rPr>
            </w:pPr>
            <w:r>
              <w:rPr>
                <w:rFonts w:hint="eastAsia" w:ascii="宋体" w:hAnsi="宋体" w:cs="宋体"/>
                <w:i w:val="0"/>
                <w:iCs w:val="0"/>
                <w:color w:val="auto"/>
                <w:kern w:val="0"/>
                <w:sz w:val="21"/>
                <w:szCs w:val="21"/>
                <w:highlight w:val="none"/>
                <w:u w:val="none"/>
                <w:lang w:val="en-US" w:eastAsia="zh-CN" w:bidi="ar"/>
              </w:rPr>
              <w:t>提供相关案例截图或证明材料</w:t>
            </w:r>
          </w:p>
        </w:tc>
      </w:tr>
      <w:tr w14:paraId="551CB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960" w:type="dxa"/>
            <w:noWrap/>
            <w:vAlign w:val="bottom"/>
          </w:tcPr>
          <w:p w14:paraId="4F867DF4">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85</w:t>
            </w:r>
          </w:p>
        </w:tc>
        <w:tc>
          <w:tcPr>
            <w:tcW w:w="1316" w:type="dxa"/>
            <w:vMerge w:val="continue"/>
            <w:noWrap/>
            <w:vAlign w:val="bottom"/>
          </w:tcPr>
          <w:p w14:paraId="3E17E6A2">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restart"/>
            <w:noWrap w:val="0"/>
            <w:vAlign w:val="bottom"/>
          </w:tcPr>
          <w:p w14:paraId="410B9CB6">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4.5.4UI巡检管理</w:t>
            </w:r>
          </w:p>
        </w:tc>
        <w:tc>
          <w:tcPr>
            <w:tcW w:w="5507" w:type="dxa"/>
            <w:noWrap w:val="0"/>
            <w:vAlign w:val="bottom"/>
          </w:tcPr>
          <w:p w14:paraId="70FF135E">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支持UI组件的树状展示和管理能力，包括目录增删改、组件增删改、组件克隆、查询版本、查看关联用例等功能。</w:t>
            </w:r>
          </w:p>
        </w:tc>
      </w:tr>
      <w:tr w14:paraId="25C39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 w:hRule="atLeast"/>
        </w:trPr>
        <w:tc>
          <w:tcPr>
            <w:tcW w:w="960" w:type="dxa"/>
            <w:noWrap/>
            <w:vAlign w:val="bottom"/>
          </w:tcPr>
          <w:p w14:paraId="73EBD327">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86</w:t>
            </w:r>
          </w:p>
        </w:tc>
        <w:tc>
          <w:tcPr>
            <w:tcW w:w="1316" w:type="dxa"/>
            <w:vMerge w:val="continue"/>
            <w:noWrap/>
            <w:vAlign w:val="bottom"/>
          </w:tcPr>
          <w:p w14:paraId="1D523A8D">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649FC508">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432A5CB6">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kern w:val="0"/>
                <w:sz w:val="21"/>
                <w:szCs w:val="21"/>
                <w:highlight w:val="none"/>
                <w:lang w:bidi="ar"/>
              </w:rPr>
            </w:pPr>
            <w:r>
              <w:rPr>
                <w:rFonts w:hint="eastAsia" w:ascii="宋体" w:hAnsi="宋体" w:eastAsia="宋体" w:cs="宋体"/>
                <w:color w:val="auto"/>
                <w:sz w:val="21"/>
                <w:szCs w:val="21"/>
                <w:highlight w:val="none"/>
              </w:rPr>
              <w:t>▲</w:t>
            </w:r>
            <w:r>
              <w:rPr>
                <w:rFonts w:hint="eastAsia" w:ascii="宋体" w:hAnsi="宋体" w:eastAsia="宋体" w:cs="宋体"/>
                <w:color w:val="auto"/>
                <w:kern w:val="0"/>
                <w:sz w:val="21"/>
                <w:szCs w:val="21"/>
                <w:highlight w:val="none"/>
                <w:lang w:bidi="ar"/>
              </w:rPr>
              <w:t>支持UI组件的配置管理，包括组件名称、脚本类型、组件描述、脚本代码等内容编辑能力，以及代码搜索、导入录制文件生成脚本、参数配置等功能。</w:t>
            </w:r>
          </w:p>
          <w:p w14:paraId="6D0DBC38">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kern w:val="0"/>
                <w:sz w:val="21"/>
                <w:szCs w:val="21"/>
                <w:highlight w:val="none"/>
                <w:lang w:bidi="ar"/>
              </w:rPr>
            </w:pPr>
            <w:r>
              <w:rPr>
                <w:rFonts w:hint="eastAsia" w:ascii="宋体" w:hAnsi="宋体" w:cs="宋体"/>
                <w:i w:val="0"/>
                <w:iCs w:val="0"/>
                <w:color w:val="auto"/>
                <w:kern w:val="0"/>
                <w:sz w:val="21"/>
                <w:szCs w:val="21"/>
                <w:highlight w:val="none"/>
                <w:u w:val="none"/>
                <w:lang w:val="en-US" w:eastAsia="zh-CN" w:bidi="ar"/>
              </w:rPr>
              <w:t>提供相关案例截图或证明材料</w:t>
            </w:r>
          </w:p>
        </w:tc>
      </w:tr>
      <w:tr w14:paraId="43DC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960" w:type="dxa"/>
            <w:noWrap/>
            <w:vAlign w:val="bottom"/>
          </w:tcPr>
          <w:p w14:paraId="7AD9FBCF">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87</w:t>
            </w:r>
          </w:p>
        </w:tc>
        <w:tc>
          <w:tcPr>
            <w:tcW w:w="1316" w:type="dxa"/>
            <w:vMerge w:val="continue"/>
            <w:noWrap/>
            <w:vAlign w:val="bottom"/>
          </w:tcPr>
          <w:p w14:paraId="6C37593A">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28179741">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74268462">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支持UI用例的树状展示和管理能力，包括目录增删改、克隆用例、删除用例等功能。</w:t>
            </w:r>
          </w:p>
        </w:tc>
      </w:tr>
      <w:tr w14:paraId="543C7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60" w:type="dxa"/>
            <w:noWrap/>
            <w:vAlign w:val="bottom"/>
          </w:tcPr>
          <w:p w14:paraId="0B0DFE13">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88</w:t>
            </w:r>
          </w:p>
        </w:tc>
        <w:tc>
          <w:tcPr>
            <w:tcW w:w="1316" w:type="dxa"/>
            <w:vMerge w:val="continue"/>
            <w:noWrap/>
            <w:vAlign w:val="bottom"/>
          </w:tcPr>
          <w:p w14:paraId="388C208B">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6703" w:type="dxa"/>
            <w:gridSpan w:val="2"/>
            <w:noWrap w:val="0"/>
            <w:vAlign w:val="bottom"/>
          </w:tcPr>
          <w:p w14:paraId="1B9E91DB">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4.5.5计划管理</w:t>
            </w:r>
          </w:p>
        </w:tc>
      </w:tr>
      <w:tr w14:paraId="51FBC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3" w:hRule="atLeast"/>
        </w:trPr>
        <w:tc>
          <w:tcPr>
            <w:tcW w:w="960" w:type="dxa"/>
            <w:noWrap/>
            <w:vAlign w:val="bottom"/>
          </w:tcPr>
          <w:p w14:paraId="4192B72C">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89</w:t>
            </w:r>
          </w:p>
        </w:tc>
        <w:tc>
          <w:tcPr>
            <w:tcW w:w="1316" w:type="dxa"/>
            <w:vMerge w:val="continue"/>
            <w:noWrap/>
            <w:vAlign w:val="bottom"/>
          </w:tcPr>
          <w:p w14:paraId="7D5F1BCF">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restart"/>
            <w:noWrap w:val="0"/>
            <w:vAlign w:val="bottom"/>
          </w:tcPr>
          <w:p w14:paraId="746EE223">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4.5.6巡检报告</w:t>
            </w:r>
          </w:p>
        </w:tc>
        <w:tc>
          <w:tcPr>
            <w:tcW w:w="5507" w:type="dxa"/>
            <w:noWrap w:val="0"/>
            <w:vAlign w:val="bottom"/>
          </w:tcPr>
          <w:p w14:paraId="54848C9C">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支持巡检计划的报告展示能力，包括计划名称、计划批次、执行环境、用例数量、成功率、测试结果、执行时间、执行时长等数据清单展示，以及单个计划的详情展示。</w:t>
            </w:r>
          </w:p>
        </w:tc>
      </w:tr>
      <w:tr w14:paraId="41FF9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 w:hRule="atLeast"/>
        </w:trPr>
        <w:tc>
          <w:tcPr>
            <w:tcW w:w="960" w:type="dxa"/>
            <w:noWrap/>
            <w:vAlign w:val="bottom"/>
          </w:tcPr>
          <w:p w14:paraId="3B19A2E3">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90</w:t>
            </w:r>
          </w:p>
        </w:tc>
        <w:tc>
          <w:tcPr>
            <w:tcW w:w="1316" w:type="dxa"/>
            <w:vMerge w:val="continue"/>
            <w:noWrap/>
            <w:vAlign w:val="bottom"/>
          </w:tcPr>
          <w:p w14:paraId="26E53970">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0445B960">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10B93002">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支持巡检计划的停止、导出操作，以及根据状态、类型、计划名称、执行时间、成功率范围等方式进行查询的能力。</w:t>
            </w:r>
          </w:p>
        </w:tc>
      </w:tr>
      <w:tr w14:paraId="0FECD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60" w:type="dxa"/>
            <w:noWrap/>
            <w:vAlign w:val="bottom"/>
          </w:tcPr>
          <w:p w14:paraId="2D8ACC2F">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91</w:t>
            </w:r>
          </w:p>
        </w:tc>
        <w:tc>
          <w:tcPr>
            <w:tcW w:w="1316" w:type="dxa"/>
            <w:vMerge w:val="continue"/>
            <w:noWrap/>
            <w:vAlign w:val="bottom"/>
          </w:tcPr>
          <w:p w14:paraId="4FFCCCE2">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6703" w:type="dxa"/>
            <w:gridSpan w:val="2"/>
            <w:noWrap w:val="0"/>
            <w:vAlign w:val="bottom"/>
          </w:tcPr>
          <w:p w14:paraId="67A46AB6">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4.5.7告警管理</w:t>
            </w:r>
          </w:p>
        </w:tc>
      </w:tr>
      <w:tr w14:paraId="55F0A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60" w:type="dxa"/>
            <w:noWrap/>
            <w:vAlign w:val="bottom"/>
          </w:tcPr>
          <w:p w14:paraId="399893F1">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92</w:t>
            </w:r>
          </w:p>
        </w:tc>
        <w:tc>
          <w:tcPr>
            <w:tcW w:w="1316" w:type="dxa"/>
            <w:vMerge w:val="continue"/>
            <w:noWrap/>
            <w:vAlign w:val="bottom"/>
          </w:tcPr>
          <w:p w14:paraId="120EA090">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6703" w:type="dxa"/>
            <w:gridSpan w:val="2"/>
            <w:noWrap w:val="0"/>
            <w:vAlign w:val="bottom"/>
          </w:tcPr>
          <w:p w14:paraId="4A696128">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4.6 日志中心</w:t>
            </w:r>
          </w:p>
        </w:tc>
      </w:tr>
      <w:tr w14:paraId="4BFC4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960" w:type="dxa"/>
            <w:noWrap/>
            <w:vAlign w:val="bottom"/>
          </w:tcPr>
          <w:p w14:paraId="56F923C7">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93</w:t>
            </w:r>
          </w:p>
        </w:tc>
        <w:tc>
          <w:tcPr>
            <w:tcW w:w="1316" w:type="dxa"/>
            <w:vMerge w:val="continue"/>
            <w:noWrap/>
            <w:vAlign w:val="bottom"/>
          </w:tcPr>
          <w:p w14:paraId="4F8D8D08">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6703" w:type="dxa"/>
            <w:gridSpan w:val="2"/>
            <w:noWrap w:val="0"/>
            <w:vAlign w:val="bottom"/>
          </w:tcPr>
          <w:p w14:paraId="37D89285">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4.6.1采集管理</w:t>
            </w:r>
          </w:p>
          <w:p w14:paraId="4EDA3A14">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4.6.2Agent管理</w:t>
            </w:r>
          </w:p>
        </w:tc>
      </w:tr>
      <w:tr w14:paraId="28E42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5" w:hRule="atLeast"/>
        </w:trPr>
        <w:tc>
          <w:tcPr>
            <w:tcW w:w="960" w:type="dxa"/>
            <w:noWrap/>
            <w:vAlign w:val="bottom"/>
          </w:tcPr>
          <w:p w14:paraId="04A92045">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94</w:t>
            </w:r>
          </w:p>
        </w:tc>
        <w:tc>
          <w:tcPr>
            <w:tcW w:w="1316" w:type="dxa"/>
            <w:vMerge w:val="continue"/>
            <w:noWrap/>
            <w:vAlign w:val="bottom"/>
          </w:tcPr>
          <w:p w14:paraId="4362E1ED">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restart"/>
            <w:noWrap w:val="0"/>
            <w:vAlign w:val="bottom"/>
          </w:tcPr>
          <w:p w14:paraId="5BD01A6B">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4.6.3数据开发</w:t>
            </w:r>
          </w:p>
        </w:tc>
        <w:tc>
          <w:tcPr>
            <w:tcW w:w="5507" w:type="dxa"/>
            <w:noWrap w:val="0"/>
            <w:vAlign w:val="bottom"/>
          </w:tcPr>
          <w:p w14:paraId="5D400DE1">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支持拖拽式组件面板（数据源、数据处理等类型组件），通过图形化方式配置数据处理流程，内置数据转换、字段提取、XML解析等常用数据处理组件，可灵活组合构建数据处理任务。</w:t>
            </w:r>
          </w:p>
        </w:tc>
      </w:tr>
      <w:tr w14:paraId="77B59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960" w:type="dxa"/>
            <w:noWrap/>
            <w:vAlign w:val="bottom"/>
          </w:tcPr>
          <w:p w14:paraId="3FC8DF0C">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95</w:t>
            </w:r>
          </w:p>
        </w:tc>
        <w:tc>
          <w:tcPr>
            <w:tcW w:w="1316" w:type="dxa"/>
            <w:vMerge w:val="continue"/>
            <w:noWrap/>
            <w:vAlign w:val="bottom"/>
          </w:tcPr>
          <w:p w14:paraId="6FC1411D">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4C46EC8D">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6E129CD6">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kern w:val="0"/>
                <w:sz w:val="21"/>
                <w:szCs w:val="21"/>
                <w:highlight w:val="none"/>
                <w:lang w:bidi="ar"/>
              </w:rPr>
            </w:pPr>
            <w:r>
              <w:rPr>
                <w:rFonts w:hint="eastAsia" w:ascii="宋体" w:hAnsi="宋体" w:eastAsia="宋体" w:cs="宋体"/>
                <w:color w:val="auto"/>
                <w:sz w:val="21"/>
                <w:szCs w:val="21"/>
                <w:highlight w:val="none"/>
              </w:rPr>
              <w:t>▲</w:t>
            </w:r>
            <w:r>
              <w:rPr>
                <w:rFonts w:hint="eastAsia" w:ascii="宋体" w:hAnsi="宋体" w:eastAsia="宋体" w:cs="宋体"/>
                <w:color w:val="auto"/>
                <w:kern w:val="0"/>
                <w:sz w:val="21"/>
                <w:szCs w:val="21"/>
                <w:highlight w:val="none"/>
                <w:lang w:bidi="ar"/>
              </w:rPr>
              <w:t>支持作业列表展示与操作界面，按名称、类型、状态等多条件筛选，展示作业名称、状态、数据分类、消费组等核心信息。</w:t>
            </w:r>
          </w:p>
          <w:p w14:paraId="749917F2">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cs="宋体"/>
                <w:i w:val="0"/>
                <w:iCs w:val="0"/>
                <w:color w:val="auto"/>
                <w:kern w:val="0"/>
                <w:sz w:val="21"/>
                <w:szCs w:val="21"/>
                <w:highlight w:val="none"/>
                <w:u w:val="none"/>
                <w:lang w:val="en-US" w:eastAsia="zh-CN" w:bidi="ar"/>
              </w:rPr>
              <w:t>提供相关案例截图或证明材料</w:t>
            </w:r>
          </w:p>
        </w:tc>
      </w:tr>
      <w:tr w14:paraId="75473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960" w:type="dxa"/>
            <w:noWrap/>
            <w:vAlign w:val="bottom"/>
          </w:tcPr>
          <w:p w14:paraId="0AD861BA">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96</w:t>
            </w:r>
          </w:p>
        </w:tc>
        <w:tc>
          <w:tcPr>
            <w:tcW w:w="1316" w:type="dxa"/>
            <w:vMerge w:val="continue"/>
            <w:noWrap/>
            <w:vAlign w:val="bottom"/>
          </w:tcPr>
          <w:p w14:paraId="7911D4D7">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4659C99A">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44FC2C43">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支持作业的启动、停止、暂停、导入、导出操作管理，实现作业全生命周期追踪。</w:t>
            </w:r>
          </w:p>
        </w:tc>
      </w:tr>
      <w:tr w14:paraId="38D1B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2" w:hRule="atLeast"/>
        </w:trPr>
        <w:tc>
          <w:tcPr>
            <w:tcW w:w="960" w:type="dxa"/>
            <w:noWrap/>
            <w:vAlign w:val="bottom"/>
          </w:tcPr>
          <w:p w14:paraId="4D9C1798">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97</w:t>
            </w:r>
          </w:p>
        </w:tc>
        <w:tc>
          <w:tcPr>
            <w:tcW w:w="1316" w:type="dxa"/>
            <w:vMerge w:val="continue"/>
            <w:noWrap/>
            <w:vAlign w:val="bottom"/>
          </w:tcPr>
          <w:p w14:paraId="258F65ED">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6703" w:type="dxa"/>
            <w:gridSpan w:val="2"/>
            <w:noWrap w:val="0"/>
            <w:vAlign w:val="bottom"/>
          </w:tcPr>
          <w:p w14:paraId="3B7C6A41">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4.6.4数据资产</w:t>
            </w:r>
          </w:p>
          <w:p w14:paraId="34B2623D">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4.6.5主机管理</w:t>
            </w:r>
          </w:p>
          <w:p w14:paraId="10E29F42">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4.6.6日志查询</w:t>
            </w:r>
          </w:p>
          <w:p w14:paraId="078E7D12">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4.6.7日志监控</w:t>
            </w:r>
          </w:p>
        </w:tc>
      </w:tr>
      <w:tr w14:paraId="254D6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2" w:hRule="atLeast"/>
        </w:trPr>
        <w:tc>
          <w:tcPr>
            <w:tcW w:w="960" w:type="dxa"/>
            <w:noWrap/>
            <w:vAlign w:val="bottom"/>
          </w:tcPr>
          <w:p w14:paraId="15F26669">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98</w:t>
            </w:r>
          </w:p>
        </w:tc>
        <w:tc>
          <w:tcPr>
            <w:tcW w:w="1316" w:type="dxa"/>
            <w:vMerge w:val="continue"/>
            <w:noWrap/>
            <w:vAlign w:val="bottom"/>
          </w:tcPr>
          <w:p w14:paraId="42A1EA22">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restart"/>
            <w:noWrap w:val="0"/>
            <w:vAlign w:val="bottom"/>
          </w:tcPr>
          <w:p w14:paraId="5F481009">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4.6.8异常检测</w:t>
            </w:r>
          </w:p>
        </w:tc>
        <w:tc>
          <w:tcPr>
            <w:tcW w:w="5507" w:type="dxa"/>
            <w:noWrap w:val="0"/>
            <w:vAlign w:val="bottom"/>
          </w:tcPr>
          <w:p w14:paraId="63105976">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支持按状态、服务、模式ID、异常类型等条件组合过滤异常检测模式信息，展示各服务的指定日期的日志量（默认为今日/昨日）、同比变化及异常类型（如业务/技术异常）。</w:t>
            </w:r>
          </w:p>
        </w:tc>
      </w:tr>
      <w:tr w14:paraId="7A4F7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960" w:type="dxa"/>
            <w:noWrap/>
            <w:vAlign w:val="bottom"/>
          </w:tcPr>
          <w:p w14:paraId="47AC8906">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99</w:t>
            </w:r>
          </w:p>
        </w:tc>
        <w:tc>
          <w:tcPr>
            <w:tcW w:w="1316" w:type="dxa"/>
            <w:vMerge w:val="continue"/>
            <w:noWrap/>
            <w:vAlign w:val="bottom"/>
          </w:tcPr>
          <w:p w14:paraId="7202E8CC">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29B0737A">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450C3F08">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支持快速识别高频异常模式，并关联指定日期（默认为当日/昨日）的趋势图，直观对比日志量波动。</w:t>
            </w:r>
          </w:p>
        </w:tc>
      </w:tr>
      <w:tr w14:paraId="5A1D8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960" w:type="dxa"/>
            <w:noWrap/>
            <w:vAlign w:val="bottom"/>
          </w:tcPr>
          <w:p w14:paraId="4194B64A">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100</w:t>
            </w:r>
          </w:p>
        </w:tc>
        <w:tc>
          <w:tcPr>
            <w:tcW w:w="1316" w:type="dxa"/>
            <w:vMerge w:val="continue"/>
            <w:noWrap/>
            <w:vAlign w:val="bottom"/>
          </w:tcPr>
          <w:p w14:paraId="2D5109F7">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79226617">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09C9DEA3">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支持模式分析内容导出操作以便快速定位模式内容。</w:t>
            </w:r>
          </w:p>
        </w:tc>
      </w:tr>
      <w:tr w14:paraId="77473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trPr>
        <w:tc>
          <w:tcPr>
            <w:tcW w:w="960" w:type="dxa"/>
            <w:noWrap/>
            <w:vAlign w:val="bottom"/>
          </w:tcPr>
          <w:p w14:paraId="2F92DC6A">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101</w:t>
            </w:r>
          </w:p>
        </w:tc>
        <w:tc>
          <w:tcPr>
            <w:tcW w:w="1316" w:type="dxa"/>
            <w:vMerge w:val="continue"/>
            <w:noWrap/>
            <w:vAlign w:val="bottom"/>
          </w:tcPr>
          <w:p w14:paraId="553F0F6A">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15FBE094">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1A8D1504">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kern w:val="0"/>
                <w:sz w:val="21"/>
                <w:szCs w:val="21"/>
                <w:highlight w:val="none"/>
                <w:lang w:bidi="ar"/>
              </w:rPr>
            </w:pPr>
            <w:r>
              <w:rPr>
                <w:rFonts w:hint="eastAsia" w:ascii="宋体" w:hAnsi="宋体" w:eastAsia="宋体" w:cs="宋体"/>
                <w:color w:val="auto"/>
                <w:sz w:val="21"/>
                <w:szCs w:val="21"/>
                <w:highlight w:val="none"/>
              </w:rPr>
              <w:t>▲</w:t>
            </w:r>
            <w:r>
              <w:rPr>
                <w:rFonts w:hint="eastAsia" w:ascii="宋体" w:hAnsi="宋体" w:eastAsia="宋体" w:cs="宋体"/>
                <w:color w:val="auto"/>
                <w:kern w:val="0"/>
                <w:sz w:val="21"/>
                <w:szCs w:val="21"/>
                <w:highlight w:val="none"/>
                <w:lang w:bidi="ar"/>
              </w:rPr>
              <w:t>支持日志类型分类检索，需支持日志内容检索，支持查询系统日志的自定义异常模式，如状态、时间、类型等，需支持查看相关告警配置等信息。</w:t>
            </w:r>
          </w:p>
          <w:p w14:paraId="717B9F13">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kern w:val="0"/>
                <w:sz w:val="21"/>
                <w:szCs w:val="21"/>
                <w:highlight w:val="none"/>
                <w:lang w:bidi="ar"/>
              </w:rPr>
            </w:pPr>
            <w:r>
              <w:rPr>
                <w:rFonts w:hint="eastAsia" w:ascii="宋体" w:hAnsi="宋体" w:cs="宋体"/>
                <w:i w:val="0"/>
                <w:iCs w:val="0"/>
                <w:color w:val="auto"/>
                <w:kern w:val="0"/>
                <w:sz w:val="21"/>
                <w:szCs w:val="21"/>
                <w:highlight w:val="none"/>
                <w:u w:val="none"/>
                <w:lang w:val="en-US" w:eastAsia="zh-CN" w:bidi="ar"/>
              </w:rPr>
              <w:t>提供相关案例截图或证明材料</w:t>
            </w:r>
          </w:p>
        </w:tc>
      </w:tr>
      <w:tr w14:paraId="005E3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960" w:type="dxa"/>
            <w:noWrap/>
            <w:vAlign w:val="bottom"/>
          </w:tcPr>
          <w:p w14:paraId="23EF8CEB">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102</w:t>
            </w:r>
          </w:p>
        </w:tc>
        <w:tc>
          <w:tcPr>
            <w:tcW w:w="1316" w:type="dxa"/>
            <w:vMerge w:val="continue"/>
            <w:noWrap/>
            <w:vAlign w:val="bottom"/>
          </w:tcPr>
          <w:p w14:paraId="66FB7EA7">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264C78C4">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70D85483">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支持对系统下模式进行模式别名、模式状态、重要模板等相关数据进行打标修改。</w:t>
            </w:r>
          </w:p>
        </w:tc>
      </w:tr>
      <w:tr w14:paraId="3CFA5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60" w:type="dxa"/>
            <w:noWrap/>
            <w:vAlign w:val="bottom"/>
          </w:tcPr>
          <w:p w14:paraId="0566032B">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103</w:t>
            </w:r>
          </w:p>
        </w:tc>
        <w:tc>
          <w:tcPr>
            <w:tcW w:w="1316" w:type="dxa"/>
            <w:vMerge w:val="continue"/>
            <w:noWrap/>
            <w:vAlign w:val="bottom"/>
          </w:tcPr>
          <w:p w14:paraId="4CFC80F3">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6703" w:type="dxa"/>
            <w:gridSpan w:val="2"/>
            <w:noWrap w:val="0"/>
            <w:vAlign w:val="bottom"/>
          </w:tcPr>
          <w:p w14:paraId="41ABCCBB">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4.6.9异常检查总览</w:t>
            </w:r>
          </w:p>
        </w:tc>
      </w:tr>
      <w:tr w14:paraId="0167D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3" w:hRule="atLeast"/>
        </w:trPr>
        <w:tc>
          <w:tcPr>
            <w:tcW w:w="960" w:type="dxa"/>
            <w:noWrap/>
            <w:vAlign w:val="bottom"/>
          </w:tcPr>
          <w:p w14:paraId="2E6BF152">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104</w:t>
            </w:r>
          </w:p>
        </w:tc>
        <w:tc>
          <w:tcPr>
            <w:tcW w:w="1316" w:type="dxa"/>
            <w:vMerge w:val="continue"/>
            <w:noWrap/>
            <w:vAlign w:val="bottom"/>
          </w:tcPr>
          <w:p w14:paraId="1C58E065">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restart"/>
            <w:noWrap w:val="0"/>
            <w:vAlign w:val="bottom"/>
          </w:tcPr>
          <w:p w14:paraId="1AB660F4">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4.6.10运维管理</w:t>
            </w:r>
          </w:p>
        </w:tc>
        <w:tc>
          <w:tcPr>
            <w:tcW w:w="5507" w:type="dxa"/>
            <w:noWrap w:val="0"/>
            <w:vAlign w:val="bottom"/>
          </w:tcPr>
          <w:p w14:paraId="16EF8EBC">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支持Pipeline解析异常的实时监控界面，支持按名称、类型及时间范围等关键信息查询，展示各数据项异常数量。</w:t>
            </w:r>
          </w:p>
        </w:tc>
      </w:tr>
      <w:tr w14:paraId="333DD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960" w:type="dxa"/>
            <w:noWrap/>
            <w:vAlign w:val="bottom"/>
          </w:tcPr>
          <w:p w14:paraId="7A5D1B3F">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105</w:t>
            </w:r>
          </w:p>
        </w:tc>
        <w:tc>
          <w:tcPr>
            <w:tcW w:w="1316" w:type="dxa"/>
            <w:vMerge w:val="continue"/>
            <w:noWrap/>
            <w:vAlign w:val="bottom"/>
          </w:tcPr>
          <w:p w14:paraId="40E50293">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6ECEF4E5">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5B1E5BAD">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支持消息队列处理、主题、消费组的实时数据监控，展示生产数据量、消费数据量及积压数据量</w:t>
            </w:r>
          </w:p>
        </w:tc>
      </w:tr>
      <w:tr w14:paraId="783E3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 w:hRule="atLeast"/>
        </w:trPr>
        <w:tc>
          <w:tcPr>
            <w:tcW w:w="960" w:type="dxa"/>
            <w:noWrap/>
            <w:vAlign w:val="bottom"/>
          </w:tcPr>
          <w:p w14:paraId="52BD01D9">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106</w:t>
            </w:r>
          </w:p>
        </w:tc>
        <w:tc>
          <w:tcPr>
            <w:tcW w:w="1316" w:type="dxa"/>
            <w:vMerge w:val="continue"/>
            <w:noWrap/>
            <w:vAlign w:val="bottom"/>
          </w:tcPr>
          <w:p w14:paraId="41F205CF">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1317FA69">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3DAAD491">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支持数据表名称、分类、总储存量、记录条数等核心指标的集中监控界面，支持按名称和时间范围等维度筛选查询。</w:t>
            </w:r>
          </w:p>
        </w:tc>
      </w:tr>
      <w:tr w14:paraId="496B4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 w:hRule="atLeast"/>
        </w:trPr>
        <w:tc>
          <w:tcPr>
            <w:tcW w:w="960" w:type="dxa"/>
            <w:noWrap/>
            <w:vAlign w:val="bottom"/>
          </w:tcPr>
          <w:p w14:paraId="00300C9A">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107</w:t>
            </w:r>
          </w:p>
        </w:tc>
        <w:tc>
          <w:tcPr>
            <w:tcW w:w="1316" w:type="dxa"/>
            <w:vMerge w:val="continue"/>
            <w:noWrap/>
            <w:vAlign w:val="bottom"/>
          </w:tcPr>
          <w:p w14:paraId="0D91E148">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43A38E9F">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3A956108">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支持流式数据总数、数据表总数、API调用量等核心指标的实时统计看板，支持指定时间段的（默认近24小时）数据量趋势展示，直观反映系统数据规模。</w:t>
            </w:r>
          </w:p>
        </w:tc>
      </w:tr>
      <w:tr w14:paraId="7CA1D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60" w:type="dxa"/>
            <w:noWrap/>
            <w:vAlign w:val="bottom"/>
          </w:tcPr>
          <w:p w14:paraId="723E1046">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108</w:t>
            </w:r>
          </w:p>
        </w:tc>
        <w:tc>
          <w:tcPr>
            <w:tcW w:w="1316" w:type="dxa"/>
            <w:vMerge w:val="continue"/>
            <w:noWrap/>
            <w:vAlign w:val="bottom"/>
          </w:tcPr>
          <w:p w14:paraId="1ADFBCAF">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6703" w:type="dxa"/>
            <w:gridSpan w:val="2"/>
            <w:noWrap w:val="0"/>
            <w:vAlign w:val="bottom"/>
          </w:tcPr>
          <w:p w14:paraId="1B78BEF6">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4.7 CMDB</w:t>
            </w:r>
          </w:p>
        </w:tc>
      </w:tr>
      <w:tr w14:paraId="67286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0" w:type="dxa"/>
            <w:noWrap/>
            <w:vAlign w:val="bottom"/>
          </w:tcPr>
          <w:p w14:paraId="4F5EBA12">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109</w:t>
            </w:r>
          </w:p>
        </w:tc>
        <w:tc>
          <w:tcPr>
            <w:tcW w:w="1316" w:type="dxa"/>
            <w:vMerge w:val="continue"/>
            <w:noWrap/>
            <w:vAlign w:val="bottom"/>
          </w:tcPr>
          <w:p w14:paraId="4B7E827B">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6703" w:type="dxa"/>
            <w:gridSpan w:val="2"/>
            <w:noWrap w:val="0"/>
            <w:vAlign w:val="bottom"/>
          </w:tcPr>
          <w:p w14:paraId="532DF930">
            <w:pPr>
              <w:keepNext w:val="0"/>
              <w:keepLines w:val="0"/>
              <w:pageBreakBefore w:val="0"/>
              <w:widowControl/>
              <w:tabs>
                <w:tab w:val="left" w:pos="2158"/>
              </w:tabs>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4.7.1搜索</w:t>
            </w:r>
          </w:p>
          <w:p w14:paraId="366E8260">
            <w:pPr>
              <w:keepNext w:val="0"/>
              <w:keepLines w:val="0"/>
              <w:pageBreakBefore w:val="0"/>
              <w:widowControl/>
              <w:tabs>
                <w:tab w:val="left" w:pos="2158"/>
              </w:tabs>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4.7.2应用管理</w:t>
            </w:r>
          </w:p>
          <w:p w14:paraId="475C8DCE">
            <w:pPr>
              <w:keepNext w:val="0"/>
              <w:keepLines w:val="0"/>
              <w:pageBreakBefore w:val="0"/>
              <w:widowControl/>
              <w:tabs>
                <w:tab w:val="left" w:pos="2158"/>
              </w:tabs>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4.7.3资源维护组管理</w:t>
            </w:r>
          </w:p>
          <w:p w14:paraId="4474CDFA">
            <w:pPr>
              <w:keepNext w:val="0"/>
              <w:keepLines w:val="0"/>
              <w:pageBreakBefore w:val="0"/>
              <w:widowControl/>
              <w:tabs>
                <w:tab w:val="left" w:pos="2158"/>
              </w:tabs>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4.7.4拓扑管理</w:t>
            </w:r>
          </w:p>
          <w:p w14:paraId="18E41850">
            <w:pPr>
              <w:keepNext w:val="0"/>
              <w:keepLines w:val="0"/>
              <w:pageBreakBefore w:val="0"/>
              <w:widowControl/>
              <w:tabs>
                <w:tab w:val="left" w:pos="2158"/>
              </w:tabs>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4.7.5配置仓库管理</w:t>
            </w:r>
          </w:p>
          <w:p w14:paraId="206C5B93">
            <w:pPr>
              <w:keepNext w:val="0"/>
              <w:keepLines w:val="0"/>
              <w:pageBreakBefore w:val="0"/>
              <w:widowControl/>
              <w:tabs>
                <w:tab w:val="left" w:pos="2158"/>
              </w:tabs>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4.7.6模型管理</w:t>
            </w:r>
          </w:p>
          <w:p w14:paraId="2999FE4D">
            <w:pPr>
              <w:keepNext w:val="0"/>
              <w:keepLines w:val="0"/>
              <w:pageBreakBefore w:val="0"/>
              <w:widowControl/>
              <w:tabs>
                <w:tab w:val="left" w:pos="2158"/>
              </w:tabs>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4.7.7系统设置</w:t>
            </w:r>
          </w:p>
          <w:p w14:paraId="1CA06F94">
            <w:pPr>
              <w:keepNext w:val="0"/>
              <w:keepLines w:val="0"/>
              <w:pageBreakBefore w:val="0"/>
              <w:widowControl/>
              <w:tabs>
                <w:tab w:val="left" w:pos="2158"/>
              </w:tabs>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4.7.8配置和关系自动生成</w:t>
            </w:r>
          </w:p>
        </w:tc>
      </w:tr>
      <w:tr w14:paraId="11FCA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60" w:type="dxa"/>
            <w:noWrap/>
            <w:vAlign w:val="bottom"/>
          </w:tcPr>
          <w:p w14:paraId="66CB9DAD">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110</w:t>
            </w:r>
          </w:p>
        </w:tc>
        <w:tc>
          <w:tcPr>
            <w:tcW w:w="1316" w:type="dxa"/>
            <w:vMerge w:val="continue"/>
            <w:noWrap/>
            <w:vAlign w:val="bottom"/>
          </w:tcPr>
          <w:p w14:paraId="29E9DEF4">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6703" w:type="dxa"/>
            <w:gridSpan w:val="2"/>
            <w:noWrap w:val="0"/>
            <w:vAlign w:val="bottom"/>
          </w:tcPr>
          <w:p w14:paraId="439A72FB">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4.8 任务调度能力</w:t>
            </w:r>
          </w:p>
        </w:tc>
      </w:tr>
      <w:tr w14:paraId="2F825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5" w:hRule="atLeast"/>
        </w:trPr>
        <w:tc>
          <w:tcPr>
            <w:tcW w:w="960" w:type="dxa"/>
            <w:noWrap/>
            <w:vAlign w:val="bottom"/>
          </w:tcPr>
          <w:p w14:paraId="4C70CB0A">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111</w:t>
            </w:r>
          </w:p>
        </w:tc>
        <w:tc>
          <w:tcPr>
            <w:tcW w:w="1316" w:type="dxa"/>
            <w:vMerge w:val="continue"/>
            <w:noWrap/>
            <w:vAlign w:val="bottom"/>
          </w:tcPr>
          <w:p w14:paraId="5AC0A828">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restart"/>
            <w:noWrap w:val="0"/>
            <w:vAlign w:val="bottom"/>
          </w:tcPr>
          <w:p w14:paraId="12EDC891">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4.8.1驾驶舱</w:t>
            </w:r>
          </w:p>
        </w:tc>
        <w:tc>
          <w:tcPr>
            <w:tcW w:w="5507" w:type="dxa"/>
            <w:noWrap w:val="0"/>
            <w:vAlign w:val="bottom"/>
          </w:tcPr>
          <w:p w14:paraId="2E548BAA">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超级管理员角色以全局视角查看所有工单汇总、工单类型分布、工单租户来源分布、工单流程使用统计、租户创建工单数量TOP榜、创建工单趋势等功能；并支持以按日/月/年/所有等维度查看系统中所有流程运行情况，包括工单数量、排名以及特定流程的管理员、维护人、各租户使用分布、工单数量趋势、工单列表等信息。</w:t>
            </w:r>
          </w:p>
        </w:tc>
      </w:tr>
      <w:tr w14:paraId="17B4B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2" w:hRule="atLeast"/>
        </w:trPr>
        <w:tc>
          <w:tcPr>
            <w:tcW w:w="960" w:type="dxa"/>
            <w:noWrap/>
            <w:vAlign w:val="bottom"/>
          </w:tcPr>
          <w:p w14:paraId="016DD349">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112</w:t>
            </w:r>
          </w:p>
        </w:tc>
        <w:tc>
          <w:tcPr>
            <w:tcW w:w="1316" w:type="dxa"/>
            <w:vMerge w:val="continue"/>
            <w:noWrap/>
            <w:vAlign w:val="bottom"/>
          </w:tcPr>
          <w:p w14:paraId="4F3ADEEA">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7CE4776D">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1F342EA0">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以租户管理员角色查看本租户下单日工单实时看板、近期创建工单趋势、流程使用统计排行、当前租户所有流程工单等功能。并支持以按日/月/年/所有等维度展示本租户下所有流程运行情况，包括工单数量、排名以及特定流程的管理员、维护人、各租户使用分布、工单数量趋势、工单列表等信息。</w:t>
            </w:r>
          </w:p>
        </w:tc>
      </w:tr>
      <w:tr w14:paraId="7738E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2" w:hRule="atLeast"/>
        </w:trPr>
        <w:tc>
          <w:tcPr>
            <w:tcW w:w="960" w:type="dxa"/>
            <w:noWrap/>
            <w:vAlign w:val="bottom"/>
          </w:tcPr>
          <w:p w14:paraId="56E21534">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113</w:t>
            </w:r>
          </w:p>
        </w:tc>
        <w:tc>
          <w:tcPr>
            <w:tcW w:w="1316" w:type="dxa"/>
            <w:vMerge w:val="continue"/>
            <w:noWrap/>
            <w:vAlign w:val="bottom"/>
          </w:tcPr>
          <w:p w14:paraId="224142D7">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6703" w:type="dxa"/>
            <w:gridSpan w:val="2"/>
            <w:noWrap w:val="0"/>
            <w:vAlign w:val="bottom"/>
          </w:tcPr>
          <w:p w14:paraId="4228E9AE">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4.8.2我发起的</w:t>
            </w:r>
          </w:p>
          <w:p w14:paraId="7ED07EC0">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4.8.3待办工单</w:t>
            </w:r>
          </w:p>
          <w:p w14:paraId="57E8ABB5">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4.8.4所有工单</w:t>
            </w:r>
          </w:p>
          <w:p w14:paraId="71B734F0">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4.8.5流程查询</w:t>
            </w:r>
          </w:p>
        </w:tc>
      </w:tr>
      <w:tr w14:paraId="4EAF9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6" w:hRule="atLeast"/>
        </w:trPr>
        <w:tc>
          <w:tcPr>
            <w:tcW w:w="960" w:type="dxa"/>
            <w:noWrap/>
            <w:vAlign w:val="bottom"/>
          </w:tcPr>
          <w:p w14:paraId="52F161E0">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114</w:t>
            </w:r>
          </w:p>
        </w:tc>
        <w:tc>
          <w:tcPr>
            <w:tcW w:w="1316" w:type="dxa"/>
            <w:vMerge w:val="continue"/>
            <w:noWrap/>
            <w:vAlign w:val="bottom"/>
          </w:tcPr>
          <w:p w14:paraId="57D0771E">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restart"/>
            <w:noWrap w:val="0"/>
            <w:vAlign w:val="bottom"/>
          </w:tcPr>
          <w:p w14:paraId="3FDDFB2E">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4.8.6数据报告</w:t>
            </w:r>
          </w:p>
        </w:tc>
        <w:tc>
          <w:tcPr>
            <w:tcW w:w="5507" w:type="dxa"/>
            <w:noWrap w:val="0"/>
            <w:vAlign w:val="bottom"/>
          </w:tcPr>
          <w:p w14:paraId="37601C14">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提供数据报告功能，支持但不限于内置报表/自定义报表查询、数据展示、数据下载功能。其中，自定义报表数据范围支持选择全部流程/部分流程/单一流程中的全部数据/部分数据，并支持依据流程字段进行特定数据过滤；报表数据支持自定义查询条件、展示字段配置并进行在线实时查询，支持全部或部分数据导出功能。</w:t>
            </w:r>
          </w:p>
        </w:tc>
      </w:tr>
      <w:tr w14:paraId="209D4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960" w:type="dxa"/>
            <w:noWrap/>
            <w:vAlign w:val="bottom"/>
          </w:tcPr>
          <w:p w14:paraId="5F2E7FD1">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115</w:t>
            </w:r>
          </w:p>
        </w:tc>
        <w:tc>
          <w:tcPr>
            <w:tcW w:w="1316" w:type="dxa"/>
            <w:vMerge w:val="continue"/>
            <w:noWrap/>
            <w:vAlign w:val="bottom"/>
          </w:tcPr>
          <w:p w14:paraId="1C77DA14">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20BE530F">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29ACC744">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支持提供计划报告功能，通过邮件或其他形式进行周期性数据报表推送。支持关联数据报告、自定义邮件模板、报告接收人等配置，支持每天/每周/每月/单次/自定义等时间策略配置。</w:t>
            </w:r>
          </w:p>
        </w:tc>
      </w:tr>
      <w:tr w14:paraId="13B40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0" w:hRule="atLeast"/>
        </w:trPr>
        <w:tc>
          <w:tcPr>
            <w:tcW w:w="960" w:type="dxa"/>
            <w:noWrap/>
            <w:vAlign w:val="bottom"/>
          </w:tcPr>
          <w:p w14:paraId="2513C9C8">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116</w:t>
            </w:r>
          </w:p>
        </w:tc>
        <w:tc>
          <w:tcPr>
            <w:tcW w:w="1316" w:type="dxa"/>
            <w:vMerge w:val="continue"/>
            <w:noWrap/>
            <w:vAlign w:val="bottom"/>
          </w:tcPr>
          <w:p w14:paraId="34B87DB1">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restart"/>
            <w:noWrap w:val="0"/>
            <w:vAlign w:val="bottom"/>
          </w:tcPr>
          <w:p w14:paraId="11A469A5">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4.8.7业务设置</w:t>
            </w:r>
          </w:p>
        </w:tc>
        <w:tc>
          <w:tcPr>
            <w:tcW w:w="5507" w:type="dxa"/>
            <w:noWrap w:val="0"/>
            <w:vAlign w:val="bottom"/>
          </w:tcPr>
          <w:p w14:paraId="7EE6035C">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提供线上化流程配置功能，需支持根据流程名称查询流程，支持查看流程触发记录，支持流程上下架、测试、删除、复制等功能，支持租户可见范围、流程管理员、流程可见范围、流程维护人等不同维度的权限配置。</w:t>
            </w:r>
          </w:p>
        </w:tc>
      </w:tr>
      <w:tr w14:paraId="01E27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trPr>
        <w:tc>
          <w:tcPr>
            <w:tcW w:w="960" w:type="dxa"/>
            <w:noWrap/>
            <w:vAlign w:val="bottom"/>
          </w:tcPr>
          <w:p w14:paraId="2E32F441">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117</w:t>
            </w:r>
          </w:p>
        </w:tc>
        <w:tc>
          <w:tcPr>
            <w:tcW w:w="1316" w:type="dxa"/>
            <w:vMerge w:val="continue"/>
            <w:noWrap/>
            <w:vAlign w:val="bottom"/>
          </w:tcPr>
          <w:p w14:paraId="3DE060AE">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0280063D">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77517E28">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流程配置需支持文本、数字、日期、成员、成员组、文件、表格、超链接等字段的编码、校验规则、默认值、提示文字设置、值域关联等配置功能。</w:t>
            </w:r>
          </w:p>
        </w:tc>
      </w:tr>
      <w:tr w14:paraId="0ED24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trPr>
        <w:tc>
          <w:tcPr>
            <w:tcW w:w="960" w:type="dxa"/>
            <w:noWrap/>
            <w:vAlign w:val="bottom"/>
          </w:tcPr>
          <w:p w14:paraId="22146345">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118</w:t>
            </w:r>
          </w:p>
        </w:tc>
        <w:tc>
          <w:tcPr>
            <w:tcW w:w="1316" w:type="dxa"/>
            <w:vMerge w:val="continue"/>
            <w:noWrap/>
            <w:vAlign w:val="bottom"/>
          </w:tcPr>
          <w:p w14:paraId="3EBAA3CB">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42F6391F">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280A8175">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支持线上化流程绘制功能，提供开始事件、结束事件、用户任务、单一网关、并行网关等事件组件；支持但不限于页面设置功能，实现节点页面排版布局、字段分组及字段只读、编辑、隐藏设置。</w:t>
            </w:r>
          </w:p>
        </w:tc>
      </w:tr>
      <w:tr w14:paraId="29E90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 w:hRule="atLeast"/>
        </w:trPr>
        <w:tc>
          <w:tcPr>
            <w:tcW w:w="960" w:type="dxa"/>
            <w:noWrap/>
            <w:vAlign w:val="bottom"/>
          </w:tcPr>
          <w:p w14:paraId="6A04A504">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119</w:t>
            </w:r>
          </w:p>
        </w:tc>
        <w:tc>
          <w:tcPr>
            <w:tcW w:w="1316" w:type="dxa"/>
            <w:vMerge w:val="continue"/>
            <w:noWrap/>
            <w:vAlign w:val="bottom"/>
          </w:tcPr>
          <w:p w14:paraId="785FCD7A">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43F1F857">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0AD28947">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支持但不限于节点页面字段关联，通过灵活的字段关联设置，实现隐藏字段、显示字段、追加字段值、设为必填值、设为只读值等页面联动功能。</w:t>
            </w:r>
          </w:p>
        </w:tc>
      </w:tr>
      <w:tr w14:paraId="6E59F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6" w:hRule="atLeast"/>
        </w:trPr>
        <w:tc>
          <w:tcPr>
            <w:tcW w:w="960" w:type="dxa"/>
            <w:noWrap/>
            <w:vAlign w:val="bottom"/>
          </w:tcPr>
          <w:p w14:paraId="174EEAFB">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120</w:t>
            </w:r>
          </w:p>
        </w:tc>
        <w:tc>
          <w:tcPr>
            <w:tcW w:w="1316" w:type="dxa"/>
            <w:vMerge w:val="continue"/>
            <w:noWrap/>
            <w:vAlign w:val="bottom"/>
          </w:tcPr>
          <w:p w14:paraId="695AF30F">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19274090">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1AE81CB9">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支持日常工单协作管理功能，支持但不限于将特定时间段、特定流程的工单自动指派给其他处理人；支持但不限于以每天/每周/每月等时间策略自动化工单提交功能。</w:t>
            </w:r>
          </w:p>
        </w:tc>
      </w:tr>
      <w:tr w14:paraId="5D6A7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960" w:type="dxa"/>
            <w:noWrap/>
            <w:vAlign w:val="bottom"/>
          </w:tcPr>
          <w:p w14:paraId="2FF9E320">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121</w:t>
            </w:r>
          </w:p>
        </w:tc>
        <w:tc>
          <w:tcPr>
            <w:tcW w:w="1316" w:type="dxa"/>
            <w:vMerge w:val="continue"/>
            <w:noWrap/>
            <w:vAlign w:val="bottom"/>
          </w:tcPr>
          <w:p w14:paraId="52C8803A">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6703" w:type="dxa"/>
            <w:gridSpan w:val="2"/>
            <w:noWrap w:val="0"/>
            <w:vAlign w:val="bottom"/>
          </w:tcPr>
          <w:p w14:paraId="5657F51E">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4.8.8用户组管理</w:t>
            </w:r>
          </w:p>
          <w:p w14:paraId="5519646E">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4.8.9系统设置</w:t>
            </w:r>
          </w:p>
        </w:tc>
      </w:tr>
      <w:tr w14:paraId="4D404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60" w:type="dxa"/>
            <w:noWrap/>
            <w:vAlign w:val="bottom"/>
          </w:tcPr>
          <w:p w14:paraId="5CF0AD0A">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122</w:t>
            </w:r>
          </w:p>
        </w:tc>
        <w:tc>
          <w:tcPr>
            <w:tcW w:w="1316" w:type="dxa"/>
            <w:vMerge w:val="continue"/>
            <w:noWrap/>
            <w:vAlign w:val="bottom"/>
          </w:tcPr>
          <w:p w14:paraId="480093D4">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6703" w:type="dxa"/>
            <w:gridSpan w:val="2"/>
            <w:noWrap w:val="0"/>
            <w:vAlign w:val="bottom"/>
          </w:tcPr>
          <w:p w14:paraId="7823793A">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4.9 故障管理能力</w:t>
            </w:r>
          </w:p>
        </w:tc>
      </w:tr>
      <w:tr w14:paraId="39455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5" w:hRule="atLeast"/>
        </w:trPr>
        <w:tc>
          <w:tcPr>
            <w:tcW w:w="960" w:type="dxa"/>
            <w:noWrap/>
            <w:vAlign w:val="bottom"/>
          </w:tcPr>
          <w:p w14:paraId="381B520D">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123</w:t>
            </w:r>
          </w:p>
        </w:tc>
        <w:tc>
          <w:tcPr>
            <w:tcW w:w="1316" w:type="dxa"/>
            <w:vMerge w:val="continue"/>
            <w:noWrap/>
            <w:vAlign w:val="bottom"/>
          </w:tcPr>
          <w:p w14:paraId="158EFBE8">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restart"/>
            <w:noWrap w:val="0"/>
            <w:vAlign w:val="bottom"/>
          </w:tcPr>
          <w:p w14:paraId="64BE321C">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4.9.1事件上报</w:t>
            </w:r>
          </w:p>
        </w:tc>
        <w:tc>
          <w:tcPr>
            <w:tcW w:w="5507" w:type="dxa"/>
            <w:noWrap w:val="0"/>
            <w:vAlign w:val="bottom"/>
          </w:tcPr>
          <w:p w14:paraId="55237A0F">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支持事件上报的查询、上报、更新恢复等全流程管理界面，支持按系统名称、级别、时间范围等多维度筛选，实时展示故障信息、故障状态、处理进展等相关必要信息。</w:t>
            </w:r>
          </w:p>
        </w:tc>
      </w:tr>
      <w:tr w14:paraId="6FDAE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trPr>
        <w:tc>
          <w:tcPr>
            <w:tcW w:w="960" w:type="dxa"/>
            <w:noWrap/>
            <w:vAlign w:val="bottom"/>
          </w:tcPr>
          <w:p w14:paraId="1C041C92">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124</w:t>
            </w:r>
          </w:p>
        </w:tc>
        <w:tc>
          <w:tcPr>
            <w:tcW w:w="1316" w:type="dxa"/>
            <w:vMerge w:val="continue"/>
            <w:noWrap/>
            <w:vAlign w:val="bottom"/>
          </w:tcPr>
          <w:p w14:paraId="2B449EBE">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69392E54">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56D89854">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支持故障模板快速引用功能，支持标准化填写影响业务类型、地域范围等关键信息，确保故障上报规范统一。</w:t>
            </w:r>
          </w:p>
        </w:tc>
      </w:tr>
      <w:tr w14:paraId="2EDCA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960" w:type="dxa"/>
            <w:noWrap/>
            <w:vAlign w:val="bottom"/>
          </w:tcPr>
          <w:p w14:paraId="7A0C263C">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125</w:t>
            </w:r>
          </w:p>
        </w:tc>
        <w:tc>
          <w:tcPr>
            <w:tcW w:w="1316" w:type="dxa"/>
            <w:vMerge w:val="continue"/>
            <w:noWrap/>
            <w:vAlign w:val="bottom"/>
          </w:tcPr>
          <w:p w14:paraId="2CB61151">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restart"/>
            <w:noWrap w:val="0"/>
            <w:vAlign w:val="bottom"/>
          </w:tcPr>
          <w:p w14:paraId="6F89F0F1">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4.9.2一键拉会</w:t>
            </w:r>
          </w:p>
        </w:tc>
        <w:tc>
          <w:tcPr>
            <w:tcW w:w="5507" w:type="dxa"/>
            <w:noWrap w:val="0"/>
            <w:vAlign w:val="bottom"/>
          </w:tcPr>
          <w:p w14:paraId="5EAB8D16">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支持但不限于通过维护单位、系统等条件快速筛选目标团队进行人员、团队选择。</w:t>
            </w:r>
          </w:p>
        </w:tc>
      </w:tr>
      <w:tr w14:paraId="5E18E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960" w:type="dxa"/>
            <w:noWrap/>
            <w:vAlign w:val="bottom"/>
          </w:tcPr>
          <w:p w14:paraId="1418203C">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126</w:t>
            </w:r>
          </w:p>
        </w:tc>
        <w:tc>
          <w:tcPr>
            <w:tcW w:w="1316" w:type="dxa"/>
            <w:vMerge w:val="continue"/>
            <w:noWrap/>
            <w:vAlign w:val="bottom"/>
          </w:tcPr>
          <w:p w14:paraId="72207114">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0955FC9D">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16B00B35">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支持蓝信消息、短信、外呼等多通道通知方式。</w:t>
            </w:r>
          </w:p>
        </w:tc>
      </w:tr>
      <w:tr w14:paraId="503BB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960" w:type="dxa"/>
            <w:noWrap/>
            <w:vAlign w:val="bottom"/>
          </w:tcPr>
          <w:p w14:paraId="7DD9DDAE">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127</w:t>
            </w:r>
          </w:p>
        </w:tc>
        <w:tc>
          <w:tcPr>
            <w:tcW w:w="1316" w:type="dxa"/>
            <w:vMerge w:val="continue"/>
            <w:noWrap/>
            <w:vAlign w:val="bottom"/>
          </w:tcPr>
          <w:p w14:paraId="09FAE4A1">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51E24BEA">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4E763FBD">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支持展示历史拉会记录呈现拉会人、会议号、通知内容等全流程数据。</w:t>
            </w:r>
          </w:p>
        </w:tc>
      </w:tr>
      <w:tr w14:paraId="7072E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960" w:type="dxa"/>
            <w:noWrap/>
            <w:vAlign w:val="bottom"/>
          </w:tcPr>
          <w:p w14:paraId="0149C9E9">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128</w:t>
            </w:r>
          </w:p>
        </w:tc>
        <w:tc>
          <w:tcPr>
            <w:tcW w:w="1316" w:type="dxa"/>
            <w:vMerge w:val="continue"/>
            <w:noWrap/>
            <w:vAlign w:val="bottom"/>
          </w:tcPr>
          <w:p w14:paraId="0DE51174">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restart"/>
            <w:noWrap w:val="0"/>
            <w:vAlign w:val="bottom"/>
          </w:tcPr>
          <w:p w14:paraId="7A00D305">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4.9.3事中指挥室</w:t>
            </w:r>
          </w:p>
        </w:tc>
        <w:tc>
          <w:tcPr>
            <w:tcW w:w="5507" w:type="dxa"/>
            <w:noWrap w:val="0"/>
            <w:vAlign w:val="bottom"/>
          </w:tcPr>
          <w:p w14:paraId="28E901A2">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支持按指挥室ID、名称、单位等多维度检索，展示指挥室ID、指挥室名称、维护信息、创建人、创建时间、持续时间、是否事件上报、是否拉会等全流程数据。</w:t>
            </w:r>
          </w:p>
        </w:tc>
      </w:tr>
      <w:tr w14:paraId="365D9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960" w:type="dxa"/>
            <w:noWrap/>
            <w:vAlign w:val="bottom"/>
          </w:tcPr>
          <w:p w14:paraId="3D387482">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129</w:t>
            </w:r>
          </w:p>
        </w:tc>
        <w:tc>
          <w:tcPr>
            <w:tcW w:w="1316" w:type="dxa"/>
            <w:vMerge w:val="continue"/>
            <w:noWrap/>
            <w:vAlign w:val="bottom"/>
          </w:tcPr>
          <w:p w14:paraId="085408D8">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01383410">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5DF225B5">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kern w:val="0"/>
                <w:sz w:val="21"/>
                <w:szCs w:val="21"/>
                <w:highlight w:val="none"/>
                <w:lang w:bidi="ar"/>
              </w:rPr>
            </w:pPr>
            <w:r>
              <w:rPr>
                <w:rFonts w:hint="eastAsia" w:ascii="宋体" w:hAnsi="宋体" w:eastAsia="宋体" w:cs="宋体"/>
                <w:color w:val="auto"/>
                <w:sz w:val="21"/>
                <w:szCs w:val="21"/>
                <w:highlight w:val="none"/>
              </w:rPr>
              <w:t>▲</w:t>
            </w:r>
            <w:r>
              <w:rPr>
                <w:rFonts w:hint="eastAsia" w:ascii="宋体" w:hAnsi="宋体" w:eastAsia="宋体" w:cs="宋体"/>
                <w:color w:val="auto"/>
                <w:kern w:val="0"/>
                <w:sz w:val="21"/>
                <w:szCs w:val="21"/>
                <w:highlight w:val="none"/>
                <w:lang w:bidi="ar"/>
              </w:rPr>
              <w:t>支持自动关联事件上报状态和拉会记录，实现从事件触发到闭环的全过程追踪。</w:t>
            </w:r>
          </w:p>
          <w:p w14:paraId="662D5130">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kern w:val="0"/>
                <w:sz w:val="21"/>
                <w:szCs w:val="21"/>
                <w:highlight w:val="none"/>
                <w:lang w:bidi="ar"/>
              </w:rPr>
            </w:pPr>
            <w:r>
              <w:rPr>
                <w:rFonts w:hint="eastAsia" w:ascii="宋体" w:hAnsi="宋体" w:cs="宋体"/>
                <w:i w:val="0"/>
                <w:iCs w:val="0"/>
                <w:color w:val="auto"/>
                <w:kern w:val="0"/>
                <w:sz w:val="21"/>
                <w:szCs w:val="21"/>
                <w:highlight w:val="none"/>
                <w:u w:val="none"/>
                <w:lang w:val="en-US" w:eastAsia="zh-CN" w:bidi="ar"/>
              </w:rPr>
              <w:t>提供相关案例截图或证明材料</w:t>
            </w:r>
          </w:p>
        </w:tc>
      </w:tr>
      <w:tr w14:paraId="4F0B9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960" w:type="dxa"/>
            <w:noWrap/>
            <w:vAlign w:val="bottom"/>
          </w:tcPr>
          <w:p w14:paraId="1EE70C74">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130</w:t>
            </w:r>
          </w:p>
        </w:tc>
        <w:tc>
          <w:tcPr>
            <w:tcW w:w="1316" w:type="dxa"/>
            <w:vMerge w:val="continue"/>
            <w:noWrap/>
            <w:vAlign w:val="bottom"/>
          </w:tcPr>
          <w:p w14:paraId="3A3D2C1E">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41AD2362">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4DEE64EF">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支持实时展示签到状态，支持应急通讯录快速触达。</w:t>
            </w:r>
          </w:p>
        </w:tc>
      </w:tr>
      <w:tr w14:paraId="0E160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trPr>
        <w:tc>
          <w:tcPr>
            <w:tcW w:w="960" w:type="dxa"/>
            <w:noWrap/>
            <w:vAlign w:val="bottom"/>
          </w:tcPr>
          <w:p w14:paraId="7F486C58">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131</w:t>
            </w:r>
          </w:p>
        </w:tc>
        <w:tc>
          <w:tcPr>
            <w:tcW w:w="1316" w:type="dxa"/>
            <w:vMerge w:val="continue"/>
            <w:noWrap/>
            <w:vAlign w:val="bottom"/>
          </w:tcPr>
          <w:p w14:paraId="40B674DF">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restart"/>
            <w:noWrap w:val="0"/>
            <w:vAlign w:val="bottom"/>
          </w:tcPr>
          <w:p w14:paraId="0CED4B95">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4.9.4故障报告管理</w:t>
            </w:r>
          </w:p>
        </w:tc>
        <w:tc>
          <w:tcPr>
            <w:tcW w:w="5507" w:type="dxa"/>
            <w:noWrap w:val="0"/>
            <w:vAlign w:val="bottom"/>
          </w:tcPr>
          <w:p w14:paraId="2FEEA6D4">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支持但不限于按工单编号、时间范围、单位、系统、工单状态、事件类型，查询故障报告工单。展示工单编码、故障信息、发起人、发起时间、要求完成时间、当前处理人、工单状态。</w:t>
            </w:r>
          </w:p>
        </w:tc>
      </w:tr>
      <w:tr w14:paraId="0E610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 w:hRule="atLeast"/>
        </w:trPr>
        <w:tc>
          <w:tcPr>
            <w:tcW w:w="960" w:type="dxa"/>
            <w:noWrap/>
            <w:vAlign w:val="bottom"/>
          </w:tcPr>
          <w:p w14:paraId="0CE0A06B">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132</w:t>
            </w:r>
          </w:p>
        </w:tc>
        <w:tc>
          <w:tcPr>
            <w:tcW w:w="1316" w:type="dxa"/>
            <w:vMerge w:val="continue"/>
            <w:noWrap/>
            <w:vAlign w:val="bottom"/>
          </w:tcPr>
          <w:p w14:paraId="3426B0DB">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38DBA16D">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2BA3461A">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kern w:val="0"/>
                <w:sz w:val="21"/>
                <w:szCs w:val="21"/>
                <w:highlight w:val="none"/>
                <w:lang w:bidi="ar"/>
              </w:rPr>
            </w:pPr>
            <w:r>
              <w:rPr>
                <w:rFonts w:hint="eastAsia" w:ascii="宋体" w:hAnsi="宋体" w:eastAsia="宋体" w:cs="宋体"/>
                <w:color w:val="auto"/>
                <w:sz w:val="21"/>
                <w:szCs w:val="21"/>
                <w:highlight w:val="none"/>
              </w:rPr>
              <w:t>▲</w:t>
            </w:r>
            <w:r>
              <w:rPr>
                <w:rFonts w:hint="eastAsia" w:ascii="宋体" w:hAnsi="宋体" w:eastAsia="宋体" w:cs="宋体"/>
                <w:color w:val="auto"/>
                <w:kern w:val="0"/>
                <w:sz w:val="21"/>
                <w:szCs w:val="21"/>
                <w:highlight w:val="none"/>
                <w:lang w:bidi="ar"/>
              </w:rPr>
              <w:t>支持故障全生命流程的记录，包含但不限于故障报告多层故障原因打标（如版本方案缺陷），关联整改措施并绑定责任部门与完成时间，故障报告完成后自动发起相应整改措施工单、自动触发闭环工单流，并同步通知督办方与验收方。</w:t>
            </w:r>
          </w:p>
          <w:p w14:paraId="62DAD462">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kern w:val="0"/>
                <w:sz w:val="21"/>
                <w:szCs w:val="21"/>
                <w:highlight w:val="none"/>
                <w:lang w:bidi="ar"/>
              </w:rPr>
            </w:pPr>
            <w:r>
              <w:rPr>
                <w:rFonts w:hint="eastAsia" w:ascii="宋体" w:hAnsi="宋体" w:cs="宋体"/>
                <w:i w:val="0"/>
                <w:iCs w:val="0"/>
                <w:color w:val="auto"/>
                <w:kern w:val="0"/>
                <w:sz w:val="21"/>
                <w:szCs w:val="21"/>
                <w:highlight w:val="none"/>
                <w:u w:val="none"/>
                <w:lang w:val="en-US" w:eastAsia="zh-CN" w:bidi="ar"/>
              </w:rPr>
              <w:t>提供相关案例截图或证明材料</w:t>
            </w:r>
          </w:p>
        </w:tc>
      </w:tr>
      <w:tr w14:paraId="0C499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960" w:type="dxa"/>
            <w:noWrap/>
            <w:vAlign w:val="bottom"/>
          </w:tcPr>
          <w:p w14:paraId="120B76C3">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133</w:t>
            </w:r>
          </w:p>
        </w:tc>
        <w:tc>
          <w:tcPr>
            <w:tcW w:w="1316" w:type="dxa"/>
            <w:vMerge w:val="continue"/>
            <w:noWrap/>
            <w:vAlign w:val="bottom"/>
          </w:tcPr>
          <w:p w14:paraId="7D22BF4E">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6703" w:type="dxa"/>
            <w:gridSpan w:val="2"/>
            <w:noWrap w:val="0"/>
            <w:vAlign w:val="bottom"/>
          </w:tcPr>
          <w:p w14:paraId="5FDA3B05">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4.9.5故障报告处理</w:t>
            </w:r>
          </w:p>
          <w:p w14:paraId="76EC56CD">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4.9.6整个措施查询</w:t>
            </w:r>
          </w:p>
        </w:tc>
      </w:tr>
      <w:tr w14:paraId="6010F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9" w:hRule="atLeast"/>
        </w:trPr>
        <w:tc>
          <w:tcPr>
            <w:tcW w:w="960" w:type="dxa"/>
            <w:noWrap/>
            <w:vAlign w:val="bottom"/>
          </w:tcPr>
          <w:p w14:paraId="2A709B44">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134</w:t>
            </w:r>
          </w:p>
        </w:tc>
        <w:tc>
          <w:tcPr>
            <w:tcW w:w="1316" w:type="dxa"/>
            <w:vMerge w:val="continue"/>
            <w:noWrap/>
            <w:vAlign w:val="bottom"/>
          </w:tcPr>
          <w:p w14:paraId="44738B00">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restart"/>
            <w:noWrap w:val="0"/>
            <w:vAlign w:val="bottom"/>
          </w:tcPr>
          <w:p w14:paraId="29ED16FA">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4.9.7整改措施处理</w:t>
            </w:r>
          </w:p>
        </w:tc>
        <w:tc>
          <w:tcPr>
            <w:tcW w:w="5507" w:type="dxa"/>
            <w:noWrap w:val="0"/>
            <w:vAlign w:val="bottom"/>
          </w:tcPr>
          <w:p w14:paraId="38BED220">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支持但不限于整改措施工单流程全生命周期管理，整改措施工单发起、整改措施工单更新、整改措施工单挂起、整改措施工单审核。</w:t>
            </w:r>
          </w:p>
        </w:tc>
      </w:tr>
      <w:tr w14:paraId="54AEF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60" w:type="dxa"/>
            <w:noWrap/>
            <w:vAlign w:val="bottom"/>
          </w:tcPr>
          <w:p w14:paraId="3D774644">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135</w:t>
            </w:r>
          </w:p>
        </w:tc>
        <w:tc>
          <w:tcPr>
            <w:tcW w:w="1316" w:type="dxa"/>
            <w:vMerge w:val="continue"/>
            <w:noWrap/>
            <w:vAlign w:val="bottom"/>
          </w:tcPr>
          <w:p w14:paraId="7BCCB161">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5C4A1E56">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0393F2CB">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支持整改措施工单流转记录查询。</w:t>
            </w:r>
          </w:p>
        </w:tc>
      </w:tr>
      <w:tr w14:paraId="5D8ED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960" w:type="dxa"/>
            <w:noWrap/>
            <w:vAlign w:val="bottom"/>
          </w:tcPr>
          <w:p w14:paraId="1E58A9A8">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136</w:t>
            </w:r>
          </w:p>
        </w:tc>
        <w:tc>
          <w:tcPr>
            <w:tcW w:w="1316" w:type="dxa"/>
            <w:vMerge w:val="continue"/>
            <w:noWrap/>
            <w:vAlign w:val="bottom"/>
          </w:tcPr>
          <w:p w14:paraId="0CE74E20">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4C2A8940">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7F21F7F5">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支持但不限于整改措施内容更新、整改措施附件上传，支持整改措施完成时间延期、挂起。</w:t>
            </w:r>
          </w:p>
        </w:tc>
      </w:tr>
      <w:tr w14:paraId="0760B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60" w:type="dxa"/>
            <w:noWrap/>
            <w:vAlign w:val="bottom"/>
          </w:tcPr>
          <w:p w14:paraId="37CD393D">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137</w:t>
            </w:r>
          </w:p>
        </w:tc>
        <w:tc>
          <w:tcPr>
            <w:tcW w:w="1316" w:type="dxa"/>
            <w:vMerge w:val="continue"/>
            <w:noWrap/>
            <w:vAlign w:val="bottom"/>
          </w:tcPr>
          <w:p w14:paraId="33137A9E">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1F7BDDBE">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71451DAD">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支持整改措施工单临期催办、超时催办。</w:t>
            </w:r>
          </w:p>
        </w:tc>
      </w:tr>
      <w:tr w14:paraId="1C838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9" w:hRule="atLeast"/>
        </w:trPr>
        <w:tc>
          <w:tcPr>
            <w:tcW w:w="960" w:type="dxa"/>
            <w:noWrap/>
            <w:vAlign w:val="bottom"/>
          </w:tcPr>
          <w:p w14:paraId="353F2F40">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138</w:t>
            </w:r>
          </w:p>
        </w:tc>
        <w:tc>
          <w:tcPr>
            <w:tcW w:w="1316" w:type="dxa"/>
            <w:vMerge w:val="continue"/>
            <w:noWrap/>
            <w:vAlign w:val="bottom"/>
          </w:tcPr>
          <w:p w14:paraId="0E0BDD42">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6703" w:type="dxa"/>
            <w:gridSpan w:val="2"/>
            <w:noWrap w:val="0"/>
            <w:vAlign w:val="bottom"/>
          </w:tcPr>
          <w:p w14:paraId="0D84A03B">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4.9.8故障看板</w:t>
            </w:r>
          </w:p>
          <w:p w14:paraId="22BB8B3F">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4.9.9故障统计报表</w:t>
            </w:r>
          </w:p>
          <w:p w14:paraId="4FAC3467">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4.9.10配置管理</w:t>
            </w:r>
          </w:p>
        </w:tc>
      </w:tr>
      <w:tr w14:paraId="382A7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60" w:type="dxa"/>
            <w:noWrap/>
            <w:vAlign w:val="bottom"/>
          </w:tcPr>
          <w:p w14:paraId="2614C4E2">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139</w:t>
            </w:r>
          </w:p>
        </w:tc>
        <w:tc>
          <w:tcPr>
            <w:tcW w:w="1316" w:type="dxa"/>
            <w:vMerge w:val="continue"/>
            <w:noWrap/>
            <w:vAlign w:val="bottom"/>
          </w:tcPr>
          <w:p w14:paraId="4EC479BE">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6703" w:type="dxa"/>
            <w:gridSpan w:val="2"/>
            <w:noWrap w:val="0"/>
            <w:vAlign w:val="bottom"/>
          </w:tcPr>
          <w:p w14:paraId="22DC3FEF">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4.10 感知运营可视化中心</w:t>
            </w:r>
          </w:p>
        </w:tc>
      </w:tr>
      <w:tr w14:paraId="306F5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 w:hRule="atLeast"/>
        </w:trPr>
        <w:tc>
          <w:tcPr>
            <w:tcW w:w="960" w:type="dxa"/>
            <w:noWrap/>
            <w:vAlign w:val="bottom"/>
          </w:tcPr>
          <w:p w14:paraId="0BC0C679">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140</w:t>
            </w:r>
          </w:p>
        </w:tc>
        <w:tc>
          <w:tcPr>
            <w:tcW w:w="1316" w:type="dxa"/>
            <w:vMerge w:val="continue"/>
            <w:noWrap/>
            <w:vAlign w:val="bottom"/>
          </w:tcPr>
          <w:p w14:paraId="7E7E5648">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restart"/>
            <w:noWrap w:val="0"/>
            <w:vAlign w:val="bottom"/>
          </w:tcPr>
          <w:p w14:paraId="3B6AA843">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4.10.1告警调度分析</w:t>
            </w:r>
          </w:p>
        </w:tc>
        <w:tc>
          <w:tcPr>
            <w:tcW w:w="5507" w:type="dxa"/>
            <w:noWrap w:val="0"/>
            <w:vAlign w:val="bottom"/>
          </w:tcPr>
          <w:p w14:paraId="079A570E">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kern w:val="0"/>
                <w:sz w:val="21"/>
                <w:szCs w:val="21"/>
                <w:highlight w:val="none"/>
                <w:lang w:bidi="ar"/>
              </w:rPr>
            </w:pPr>
            <w:r>
              <w:rPr>
                <w:rFonts w:hint="eastAsia" w:ascii="宋体" w:hAnsi="宋体" w:eastAsia="宋体" w:cs="宋体"/>
                <w:color w:val="auto"/>
                <w:kern w:val="0"/>
                <w:sz w:val="21"/>
                <w:szCs w:val="21"/>
                <w:highlight w:val="none"/>
                <w:lang w:bidi="ar"/>
              </w:rPr>
              <w:t>★告警调度大屏可整合多源告警信息，直观展示运行状态，助力高效调度，提升处置效率、降低运维成本。</w:t>
            </w:r>
          </w:p>
          <w:p w14:paraId="2A3808F1">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kern w:val="0"/>
                <w:sz w:val="21"/>
                <w:szCs w:val="21"/>
                <w:highlight w:val="none"/>
                <w:lang w:bidi="ar"/>
              </w:rPr>
            </w:pPr>
            <w:r>
              <w:rPr>
                <w:rFonts w:hint="eastAsia" w:ascii="宋体" w:hAnsi="宋体" w:cs="宋体"/>
                <w:i w:val="0"/>
                <w:iCs w:val="0"/>
                <w:color w:val="auto"/>
                <w:kern w:val="0"/>
                <w:sz w:val="21"/>
                <w:szCs w:val="21"/>
                <w:highlight w:val="none"/>
                <w:u w:val="none"/>
                <w:lang w:val="en-US" w:eastAsia="zh-CN" w:bidi="ar"/>
              </w:rPr>
              <w:t>提供相关案例截图或证明材料</w:t>
            </w:r>
          </w:p>
        </w:tc>
      </w:tr>
      <w:tr w14:paraId="00A95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960" w:type="dxa"/>
            <w:noWrap/>
            <w:vAlign w:val="bottom"/>
          </w:tcPr>
          <w:p w14:paraId="316B6743">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141</w:t>
            </w:r>
          </w:p>
        </w:tc>
        <w:tc>
          <w:tcPr>
            <w:tcW w:w="1316" w:type="dxa"/>
            <w:vMerge w:val="continue"/>
            <w:noWrap/>
            <w:vAlign w:val="bottom"/>
          </w:tcPr>
          <w:p w14:paraId="0BF2234D">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7F92AF8B">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45201DAB">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需要支持用户通过固定时间段或自定义时间段等方式筛选告警信息。</w:t>
            </w:r>
          </w:p>
        </w:tc>
      </w:tr>
      <w:tr w14:paraId="4862B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960" w:type="dxa"/>
            <w:noWrap/>
            <w:vAlign w:val="bottom"/>
          </w:tcPr>
          <w:p w14:paraId="1B082D2D">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142</w:t>
            </w:r>
          </w:p>
        </w:tc>
        <w:tc>
          <w:tcPr>
            <w:tcW w:w="1316" w:type="dxa"/>
            <w:vMerge w:val="continue"/>
            <w:noWrap/>
            <w:vAlign w:val="bottom"/>
          </w:tcPr>
          <w:p w14:paraId="40E18BFA">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140914CC">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46DA6C8E">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需要支持按照不同类别展现系统当前系统清单和告警数量，并支持系统告警详情下钻。</w:t>
            </w:r>
          </w:p>
        </w:tc>
      </w:tr>
      <w:tr w14:paraId="37948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960" w:type="dxa"/>
            <w:noWrap/>
            <w:vAlign w:val="bottom"/>
          </w:tcPr>
          <w:p w14:paraId="6C7EFD29">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143</w:t>
            </w:r>
          </w:p>
        </w:tc>
        <w:tc>
          <w:tcPr>
            <w:tcW w:w="1316" w:type="dxa"/>
            <w:vMerge w:val="continue"/>
            <w:noWrap/>
            <w:vAlign w:val="bottom"/>
          </w:tcPr>
          <w:p w14:paraId="7C8B0499">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6EC5C66A">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7B7E2D70">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需要支持未签收工单个数重点显示功能，可按照不同类别展现系统显示当前未签收告警个数。</w:t>
            </w:r>
          </w:p>
        </w:tc>
      </w:tr>
      <w:tr w14:paraId="54B79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960" w:type="dxa"/>
            <w:noWrap/>
            <w:vAlign w:val="bottom"/>
          </w:tcPr>
          <w:p w14:paraId="46E82626">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144</w:t>
            </w:r>
          </w:p>
        </w:tc>
        <w:tc>
          <w:tcPr>
            <w:tcW w:w="1316" w:type="dxa"/>
            <w:vMerge w:val="continue"/>
            <w:noWrap/>
            <w:vAlign w:val="bottom"/>
          </w:tcPr>
          <w:p w14:paraId="547B4CE6">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restart"/>
            <w:noWrap w:val="0"/>
            <w:vAlign w:val="bottom"/>
          </w:tcPr>
          <w:p w14:paraId="6981832A">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4.10.2告警工单运营分析</w:t>
            </w:r>
          </w:p>
        </w:tc>
        <w:tc>
          <w:tcPr>
            <w:tcW w:w="5507" w:type="dxa"/>
            <w:noWrap w:val="0"/>
            <w:vAlign w:val="bottom"/>
          </w:tcPr>
          <w:p w14:paraId="50D564AB">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告警工单运营分析大屏需支持整合数据、实时监控处理进度、分析效率瓶颈，支撑快速响应与管理优化。</w:t>
            </w:r>
          </w:p>
        </w:tc>
      </w:tr>
      <w:tr w14:paraId="3740E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960" w:type="dxa"/>
            <w:noWrap/>
            <w:vAlign w:val="bottom"/>
          </w:tcPr>
          <w:p w14:paraId="006485D7">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145</w:t>
            </w:r>
          </w:p>
        </w:tc>
        <w:tc>
          <w:tcPr>
            <w:tcW w:w="1316" w:type="dxa"/>
            <w:vMerge w:val="continue"/>
            <w:noWrap/>
            <w:vAlign w:val="bottom"/>
          </w:tcPr>
          <w:p w14:paraId="4511B3B4">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7218B89F">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4A185C2E">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需要支持采集情况展现，描述当前异常采集和正常采集比例与数量，并支持查看详情。</w:t>
            </w:r>
          </w:p>
        </w:tc>
      </w:tr>
      <w:tr w14:paraId="5952A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atLeast"/>
        </w:trPr>
        <w:tc>
          <w:tcPr>
            <w:tcW w:w="960" w:type="dxa"/>
            <w:noWrap/>
            <w:vAlign w:val="bottom"/>
          </w:tcPr>
          <w:p w14:paraId="30C4B658">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146</w:t>
            </w:r>
          </w:p>
        </w:tc>
        <w:tc>
          <w:tcPr>
            <w:tcW w:w="1316" w:type="dxa"/>
            <w:vMerge w:val="continue"/>
            <w:noWrap/>
            <w:vAlign w:val="bottom"/>
          </w:tcPr>
          <w:p w14:paraId="4CF8F3D7">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7A38D889">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69C76E93">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需要支持但不限于工单量统计、工单签收及时率和工单处置耗时信息展示，内容包含提示级、重要级、普通级、紧急级等工单数量、工单签收及时率、工单平均签收时间及平均处理时间，并以条形图显示一个月之内的各级工单数量、工单平均签收时间及平均处理时间。</w:t>
            </w:r>
          </w:p>
        </w:tc>
      </w:tr>
      <w:tr w14:paraId="54BC8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960" w:type="dxa"/>
            <w:noWrap/>
            <w:vAlign w:val="bottom"/>
          </w:tcPr>
          <w:p w14:paraId="4B9AEDF8">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147</w:t>
            </w:r>
          </w:p>
        </w:tc>
        <w:tc>
          <w:tcPr>
            <w:tcW w:w="1316" w:type="dxa"/>
            <w:vMerge w:val="continue"/>
            <w:noWrap/>
            <w:vAlign w:val="bottom"/>
          </w:tcPr>
          <w:p w14:paraId="65920EFA">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1196" w:type="dxa"/>
            <w:vMerge w:val="continue"/>
            <w:noWrap w:val="0"/>
            <w:vAlign w:val="bottom"/>
          </w:tcPr>
          <w:p w14:paraId="246AACF7">
            <w:pPr>
              <w:keepNext w:val="0"/>
              <w:keepLines w:val="0"/>
              <w:pageBreakBefore w:val="0"/>
              <w:kinsoku/>
              <w:wordWrap/>
              <w:overflowPunct/>
              <w:topLinePunct w:val="0"/>
              <w:autoSpaceDE/>
              <w:autoSpaceDN/>
              <w:bidi w:val="0"/>
              <w:adjustRightInd/>
              <w:snapToGrid/>
              <w:spacing w:line="400" w:lineRule="exact"/>
              <w:ind w:left="0" w:leftChars="0" w:firstLine="0" w:firstLineChars="0"/>
              <w:jc w:val="left"/>
              <w:rPr>
                <w:rFonts w:hint="eastAsia" w:ascii="宋体" w:hAnsi="宋体" w:eastAsia="宋体" w:cs="宋体"/>
                <w:color w:val="auto"/>
                <w:sz w:val="21"/>
                <w:szCs w:val="21"/>
                <w:highlight w:val="none"/>
              </w:rPr>
            </w:pPr>
          </w:p>
        </w:tc>
        <w:tc>
          <w:tcPr>
            <w:tcW w:w="5507" w:type="dxa"/>
            <w:noWrap w:val="0"/>
            <w:vAlign w:val="bottom"/>
          </w:tcPr>
          <w:p w14:paraId="0E654752">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需要支持当工单签收率不为100%时，通过点击签收率数字显示未及时签收工单详情。</w:t>
            </w:r>
          </w:p>
        </w:tc>
      </w:tr>
      <w:tr w14:paraId="55948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960" w:type="dxa"/>
            <w:noWrap/>
            <w:vAlign w:val="bottom"/>
          </w:tcPr>
          <w:p w14:paraId="57434404">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148</w:t>
            </w:r>
          </w:p>
        </w:tc>
        <w:tc>
          <w:tcPr>
            <w:tcW w:w="1316" w:type="dxa"/>
            <w:vMerge w:val="continue"/>
            <w:noWrap/>
            <w:vAlign w:val="bottom"/>
          </w:tcPr>
          <w:p w14:paraId="4DB73693">
            <w:pPr>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eastAsia" w:ascii="宋体" w:hAnsi="宋体" w:eastAsia="宋体" w:cs="宋体"/>
                <w:color w:val="auto"/>
                <w:sz w:val="21"/>
                <w:szCs w:val="21"/>
                <w:highlight w:val="none"/>
              </w:rPr>
            </w:pPr>
          </w:p>
        </w:tc>
        <w:tc>
          <w:tcPr>
            <w:tcW w:w="6703" w:type="dxa"/>
            <w:gridSpan w:val="2"/>
            <w:noWrap w:val="0"/>
            <w:vAlign w:val="bottom"/>
          </w:tcPr>
          <w:p w14:paraId="63B44723">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left"/>
              <w:textAlignment w:val="bottom"/>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lang w:bidi="ar"/>
              </w:rPr>
              <w:t>4.10.3安全生产保障分析</w:t>
            </w:r>
          </w:p>
        </w:tc>
      </w:tr>
    </w:tbl>
    <w:p w14:paraId="68C3F141">
      <w:pPr>
        <w:pStyle w:val="5"/>
        <w:pageBreakBefore w:val="0"/>
        <w:numPr>
          <w:ilvl w:val="1"/>
          <w:numId w:val="4"/>
        </w:numPr>
        <w:tabs>
          <w:tab w:val="clear" w:pos="0"/>
        </w:tabs>
        <w:kinsoku/>
        <w:wordWrap/>
        <w:overflowPunct/>
        <w:topLinePunct w:val="0"/>
        <w:autoSpaceDE/>
        <w:autoSpaceDN/>
        <w:bidi w:val="0"/>
        <w:spacing w:before="0" w:after="0" w:line="572" w:lineRule="exact"/>
        <w:ind w:left="567" w:leftChars="0" w:hanging="567" w:firstLineChars="0"/>
        <w:jc w:val="both"/>
        <w:outlineLvl w:val="2"/>
        <w:rPr>
          <w:rFonts w:hint="eastAsia" w:ascii="黑体" w:hAnsi="黑体" w:eastAsia="黑体" w:cs="黑体"/>
          <w:b w:val="0"/>
          <w:bCs/>
          <w:color w:val="auto"/>
          <w:sz w:val="24"/>
          <w:szCs w:val="24"/>
          <w:highlight w:val="none"/>
          <w:lang w:val="en"/>
        </w:rPr>
      </w:pPr>
      <w:bookmarkStart w:id="27" w:name="_Toc347"/>
      <w:bookmarkStart w:id="28" w:name="_Toc152004389"/>
      <w:bookmarkStart w:id="29" w:name="_Toc534725609"/>
      <w:bookmarkStart w:id="30" w:name="_Toc534816638"/>
      <w:r>
        <w:rPr>
          <w:rFonts w:hint="eastAsia" w:ascii="黑体" w:hAnsi="黑体" w:eastAsia="黑体" w:cs="黑体"/>
          <w:b w:val="0"/>
          <w:bCs/>
          <w:color w:val="auto"/>
          <w:sz w:val="24"/>
          <w:szCs w:val="24"/>
          <w:highlight w:val="none"/>
          <w:lang w:val="en"/>
        </w:rPr>
        <w:t>项目需求要求</w:t>
      </w:r>
      <w:bookmarkEnd w:id="27"/>
    </w:p>
    <w:p w14:paraId="335ADA0E">
      <w:pPr>
        <w:pStyle w:val="14"/>
        <w:pageBreakBefore w:val="0"/>
        <w:kinsoku/>
        <w:wordWrap/>
        <w:overflowPunct/>
        <w:topLinePunct w:val="0"/>
        <w:autoSpaceDE/>
        <w:autoSpaceDN/>
        <w:bidi w:val="0"/>
        <w:spacing w:before="0" w:beforeAutospacing="0" w:after="0" w:afterAutospacing="0" w:line="572" w:lineRule="exact"/>
        <w:ind w:left="0" w:leftChars="0" w:firstLine="480" w:firstLineChars="200"/>
        <w:jc w:val="both"/>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本项目基于中国矿产资源集团有限公司（以下简称中国矿产）承担课题项目需求开展建设，投标人需深入分析项目整体结构与业务需求，提供解决方案，包括以下内容：</w:t>
      </w:r>
    </w:p>
    <w:p w14:paraId="3F286F8B">
      <w:pPr>
        <w:pStyle w:val="6"/>
        <w:pageBreakBefore w:val="0"/>
        <w:numPr>
          <w:ilvl w:val="2"/>
          <w:numId w:val="4"/>
        </w:numPr>
        <w:tabs>
          <w:tab w:val="clear" w:pos="0"/>
        </w:tabs>
        <w:kinsoku/>
        <w:wordWrap/>
        <w:overflowPunct/>
        <w:topLinePunct w:val="0"/>
        <w:autoSpaceDE/>
        <w:autoSpaceDN/>
        <w:bidi w:val="0"/>
        <w:spacing w:before="0" w:after="0" w:line="572" w:lineRule="exact"/>
        <w:ind w:left="709" w:leftChars="0" w:hanging="709" w:firstLineChars="0"/>
        <w:jc w:val="both"/>
        <w:outlineLvl w:val="3"/>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业务需求</w:t>
      </w:r>
    </w:p>
    <w:p w14:paraId="3D6AA37A">
      <w:pPr>
        <w:pStyle w:val="14"/>
        <w:pageBreakBefore w:val="0"/>
        <w:kinsoku/>
        <w:wordWrap/>
        <w:overflowPunct/>
        <w:topLinePunct w:val="0"/>
        <w:autoSpaceDE/>
        <w:autoSpaceDN/>
        <w:bidi w:val="0"/>
        <w:spacing w:before="0" w:beforeAutospacing="0" w:after="0" w:afterAutospacing="0" w:line="572" w:lineRule="exact"/>
        <w:ind w:left="0" w:leftChars="0" w:firstLine="480" w:firstLineChars="200"/>
        <w:jc w:val="both"/>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 IT基础设施监控：实现对基础设施和服务器的自动化、不间断监控，实时查看设备运行状态和指标趋势，评估引用和链路健康状态，确保基础设施平稳运行。</w:t>
      </w:r>
    </w:p>
    <w:p w14:paraId="74CDE7EE">
      <w:pPr>
        <w:pStyle w:val="14"/>
        <w:pageBreakBefore w:val="0"/>
        <w:kinsoku/>
        <w:wordWrap/>
        <w:overflowPunct/>
        <w:topLinePunct w:val="0"/>
        <w:autoSpaceDE/>
        <w:autoSpaceDN/>
        <w:bidi w:val="0"/>
        <w:spacing w:before="0" w:beforeAutospacing="0" w:after="0" w:afterAutospacing="0" w:line="572" w:lineRule="exact"/>
        <w:ind w:left="0" w:leftChars="0" w:firstLine="480" w:firstLineChars="200"/>
        <w:jc w:val="both"/>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 数据库监控：通过对数据库性能指标的跟踪与分析，预防故障发生并优化配置，支持主流及信创数据库、大数据相关组件，全面保障数据库健康运行。</w:t>
      </w:r>
    </w:p>
    <w:p w14:paraId="77A2AA0F">
      <w:pPr>
        <w:pStyle w:val="14"/>
        <w:pageBreakBefore w:val="0"/>
        <w:kinsoku/>
        <w:wordWrap/>
        <w:overflowPunct/>
        <w:topLinePunct w:val="0"/>
        <w:autoSpaceDE/>
        <w:autoSpaceDN/>
        <w:bidi w:val="0"/>
        <w:spacing w:before="0" w:beforeAutospacing="0" w:after="0" w:afterAutospacing="0" w:line="572" w:lineRule="exact"/>
        <w:ind w:left="0" w:leftChars="0" w:firstLine="480" w:firstLineChars="200"/>
        <w:jc w:val="both"/>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 应用服务监控：利用字节码增强技术，实现分布式架构下微服务的全链路定位追踪，提供亿级数据处理能力和自动拓扑关系生成，帮助快速定位系统瓶颈。</w:t>
      </w:r>
    </w:p>
    <w:p w14:paraId="033FEBD1">
      <w:pPr>
        <w:pStyle w:val="14"/>
        <w:pageBreakBefore w:val="0"/>
        <w:kinsoku/>
        <w:wordWrap/>
        <w:overflowPunct/>
        <w:topLinePunct w:val="0"/>
        <w:autoSpaceDE/>
        <w:autoSpaceDN/>
        <w:bidi w:val="0"/>
        <w:spacing w:before="0" w:beforeAutospacing="0" w:after="0" w:afterAutospacing="0" w:line="572" w:lineRule="exact"/>
        <w:ind w:left="0" w:leftChars="0" w:firstLine="480" w:firstLineChars="200"/>
        <w:jc w:val="both"/>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4. 异常感知和响应处置：提供告警管理功能，针对异常情况生成告警事件并通过多种通道发送通知，协助用户及时发现和处理问题，保障业务稳定。</w:t>
      </w:r>
    </w:p>
    <w:p w14:paraId="5E646272">
      <w:pPr>
        <w:pStyle w:val="14"/>
        <w:pageBreakBefore w:val="0"/>
        <w:kinsoku/>
        <w:wordWrap/>
        <w:overflowPunct/>
        <w:topLinePunct w:val="0"/>
        <w:autoSpaceDE/>
        <w:autoSpaceDN/>
        <w:bidi w:val="0"/>
        <w:spacing w:before="0" w:beforeAutospacing="0" w:after="0" w:afterAutospacing="0" w:line="572" w:lineRule="exact"/>
        <w:ind w:left="0" w:leftChars="0" w:firstLine="480" w:firstLineChars="200"/>
        <w:jc w:val="both"/>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 运营保障体系建设：建立标准化操作流程和维护规范，提升各部门协同效率和服务质量，覆盖运营管理、监控管理、调度管理、故障管理等多方面，定期审查更新以适应变化。</w:t>
      </w:r>
    </w:p>
    <w:p w14:paraId="2A9BC229">
      <w:pPr>
        <w:pStyle w:val="14"/>
        <w:pageBreakBefore w:val="0"/>
        <w:kinsoku/>
        <w:wordWrap/>
        <w:overflowPunct/>
        <w:topLinePunct w:val="0"/>
        <w:autoSpaceDE/>
        <w:autoSpaceDN/>
        <w:bidi w:val="0"/>
        <w:spacing w:before="0" w:beforeAutospacing="0" w:after="0" w:afterAutospacing="0" w:line="572" w:lineRule="exact"/>
        <w:ind w:left="0" w:leftChars="0" w:firstLine="480" w:firstLineChars="200"/>
        <w:jc w:val="both"/>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6. 系统适配与接入：快速支持新服务接入并全面应用监控系统功能，监控系统需支持与其他各系统的适配需求。</w:t>
      </w:r>
    </w:p>
    <w:p w14:paraId="0BA4BAB5">
      <w:pPr>
        <w:pStyle w:val="6"/>
        <w:pageBreakBefore w:val="0"/>
        <w:numPr>
          <w:ilvl w:val="2"/>
          <w:numId w:val="4"/>
        </w:numPr>
        <w:tabs>
          <w:tab w:val="clear" w:pos="0"/>
        </w:tabs>
        <w:kinsoku/>
        <w:wordWrap/>
        <w:overflowPunct/>
        <w:topLinePunct w:val="0"/>
        <w:autoSpaceDE/>
        <w:autoSpaceDN/>
        <w:bidi w:val="0"/>
        <w:spacing w:before="0" w:after="0" w:line="572" w:lineRule="exact"/>
        <w:ind w:left="709" w:leftChars="0" w:hanging="709" w:firstLineChars="0"/>
        <w:jc w:val="both"/>
        <w:outlineLvl w:val="3"/>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性能需求</w:t>
      </w:r>
    </w:p>
    <w:p w14:paraId="6CEB5CE5">
      <w:pPr>
        <w:pStyle w:val="14"/>
        <w:pageBreakBefore w:val="0"/>
        <w:kinsoku/>
        <w:wordWrap/>
        <w:overflowPunct/>
        <w:topLinePunct w:val="0"/>
        <w:autoSpaceDE/>
        <w:autoSpaceDN/>
        <w:bidi w:val="0"/>
        <w:spacing w:before="0" w:beforeAutospacing="0" w:after="0" w:afterAutospacing="0" w:line="572" w:lineRule="exact"/>
        <w:ind w:left="0" w:leftChars="0" w:firstLine="480" w:firstLineChars="200"/>
        <w:jc w:val="both"/>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系统设计需对标国际先进标准，如ISO/IEC 25010用户体验标准，确保页面响应、登录及界面初始化均≤3秒；支持高并发查询和大规模数据处理，满足实时监控需求。</w:t>
      </w:r>
    </w:p>
    <w:p w14:paraId="5B7FF0F9">
      <w:pPr>
        <w:pStyle w:val="6"/>
        <w:pageBreakBefore w:val="0"/>
        <w:numPr>
          <w:ilvl w:val="2"/>
          <w:numId w:val="4"/>
        </w:numPr>
        <w:tabs>
          <w:tab w:val="clear" w:pos="0"/>
        </w:tabs>
        <w:kinsoku/>
        <w:wordWrap/>
        <w:overflowPunct/>
        <w:topLinePunct w:val="0"/>
        <w:autoSpaceDE/>
        <w:autoSpaceDN/>
        <w:bidi w:val="0"/>
        <w:spacing w:before="0" w:after="0" w:line="572" w:lineRule="exact"/>
        <w:ind w:left="709" w:leftChars="0" w:hanging="709" w:firstLineChars="0"/>
        <w:jc w:val="both"/>
        <w:outlineLvl w:val="3"/>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适配需求</w:t>
      </w:r>
    </w:p>
    <w:p w14:paraId="25587368">
      <w:pPr>
        <w:pStyle w:val="14"/>
        <w:pageBreakBefore w:val="0"/>
        <w:kinsoku/>
        <w:wordWrap/>
        <w:overflowPunct/>
        <w:topLinePunct w:val="0"/>
        <w:autoSpaceDE/>
        <w:autoSpaceDN/>
        <w:bidi w:val="0"/>
        <w:spacing w:before="0" w:beforeAutospacing="0" w:after="0" w:afterAutospacing="0" w:line="572" w:lineRule="exact"/>
        <w:ind w:left="0" w:leftChars="0" w:firstLine="480" w:firstLineChars="200"/>
        <w:jc w:val="both"/>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 xml:space="preserve">支持Docker、Kubernetes等容器技术，确保系统在混合云环境下的高可用性和可扩展性。 </w:t>
      </w:r>
    </w:p>
    <w:p w14:paraId="753D0F74">
      <w:pPr>
        <w:pStyle w:val="6"/>
        <w:pageBreakBefore w:val="0"/>
        <w:numPr>
          <w:ilvl w:val="2"/>
          <w:numId w:val="4"/>
        </w:numPr>
        <w:tabs>
          <w:tab w:val="clear" w:pos="0"/>
        </w:tabs>
        <w:kinsoku/>
        <w:wordWrap/>
        <w:overflowPunct/>
        <w:topLinePunct w:val="0"/>
        <w:autoSpaceDE/>
        <w:autoSpaceDN/>
        <w:bidi w:val="0"/>
        <w:spacing w:before="0" w:after="0" w:line="572" w:lineRule="exact"/>
        <w:ind w:left="709" w:leftChars="0" w:hanging="709" w:firstLineChars="0"/>
        <w:jc w:val="both"/>
        <w:outlineLvl w:val="3"/>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信创需求</w:t>
      </w:r>
    </w:p>
    <w:p w14:paraId="4BDA46E4">
      <w:pPr>
        <w:pStyle w:val="14"/>
        <w:pageBreakBefore w:val="0"/>
        <w:kinsoku/>
        <w:wordWrap/>
        <w:overflowPunct/>
        <w:topLinePunct w:val="0"/>
        <w:autoSpaceDE/>
        <w:autoSpaceDN/>
        <w:bidi w:val="0"/>
        <w:spacing w:before="0" w:beforeAutospacing="0" w:after="0" w:afterAutospacing="0" w:line="572" w:lineRule="exact"/>
        <w:ind w:left="0" w:leftChars="0" w:firstLine="480" w:firstLineChars="200"/>
        <w:jc w:val="both"/>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适配国产主流中间件，适配国产操作系统和数据库，需提供信创适配改造承诺。</w:t>
      </w:r>
    </w:p>
    <w:p w14:paraId="4E14AA6F">
      <w:pPr>
        <w:pStyle w:val="5"/>
        <w:pageBreakBefore w:val="0"/>
        <w:numPr>
          <w:ilvl w:val="1"/>
          <w:numId w:val="4"/>
        </w:numPr>
        <w:tabs>
          <w:tab w:val="clear" w:pos="0"/>
        </w:tabs>
        <w:kinsoku/>
        <w:wordWrap/>
        <w:overflowPunct/>
        <w:topLinePunct w:val="0"/>
        <w:autoSpaceDE/>
        <w:autoSpaceDN/>
        <w:bidi w:val="0"/>
        <w:spacing w:before="0" w:after="0" w:line="572" w:lineRule="exact"/>
        <w:ind w:left="567" w:leftChars="0" w:hanging="567" w:firstLineChars="0"/>
        <w:jc w:val="both"/>
        <w:outlineLvl w:val="2"/>
        <w:rPr>
          <w:rFonts w:hint="eastAsia" w:ascii="黑体" w:hAnsi="黑体" w:eastAsia="黑体" w:cs="黑体"/>
          <w:b w:val="0"/>
          <w:bCs/>
          <w:color w:val="auto"/>
          <w:sz w:val="24"/>
          <w:szCs w:val="24"/>
          <w:highlight w:val="none"/>
          <w:lang w:val="en"/>
        </w:rPr>
      </w:pPr>
      <w:bookmarkStart w:id="31" w:name="_Toc28142"/>
      <w:r>
        <w:rPr>
          <w:rFonts w:hint="eastAsia" w:ascii="黑体" w:hAnsi="黑体" w:eastAsia="黑体" w:cs="黑体"/>
          <w:b w:val="0"/>
          <w:bCs/>
          <w:color w:val="auto"/>
          <w:sz w:val="24"/>
          <w:szCs w:val="24"/>
          <w:highlight w:val="none"/>
          <w:lang w:val="en"/>
        </w:rPr>
        <w:t>安全及测评要求</w:t>
      </w:r>
      <w:bookmarkEnd w:id="31"/>
    </w:p>
    <w:p w14:paraId="187DFFB5">
      <w:pPr>
        <w:pStyle w:val="14"/>
        <w:pageBreakBefore w:val="0"/>
        <w:kinsoku/>
        <w:wordWrap/>
        <w:overflowPunct/>
        <w:topLinePunct w:val="0"/>
        <w:autoSpaceDE/>
        <w:autoSpaceDN/>
        <w:bidi w:val="0"/>
        <w:spacing w:before="0" w:beforeAutospacing="0" w:after="0" w:afterAutospacing="0" w:line="572" w:lineRule="exact"/>
        <w:ind w:left="0" w:leftChars="0" w:firstLine="480" w:firstLineChars="200"/>
        <w:jc w:val="both"/>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本期项目在功能、性能、安全性等方面需满足以下要求。</w:t>
      </w:r>
    </w:p>
    <w:p w14:paraId="47C435B8">
      <w:pPr>
        <w:pStyle w:val="6"/>
        <w:pageBreakBefore w:val="0"/>
        <w:numPr>
          <w:ilvl w:val="2"/>
          <w:numId w:val="4"/>
        </w:numPr>
        <w:tabs>
          <w:tab w:val="clear" w:pos="0"/>
        </w:tabs>
        <w:kinsoku/>
        <w:wordWrap/>
        <w:overflowPunct/>
        <w:topLinePunct w:val="0"/>
        <w:autoSpaceDE/>
        <w:autoSpaceDN/>
        <w:bidi w:val="0"/>
        <w:spacing w:before="0" w:after="0" w:line="572" w:lineRule="exact"/>
        <w:ind w:left="709" w:leftChars="0" w:hanging="709" w:firstLineChars="0"/>
        <w:jc w:val="both"/>
        <w:outlineLvl w:val="3"/>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安全及测评要求</w:t>
      </w:r>
    </w:p>
    <w:p w14:paraId="6AE27FF7">
      <w:pPr>
        <w:pStyle w:val="14"/>
        <w:pageBreakBefore w:val="0"/>
        <w:kinsoku/>
        <w:wordWrap/>
        <w:overflowPunct/>
        <w:topLinePunct w:val="0"/>
        <w:autoSpaceDE/>
        <w:autoSpaceDN/>
        <w:bidi w:val="0"/>
        <w:spacing w:before="0" w:beforeAutospacing="0" w:after="0" w:afterAutospacing="0" w:line="572" w:lineRule="exact"/>
        <w:ind w:left="0" w:leftChars="0" w:firstLine="480" w:firstLineChars="200"/>
        <w:jc w:val="both"/>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软件功能满足等保三级规定的安全要求，确保项目通过等级保护三级测评；需配合招标人委托的第三方测评机构提出的建设和整改要求，完成相关建设和整改工作。</w:t>
      </w:r>
    </w:p>
    <w:p w14:paraId="6594E250">
      <w:pPr>
        <w:pStyle w:val="6"/>
        <w:pageBreakBefore w:val="0"/>
        <w:numPr>
          <w:ilvl w:val="2"/>
          <w:numId w:val="4"/>
        </w:numPr>
        <w:tabs>
          <w:tab w:val="clear" w:pos="0"/>
        </w:tabs>
        <w:kinsoku/>
        <w:wordWrap/>
        <w:overflowPunct/>
        <w:topLinePunct w:val="0"/>
        <w:autoSpaceDE/>
        <w:autoSpaceDN/>
        <w:bidi w:val="0"/>
        <w:spacing w:before="0" w:after="0" w:line="572" w:lineRule="exact"/>
        <w:ind w:left="709" w:leftChars="0" w:hanging="709" w:firstLineChars="0"/>
        <w:jc w:val="both"/>
        <w:outlineLvl w:val="3"/>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功能测评要求</w:t>
      </w:r>
    </w:p>
    <w:p w14:paraId="15027B87">
      <w:pPr>
        <w:pStyle w:val="14"/>
        <w:pageBreakBefore w:val="0"/>
        <w:kinsoku/>
        <w:wordWrap/>
        <w:overflowPunct/>
        <w:topLinePunct w:val="0"/>
        <w:autoSpaceDE/>
        <w:autoSpaceDN/>
        <w:bidi w:val="0"/>
        <w:spacing w:before="0" w:beforeAutospacing="0" w:after="0" w:afterAutospacing="0" w:line="572" w:lineRule="exact"/>
        <w:ind w:left="0" w:leftChars="0" w:firstLine="480" w:firstLineChars="200"/>
        <w:jc w:val="both"/>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本项目需通过软件功能、软件性能等软件测评内容；投标人需配合招标人委托的第三方测评机构提出的功能完善和整改要求，完成相关建设和整改工作。</w:t>
      </w:r>
    </w:p>
    <w:p w14:paraId="7AC73A70">
      <w:pPr>
        <w:pStyle w:val="6"/>
        <w:pageBreakBefore w:val="0"/>
        <w:numPr>
          <w:ilvl w:val="2"/>
          <w:numId w:val="4"/>
        </w:numPr>
        <w:tabs>
          <w:tab w:val="clear" w:pos="0"/>
        </w:tabs>
        <w:kinsoku/>
        <w:wordWrap/>
        <w:overflowPunct/>
        <w:topLinePunct w:val="0"/>
        <w:autoSpaceDE/>
        <w:autoSpaceDN/>
        <w:bidi w:val="0"/>
        <w:spacing w:before="0" w:after="0" w:line="572" w:lineRule="exact"/>
        <w:ind w:left="709" w:leftChars="0" w:hanging="709" w:firstLineChars="0"/>
        <w:jc w:val="both"/>
        <w:outlineLvl w:val="3"/>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数据安全要求</w:t>
      </w:r>
    </w:p>
    <w:p w14:paraId="653F9057">
      <w:pPr>
        <w:pStyle w:val="14"/>
        <w:pageBreakBefore w:val="0"/>
        <w:kinsoku/>
        <w:wordWrap/>
        <w:overflowPunct/>
        <w:topLinePunct w:val="0"/>
        <w:autoSpaceDE/>
        <w:autoSpaceDN/>
        <w:bidi w:val="0"/>
        <w:spacing w:before="0" w:beforeAutospacing="0" w:after="0" w:afterAutospacing="0" w:line="572" w:lineRule="exact"/>
        <w:ind w:left="0" w:leftChars="0" w:firstLine="480" w:firstLineChars="200"/>
        <w:jc w:val="both"/>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投标人需提供切实可行的数据安全保障方案，包含软件应用安全、数据传输安全、密码应用安全等方面内容。</w:t>
      </w:r>
    </w:p>
    <w:p w14:paraId="7AB41F6C">
      <w:pPr>
        <w:pStyle w:val="5"/>
        <w:pageBreakBefore w:val="0"/>
        <w:numPr>
          <w:ilvl w:val="1"/>
          <w:numId w:val="4"/>
        </w:numPr>
        <w:tabs>
          <w:tab w:val="clear" w:pos="0"/>
        </w:tabs>
        <w:kinsoku/>
        <w:wordWrap/>
        <w:overflowPunct/>
        <w:topLinePunct w:val="0"/>
        <w:autoSpaceDE/>
        <w:autoSpaceDN/>
        <w:bidi w:val="0"/>
        <w:spacing w:before="0" w:after="0" w:line="572" w:lineRule="exact"/>
        <w:ind w:left="567" w:leftChars="0" w:hanging="567" w:firstLineChars="0"/>
        <w:jc w:val="both"/>
        <w:outlineLvl w:val="2"/>
        <w:rPr>
          <w:rFonts w:hint="eastAsia" w:ascii="黑体" w:hAnsi="黑体" w:eastAsia="黑体" w:cs="黑体"/>
          <w:b w:val="0"/>
          <w:bCs/>
          <w:color w:val="auto"/>
          <w:sz w:val="24"/>
          <w:szCs w:val="24"/>
          <w:highlight w:val="none"/>
          <w:lang w:val="en"/>
        </w:rPr>
      </w:pPr>
      <w:bookmarkStart w:id="32" w:name="_Toc1039"/>
      <w:r>
        <w:rPr>
          <w:rFonts w:hint="eastAsia" w:ascii="黑体" w:hAnsi="黑体" w:eastAsia="黑体" w:cs="黑体"/>
          <w:b w:val="0"/>
          <w:bCs/>
          <w:color w:val="auto"/>
          <w:sz w:val="24"/>
          <w:szCs w:val="24"/>
          <w:highlight w:val="none"/>
          <w:lang w:val="en"/>
        </w:rPr>
        <w:t>整体架构要求</w:t>
      </w:r>
      <w:bookmarkEnd w:id="32"/>
    </w:p>
    <w:p w14:paraId="2C9DC434">
      <w:pPr>
        <w:pStyle w:val="14"/>
        <w:pageBreakBefore w:val="0"/>
        <w:kinsoku/>
        <w:wordWrap/>
        <w:overflowPunct/>
        <w:topLinePunct w:val="0"/>
        <w:autoSpaceDE/>
        <w:autoSpaceDN/>
        <w:bidi w:val="0"/>
        <w:spacing w:before="0" w:beforeAutospacing="0" w:after="0" w:afterAutospacing="0" w:line="572" w:lineRule="exact"/>
        <w:ind w:left="0" w:leftChars="0" w:firstLine="480" w:firstLineChars="200"/>
        <w:jc w:val="both"/>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本标段应采用目前主流Java语言及J2EE框架或其他符合行业发展方向的先进技术架构。</w:t>
      </w:r>
    </w:p>
    <w:p w14:paraId="1F101122">
      <w:pPr>
        <w:pStyle w:val="14"/>
        <w:pageBreakBefore w:val="0"/>
        <w:kinsoku/>
        <w:wordWrap/>
        <w:overflowPunct/>
        <w:topLinePunct w:val="0"/>
        <w:autoSpaceDE/>
        <w:autoSpaceDN/>
        <w:bidi w:val="0"/>
        <w:spacing w:before="0" w:beforeAutospacing="0" w:after="0" w:afterAutospacing="0" w:line="572" w:lineRule="exact"/>
        <w:ind w:left="0" w:leftChars="0" w:firstLine="480" w:firstLineChars="200"/>
        <w:jc w:val="both"/>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本标段应采用多层B/S/S应用结构体系，展示层、业务层、数据层、访问层要分开。</w:t>
      </w:r>
    </w:p>
    <w:p w14:paraId="3A27A582">
      <w:pPr>
        <w:pStyle w:val="14"/>
        <w:pageBreakBefore w:val="0"/>
        <w:kinsoku/>
        <w:wordWrap/>
        <w:overflowPunct/>
        <w:topLinePunct w:val="0"/>
        <w:autoSpaceDE/>
        <w:autoSpaceDN/>
        <w:bidi w:val="0"/>
        <w:spacing w:before="0" w:beforeAutospacing="0" w:after="0" w:afterAutospacing="0" w:line="572" w:lineRule="exact"/>
        <w:ind w:left="0" w:leftChars="0" w:firstLine="480" w:firstLineChars="200"/>
        <w:jc w:val="both"/>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本标段应支持组件化架构，为第三方应用系统提供标准化数据接口。</w:t>
      </w:r>
    </w:p>
    <w:p w14:paraId="1B1AAB89">
      <w:pPr>
        <w:pStyle w:val="14"/>
        <w:pageBreakBefore w:val="0"/>
        <w:kinsoku/>
        <w:wordWrap/>
        <w:overflowPunct/>
        <w:topLinePunct w:val="0"/>
        <w:autoSpaceDE/>
        <w:autoSpaceDN/>
        <w:bidi w:val="0"/>
        <w:spacing w:before="0" w:beforeAutospacing="0" w:after="0" w:afterAutospacing="0" w:line="572" w:lineRule="exact"/>
        <w:ind w:left="0" w:leftChars="0" w:firstLine="480" w:firstLineChars="200"/>
        <w:jc w:val="both"/>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本标段可以运行在统信UoS、Microsoft Windows 等主流的客户端操作系统；</w:t>
      </w:r>
    </w:p>
    <w:p w14:paraId="3911873D">
      <w:pPr>
        <w:pStyle w:val="14"/>
        <w:pageBreakBefore w:val="0"/>
        <w:kinsoku/>
        <w:wordWrap/>
        <w:overflowPunct/>
        <w:topLinePunct w:val="0"/>
        <w:autoSpaceDE/>
        <w:autoSpaceDN/>
        <w:bidi w:val="0"/>
        <w:spacing w:before="0" w:beforeAutospacing="0" w:after="0" w:afterAutospacing="0" w:line="572" w:lineRule="exact"/>
        <w:ind w:left="0" w:leftChars="0" w:firstLine="480" w:firstLineChars="200"/>
        <w:jc w:val="both"/>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本标段应支持分布式事务功能；</w:t>
      </w:r>
    </w:p>
    <w:p w14:paraId="786BCFCA">
      <w:pPr>
        <w:pStyle w:val="14"/>
        <w:pageBreakBefore w:val="0"/>
        <w:kinsoku/>
        <w:wordWrap/>
        <w:overflowPunct/>
        <w:topLinePunct w:val="0"/>
        <w:autoSpaceDE/>
        <w:autoSpaceDN/>
        <w:bidi w:val="0"/>
        <w:spacing w:before="0" w:beforeAutospacing="0" w:after="0" w:afterAutospacing="0" w:line="572" w:lineRule="exact"/>
        <w:ind w:left="0" w:leftChars="0" w:firstLine="480" w:firstLineChars="200"/>
        <w:jc w:val="both"/>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本标段应支持消息队列服务；</w:t>
      </w:r>
    </w:p>
    <w:p w14:paraId="64F56EFB">
      <w:pPr>
        <w:pStyle w:val="14"/>
        <w:pageBreakBefore w:val="0"/>
        <w:kinsoku/>
        <w:wordWrap/>
        <w:overflowPunct/>
        <w:topLinePunct w:val="0"/>
        <w:autoSpaceDE/>
        <w:autoSpaceDN/>
        <w:bidi w:val="0"/>
        <w:spacing w:before="0" w:beforeAutospacing="0" w:after="0" w:afterAutospacing="0" w:line="572" w:lineRule="exact"/>
        <w:ind w:left="0" w:leftChars="0" w:firstLine="480" w:firstLineChars="200"/>
        <w:jc w:val="both"/>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本标段应支持负载均衡和集群技术；</w:t>
      </w:r>
    </w:p>
    <w:p w14:paraId="41D629F1">
      <w:pPr>
        <w:pStyle w:val="14"/>
        <w:pageBreakBefore w:val="0"/>
        <w:kinsoku/>
        <w:wordWrap/>
        <w:overflowPunct/>
        <w:topLinePunct w:val="0"/>
        <w:autoSpaceDE/>
        <w:autoSpaceDN/>
        <w:bidi w:val="0"/>
        <w:spacing w:before="0" w:beforeAutospacing="0" w:after="0" w:afterAutospacing="0" w:line="572" w:lineRule="exact"/>
        <w:ind w:left="0" w:leftChars="0" w:firstLine="480" w:firstLineChars="200"/>
        <w:jc w:val="both"/>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本标段应具备自动优化功能；</w:t>
      </w:r>
    </w:p>
    <w:p w14:paraId="0B23F8AE">
      <w:pPr>
        <w:pStyle w:val="14"/>
        <w:pageBreakBefore w:val="0"/>
        <w:kinsoku/>
        <w:wordWrap/>
        <w:overflowPunct/>
        <w:topLinePunct w:val="0"/>
        <w:autoSpaceDE/>
        <w:autoSpaceDN/>
        <w:bidi w:val="0"/>
        <w:spacing w:before="0" w:beforeAutospacing="0" w:after="0" w:afterAutospacing="0" w:line="572" w:lineRule="exact"/>
        <w:ind w:left="0" w:leftChars="0" w:firstLine="480" w:firstLineChars="200"/>
        <w:jc w:val="both"/>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本标段应具备自动备份功能；</w:t>
      </w:r>
    </w:p>
    <w:p w14:paraId="10FFE4C2">
      <w:pPr>
        <w:pStyle w:val="14"/>
        <w:pageBreakBefore w:val="0"/>
        <w:kinsoku/>
        <w:wordWrap/>
        <w:overflowPunct/>
        <w:topLinePunct w:val="0"/>
        <w:autoSpaceDE/>
        <w:autoSpaceDN/>
        <w:bidi w:val="0"/>
        <w:spacing w:before="0" w:beforeAutospacing="0" w:after="0" w:afterAutospacing="0" w:line="572" w:lineRule="exact"/>
        <w:ind w:left="0" w:leftChars="0" w:firstLine="480" w:firstLineChars="200"/>
        <w:jc w:val="both"/>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本标段应支持手机浏览，适合IE10.以上各版本、360、Chrome、Safari、Firefox和其他主流浏览器的浏览。</w:t>
      </w:r>
    </w:p>
    <w:p w14:paraId="22BB656B">
      <w:pPr>
        <w:pStyle w:val="5"/>
        <w:pageBreakBefore w:val="0"/>
        <w:numPr>
          <w:ilvl w:val="1"/>
          <w:numId w:val="4"/>
        </w:numPr>
        <w:tabs>
          <w:tab w:val="clear" w:pos="0"/>
        </w:tabs>
        <w:kinsoku/>
        <w:wordWrap/>
        <w:overflowPunct/>
        <w:topLinePunct w:val="0"/>
        <w:autoSpaceDE/>
        <w:autoSpaceDN/>
        <w:bidi w:val="0"/>
        <w:spacing w:before="0" w:after="0" w:line="572" w:lineRule="exact"/>
        <w:ind w:left="567" w:leftChars="0" w:hanging="567" w:firstLineChars="0"/>
        <w:jc w:val="both"/>
        <w:outlineLvl w:val="2"/>
        <w:rPr>
          <w:rFonts w:hint="eastAsia" w:ascii="黑体" w:hAnsi="黑体" w:eastAsia="黑体" w:cs="黑体"/>
          <w:b w:val="0"/>
          <w:bCs/>
          <w:color w:val="auto"/>
          <w:sz w:val="24"/>
          <w:szCs w:val="24"/>
          <w:highlight w:val="none"/>
          <w:lang w:val="en"/>
        </w:rPr>
      </w:pPr>
      <w:bookmarkStart w:id="33" w:name="_Toc17682"/>
      <w:r>
        <w:rPr>
          <w:rFonts w:hint="eastAsia" w:ascii="黑体" w:hAnsi="黑体" w:eastAsia="黑体" w:cs="黑体"/>
          <w:b w:val="0"/>
          <w:bCs/>
          <w:color w:val="auto"/>
          <w:sz w:val="24"/>
          <w:szCs w:val="24"/>
          <w:highlight w:val="none"/>
          <w:lang w:val="en"/>
        </w:rPr>
        <w:t>软件功能要求</w:t>
      </w:r>
      <w:bookmarkEnd w:id="28"/>
      <w:bookmarkEnd w:id="33"/>
    </w:p>
    <w:p w14:paraId="5E1062DC">
      <w:pPr>
        <w:pageBreakBefore w:val="0"/>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本期项目应满足以下功能要求，投标人需提供响应功能要求的设计方案。</w:t>
      </w:r>
    </w:p>
    <w:p w14:paraId="3EA21AFD">
      <w:pPr>
        <w:pStyle w:val="6"/>
        <w:pageBreakBefore w:val="0"/>
        <w:numPr>
          <w:ilvl w:val="2"/>
          <w:numId w:val="4"/>
        </w:numPr>
        <w:tabs>
          <w:tab w:val="clear" w:pos="0"/>
        </w:tabs>
        <w:kinsoku/>
        <w:wordWrap/>
        <w:overflowPunct/>
        <w:topLinePunct w:val="0"/>
        <w:autoSpaceDE/>
        <w:autoSpaceDN/>
        <w:bidi w:val="0"/>
        <w:spacing w:before="0" w:after="0" w:line="572" w:lineRule="exact"/>
        <w:ind w:left="709" w:leftChars="0" w:hanging="709" w:firstLineChars="0"/>
        <w:jc w:val="both"/>
        <w:outlineLvl w:val="3"/>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运营监控工作台</w:t>
      </w:r>
    </w:p>
    <w:p w14:paraId="29CE650A">
      <w:pPr>
        <w:pStyle w:val="18"/>
        <w:pageBreakBefore w:val="0"/>
        <w:kinsoku/>
        <w:wordWrap/>
        <w:overflowPunct/>
        <w:topLinePunct w:val="0"/>
        <w:autoSpaceDE/>
        <w:autoSpaceDN/>
        <w:bidi w:val="0"/>
        <w:spacing w:line="572" w:lineRule="exact"/>
        <w:ind w:left="0" w:leftChars="0" w:firstLine="496"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rPr>
        <w:t>基于“平台+应用”的建设理念，通过统一管控、集中管理，构建一站式生产运营管理能力。</w:t>
      </w:r>
      <w:r>
        <w:rPr>
          <w:rFonts w:hint="eastAsia" w:ascii="宋体" w:hAnsi="宋体" w:eastAsia="宋体" w:cs="宋体"/>
          <w:color w:val="auto"/>
          <w:sz w:val="24"/>
          <w:szCs w:val="24"/>
          <w:highlight w:val="none"/>
        </w:rPr>
        <w:t>具体功能要求如下：</w:t>
      </w:r>
    </w:p>
    <w:p w14:paraId="36D0BBBE">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登录页面</w:t>
      </w:r>
    </w:p>
    <w:p w14:paraId="746F3D85">
      <w:pPr>
        <w:pStyle w:val="15"/>
        <w:pageBreakBefore w:val="0"/>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通过账号+密码或者钉钉扫码的方式进行登录，采用短信、邮件、MFA三种方式验证。具备SSO多应用单点登录能力。</w:t>
      </w:r>
    </w:p>
    <w:p w14:paraId="0AD08523">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运维工作台</w:t>
      </w:r>
    </w:p>
    <w:p w14:paraId="630E0BF9">
      <w:pPr>
        <w:pageBreakBefore w:val="0"/>
        <w:numPr>
          <w:ilvl w:val="0"/>
          <w:numId w:val="5"/>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以桌面平铺的方式显示当前用户已添加的应用，点击应用，即可打开新页面进入应用。</w:t>
      </w:r>
    </w:p>
    <w:p w14:paraId="12A7A4F9">
      <w:pPr>
        <w:pageBreakBefore w:val="0"/>
        <w:numPr>
          <w:ilvl w:val="0"/>
          <w:numId w:val="5"/>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支持顶部公告栏，显示当前有效系统的公告。</w:t>
      </w:r>
    </w:p>
    <w:p w14:paraId="0CE42B1D">
      <w:pPr>
        <w:pageBreakBefore w:val="0"/>
        <w:numPr>
          <w:ilvl w:val="0"/>
          <w:numId w:val="5"/>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具备意见反馈和支撑热线功能，可通过线上留言或者联系电话进行问题反馈。</w:t>
      </w:r>
    </w:p>
    <w:p w14:paraId="67AA37F4">
      <w:pPr>
        <w:pageBreakBefore w:val="0"/>
        <w:numPr>
          <w:ilvl w:val="0"/>
          <w:numId w:val="5"/>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支持功能导航栏，可分别跳转进入“应用仓库”、“个人中心”、“开发者中心”、运营中心、权限中心。</w:t>
      </w:r>
    </w:p>
    <w:p w14:paraId="2CA6C11E">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应用仓库</w:t>
      </w:r>
    </w:p>
    <w:p w14:paraId="1608CCAE">
      <w:pPr>
        <w:pStyle w:val="15"/>
        <w:pageBreakBefore w:val="0"/>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应用的统一纳管，统一权限管理。采用分类平铺方式显示所有已上架的应用，支持用户根据需求自行添加或者删除应用，支持按名称模糊搜索。</w:t>
      </w:r>
    </w:p>
    <w:p w14:paraId="65AB6929">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个人中心</w:t>
      </w:r>
    </w:p>
    <w:p w14:paraId="0EF1EBD3">
      <w:pPr>
        <w:pStyle w:val="15"/>
        <w:pageBreakBefore w:val="0"/>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用户个人信息管理，访问记录显示，意见反馈窗口；支持姓名、电话、邮箱、密码修改等功能；支持留言建议功能。展示最近访问记录。</w:t>
      </w:r>
    </w:p>
    <w:p w14:paraId="7CC68C08">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开发者中心</w:t>
      </w:r>
    </w:p>
    <w:p w14:paraId="4D14AD15">
      <w:pPr>
        <w:pStyle w:val="15"/>
        <w:pageBreakBefore w:val="0"/>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提供应用管理功能。支持应用新建、编辑、上下架。支持应用以框架子应用或者非框架子应用两种对接方式，对应用进行统一的登录认证和权限管理。</w:t>
      </w:r>
    </w:p>
    <w:p w14:paraId="1501ED35">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运营中心</w:t>
      </w:r>
    </w:p>
    <w:p w14:paraId="18C7867E">
      <w:pPr>
        <w:pageBreakBefore w:val="0"/>
        <w:numPr>
          <w:ilvl w:val="0"/>
          <w:numId w:val="6"/>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提供公告的发布、编辑、删除功能。公告信息将在用户第一次登录工作台时弹窗提醒。</w:t>
      </w:r>
    </w:p>
    <w:p w14:paraId="4A6E79B6">
      <w:pPr>
        <w:pageBreakBefore w:val="0"/>
        <w:numPr>
          <w:ilvl w:val="0"/>
          <w:numId w:val="6"/>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支持应用的上下架审核。</w:t>
      </w:r>
    </w:p>
    <w:p w14:paraId="49133756">
      <w:pPr>
        <w:pageBreakBefore w:val="0"/>
        <w:numPr>
          <w:ilvl w:val="0"/>
          <w:numId w:val="6"/>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bidi="ar"/>
        </w:rPr>
        <w:t>统计TOP应用的访问及登录情况，可指定TOP数量。统计每个应用的访问量、活跃量、收藏量等指标。统计每个应用页面的访问量，展示应用访问页面指定数量的TOP应用，以及指定数量的TOP页面的指定时间的访问量折线图。其中默认指定TOP数量为5，默认指定时间为半年。</w:t>
      </w:r>
      <w:r>
        <w:rPr>
          <w:rFonts w:hint="eastAsia" w:ascii="宋体" w:hAnsi="宋体" w:eastAsia="宋体" w:cs="宋体"/>
          <w:color w:val="auto"/>
          <w:sz w:val="24"/>
          <w:szCs w:val="24"/>
          <w:highlight w:val="none"/>
        </w:rPr>
        <w:t>。</w:t>
      </w:r>
    </w:p>
    <w:p w14:paraId="64EB177C">
      <w:pPr>
        <w:pageBreakBefore w:val="0"/>
        <w:numPr>
          <w:ilvl w:val="0"/>
          <w:numId w:val="6"/>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展示用户的意见反馈情况，支持反馈回复等功能。</w:t>
      </w:r>
    </w:p>
    <w:p w14:paraId="43CD9BAD">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权限中心</w:t>
      </w:r>
    </w:p>
    <w:p w14:paraId="0E0480DF">
      <w:pPr>
        <w:pageBreakBefore w:val="0"/>
        <w:numPr>
          <w:ilvl w:val="0"/>
          <w:numId w:val="7"/>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用户管理，管理整个系统的用户信息，包含新建、编辑和删除用户的基本信息、用户角色、用户组织、用户租户、用户模块信息等。</w:t>
      </w:r>
    </w:p>
    <w:p w14:paraId="36F5BC06">
      <w:pPr>
        <w:pageBreakBefore w:val="0"/>
        <w:numPr>
          <w:ilvl w:val="0"/>
          <w:numId w:val="7"/>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租户管理，工作台采用“租户+模块”的权限管控方式。在一个租户下面，可以创建多个模块，各应用可以根据不同租户、模块进行数据隔离。</w:t>
      </w:r>
    </w:p>
    <w:p w14:paraId="46701D4F">
      <w:pPr>
        <w:pageBreakBefore w:val="0"/>
        <w:numPr>
          <w:ilvl w:val="0"/>
          <w:numId w:val="7"/>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菜单管理，框架子应用在此页面录入菜单信息，控制菜单访问权限。</w:t>
      </w:r>
    </w:p>
    <w:p w14:paraId="4CA4A88E">
      <w:pPr>
        <w:pageBreakBefore w:val="0"/>
        <w:numPr>
          <w:ilvl w:val="0"/>
          <w:numId w:val="7"/>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角色管理，角色和租户、菜单关联，控制不同角色的用户访问子应用的不同菜单，达到权限管控的目的。</w:t>
      </w:r>
    </w:p>
    <w:p w14:paraId="4DCB9751">
      <w:pPr>
        <w:pStyle w:val="6"/>
        <w:pageBreakBefore w:val="0"/>
        <w:numPr>
          <w:ilvl w:val="2"/>
          <w:numId w:val="4"/>
        </w:numPr>
        <w:tabs>
          <w:tab w:val="clear" w:pos="0"/>
        </w:tabs>
        <w:kinsoku/>
        <w:wordWrap/>
        <w:overflowPunct/>
        <w:topLinePunct w:val="0"/>
        <w:autoSpaceDE/>
        <w:autoSpaceDN/>
        <w:bidi w:val="0"/>
        <w:spacing w:before="0" w:after="0" w:line="572" w:lineRule="exact"/>
        <w:ind w:left="709" w:leftChars="0" w:hanging="709" w:firstLineChars="0"/>
        <w:jc w:val="both"/>
        <w:outlineLvl w:val="3"/>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浏览器监控</w:t>
      </w:r>
    </w:p>
    <w:p w14:paraId="0F295EC8">
      <w:pPr>
        <w:pStyle w:val="18"/>
        <w:pageBreakBefore w:val="0"/>
        <w:kinsoku/>
        <w:wordWrap/>
        <w:overflowPunct/>
        <w:topLinePunct w:val="0"/>
        <w:autoSpaceDE/>
        <w:autoSpaceDN/>
        <w:bidi w:val="0"/>
        <w:spacing w:line="572" w:lineRule="exact"/>
        <w:ind w:left="0" w:leftChars="0" w:firstLine="496"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rPr>
        <w:t>通过JS探针或其他技术手段，对WEB应用的浏览器页面进行性能监控和数据采集，通过全量用户体验数据深层分析，可以精准还原用户操作行为，洞悉异步交互性能，快速定位WEB应用问题来源，从而优化页面性能、提升用户体验。</w:t>
      </w:r>
      <w:r>
        <w:rPr>
          <w:rFonts w:hint="eastAsia" w:ascii="宋体" w:hAnsi="宋体" w:eastAsia="宋体" w:cs="宋体"/>
          <w:color w:val="auto"/>
          <w:sz w:val="24"/>
          <w:szCs w:val="24"/>
          <w:highlight w:val="none"/>
        </w:rPr>
        <w:t>建设内容应包含以下功能：</w:t>
      </w:r>
    </w:p>
    <w:p w14:paraId="7B3EFAFF">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4.2.1系统感知总览</w:t>
      </w:r>
    </w:p>
    <w:p w14:paraId="61EB533A">
      <w:pPr>
        <w:pageBreakBefore w:val="0"/>
        <w:numPr>
          <w:ilvl w:val="0"/>
          <w:numId w:val="8"/>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支持按时间、系统、网络、区域维度进行查询，以系统为视角，查询独立访客数（UV）、独立 IP 数（IP）、页面浏览量（PV）、页面点击量等基础指标，支持精准定位特定场景下的前端监控数据。</w:t>
      </w:r>
    </w:p>
    <w:p w14:paraId="14692D32">
      <w:pPr>
        <w:pageBreakBefore w:val="0"/>
        <w:numPr>
          <w:ilvl w:val="0"/>
          <w:numId w:val="8"/>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支持呈现页面耗时趋势数据，覆盖多时间维度的页面打开时长对比，以折线图形式或其实适当的形式展示耗时波动。</w:t>
      </w:r>
    </w:p>
    <w:p w14:paraId="39E94850">
      <w:pPr>
        <w:pageBreakBefore w:val="0"/>
        <w:numPr>
          <w:ilvl w:val="0"/>
          <w:numId w:val="8"/>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支持根据地图可视化呈现不同区域页面性能分布，协助分析定位性能薄弱区域。</w:t>
      </w:r>
    </w:p>
    <w:p w14:paraId="5661F07B">
      <w:pPr>
        <w:pageBreakBefore w:val="0"/>
        <w:numPr>
          <w:ilvl w:val="0"/>
          <w:numId w:val="8"/>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支持查询页面接口调用的请求次数、三秒超时量、响应时间、昨日响应时间等指标，以柱状图 + 折线图结合形式或其实适当的形式，分析接口调用趋势。</w:t>
      </w:r>
    </w:p>
    <w:p w14:paraId="0C337B21">
      <w:pPr>
        <w:pageBreakBefore w:val="0"/>
        <w:numPr>
          <w:ilvl w:val="0"/>
          <w:numId w:val="8"/>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支持展示页面弹窗次数趋势，对比多时间维度，以多折线图或其实适当的形式呈现不同时间维度弹窗频次变化，分析用户交互体验问题。</w:t>
      </w:r>
    </w:p>
    <w:p w14:paraId="773273D8">
      <w:pPr>
        <w:pageBreakBefore w:val="0"/>
        <w:numPr>
          <w:ilvl w:val="0"/>
          <w:numId w:val="8"/>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支持按浏览器、操作系统维度，以饼图展示终端分布占比，支持关联终端侧性能数据，分析前端产品兼容性。</w:t>
      </w:r>
    </w:p>
    <w:p w14:paraId="67561070">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页面性能分析</w:t>
      </w:r>
    </w:p>
    <w:p w14:paraId="123559B7">
      <w:pPr>
        <w:pageBreakBefore w:val="0"/>
        <w:numPr>
          <w:ilvl w:val="0"/>
          <w:numId w:val="9"/>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支持按系统、页面、时长阶段、区域、网络、频率、时间等维度，以系统为视角，查询页面浏览量、DNS 耗时、TCP 耗时、请求响应、内容传输、DOM 解析、资源加载、白屏时间、首屏时间、打开时长等性能指标，同时覆盖长日偏离、各分位打开时长等维度，分析页面性能表现。</w:t>
      </w:r>
    </w:p>
    <w:p w14:paraId="2ADBAFC6">
      <w:pPr>
        <w:pageBreakBefore w:val="0"/>
        <w:numPr>
          <w:ilvl w:val="0"/>
          <w:numId w:val="9"/>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支持呈现页面打开时长趋势数据，覆盖今日、昨日、上周等时间维度对比，以折线图形式</w:t>
      </w:r>
      <w:r>
        <w:rPr>
          <w:rFonts w:hint="eastAsia" w:ascii="宋体" w:hAnsi="宋体" w:eastAsia="宋体" w:cs="宋体"/>
          <w:color w:val="auto"/>
          <w:sz w:val="24"/>
          <w:szCs w:val="24"/>
          <w:highlight w:val="none"/>
          <w:lang w:bidi="ar"/>
        </w:rPr>
        <w:t>或其他适当的表现形式</w:t>
      </w:r>
      <w:r>
        <w:rPr>
          <w:rFonts w:hint="eastAsia" w:ascii="宋体" w:hAnsi="宋体" w:eastAsia="宋体" w:cs="宋体"/>
          <w:color w:val="auto"/>
          <w:sz w:val="24"/>
          <w:szCs w:val="24"/>
          <w:highlight w:val="none"/>
        </w:rPr>
        <w:t>展示不同时段打开时长波动，支持切换查看 “打开时长”“浏览量” 双维度趋势曲线。</w:t>
      </w:r>
    </w:p>
    <w:p w14:paraId="04B2F347">
      <w:pPr>
        <w:pageBreakBefore w:val="0"/>
        <w:numPr>
          <w:ilvl w:val="0"/>
          <w:numId w:val="9"/>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支持基于地图可视化呈现不同区域页面性能分布，分析定位性能薄弱区域。</w:t>
      </w:r>
    </w:p>
    <w:p w14:paraId="572D3889">
      <w:pPr>
        <w:pageBreakBefore w:val="0"/>
        <w:numPr>
          <w:ilvl w:val="0"/>
          <w:numId w:val="9"/>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支持按浏览器、操作系统、IP分析等不同维度，以柱状图 + 折线图结合形式</w:t>
      </w:r>
      <w:r>
        <w:rPr>
          <w:rFonts w:hint="eastAsia" w:ascii="宋体" w:hAnsi="宋体" w:eastAsia="宋体" w:cs="宋体"/>
          <w:color w:val="auto"/>
          <w:sz w:val="24"/>
          <w:szCs w:val="24"/>
          <w:highlight w:val="none"/>
          <w:lang w:bidi="ar"/>
        </w:rPr>
        <w:t>或其他适当的表现形式</w:t>
      </w:r>
      <w:r>
        <w:rPr>
          <w:rFonts w:hint="eastAsia" w:ascii="宋体" w:hAnsi="宋体" w:eastAsia="宋体" w:cs="宋体"/>
          <w:color w:val="auto"/>
          <w:sz w:val="24"/>
          <w:szCs w:val="24"/>
          <w:highlight w:val="none"/>
        </w:rPr>
        <w:t>展示浏览量与耗时分布。</w:t>
      </w:r>
    </w:p>
    <w:p w14:paraId="1C530947">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页面详情查询</w:t>
      </w:r>
    </w:p>
    <w:p w14:paraId="4624C0AB">
      <w:pPr>
        <w:pStyle w:val="18"/>
        <w:pageBreakBefore w:val="0"/>
        <w:kinsoku/>
        <w:wordWrap/>
        <w:overflowPunct/>
        <w:topLinePunct w:val="0"/>
        <w:autoSpaceDE/>
        <w:autoSpaceDN/>
        <w:bidi w:val="0"/>
        <w:spacing w:line="572" w:lineRule="exact"/>
        <w:ind w:left="0" w:leftChars="0" w:firstLine="496"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支持以页面为维度，通过系统、页面名称等多条件筛选，查询页面访问的 URL、操作系统、浏览器、IP、各阶段性能耗时、发生时间等详细数据，分析页面级的细粒度性能与访问指标。</w:t>
      </w:r>
    </w:p>
    <w:p w14:paraId="1A4CBF4A">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页面弹窗分析</w:t>
      </w:r>
    </w:p>
    <w:p w14:paraId="4488C3D3">
      <w:pPr>
        <w:pageBreakBefore w:val="0"/>
        <w:numPr>
          <w:ilvl w:val="0"/>
          <w:numId w:val="10"/>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支持按系统、页面、时长阶段、区域、网络、频率、时间等维度，以系统为视角，查询页面弹窗信息、弹窗次数、弹窗同比数据等指标。</w:t>
      </w:r>
    </w:p>
    <w:p w14:paraId="1FD64D82">
      <w:pPr>
        <w:pageBreakBefore w:val="0"/>
        <w:numPr>
          <w:ilvl w:val="0"/>
          <w:numId w:val="10"/>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支持呈现页面弹窗信息趋势数据，覆盖今日、昨日、上周等时间维度对比，以折线图</w:t>
      </w:r>
      <w:r>
        <w:rPr>
          <w:rFonts w:hint="eastAsia" w:ascii="宋体" w:hAnsi="宋体" w:eastAsia="宋体" w:cs="宋体"/>
          <w:color w:val="auto"/>
          <w:sz w:val="24"/>
          <w:szCs w:val="24"/>
          <w:highlight w:val="none"/>
          <w:lang w:bidi="ar"/>
        </w:rPr>
        <w:t>或其他适当的表现</w:t>
      </w:r>
      <w:r>
        <w:rPr>
          <w:rFonts w:hint="eastAsia" w:ascii="宋体" w:hAnsi="宋体" w:eastAsia="宋体" w:cs="宋体"/>
          <w:color w:val="auto"/>
          <w:sz w:val="24"/>
          <w:szCs w:val="24"/>
          <w:highlight w:val="none"/>
        </w:rPr>
        <w:t>形式展示不同时段弹窗趋势波动。</w:t>
      </w:r>
    </w:p>
    <w:p w14:paraId="5FD3A237">
      <w:pPr>
        <w:pageBreakBefore w:val="0"/>
        <w:numPr>
          <w:ilvl w:val="0"/>
          <w:numId w:val="10"/>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支持基于地图可视化等方式呈现不同区域弹窗分布。</w:t>
      </w:r>
    </w:p>
    <w:p w14:paraId="52852A59">
      <w:pPr>
        <w:pageBreakBefore w:val="0"/>
        <w:numPr>
          <w:ilvl w:val="0"/>
          <w:numId w:val="10"/>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支持按浏览器、操作系统、IP分析等不同维度，以柱状图 + 折线图结合形式</w:t>
      </w:r>
      <w:r>
        <w:rPr>
          <w:rFonts w:hint="eastAsia" w:ascii="宋体" w:hAnsi="宋体" w:eastAsia="宋体" w:cs="宋体"/>
          <w:color w:val="auto"/>
          <w:sz w:val="24"/>
          <w:szCs w:val="24"/>
          <w:highlight w:val="none"/>
          <w:lang w:bidi="ar"/>
        </w:rPr>
        <w:t>或其他适当的表现</w:t>
      </w:r>
      <w:r>
        <w:rPr>
          <w:rFonts w:hint="eastAsia" w:ascii="宋体" w:hAnsi="宋体" w:eastAsia="宋体" w:cs="宋体"/>
          <w:color w:val="auto"/>
          <w:sz w:val="24"/>
          <w:szCs w:val="24"/>
          <w:highlight w:val="none"/>
        </w:rPr>
        <w:t>展示弹窗分布。</w:t>
      </w:r>
    </w:p>
    <w:p w14:paraId="07543CEB">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页面请求分析</w:t>
      </w:r>
    </w:p>
    <w:p w14:paraId="79AEA548">
      <w:pPr>
        <w:pageBreakBefore w:val="0"/>
        <w:numPr>
          <w:ilvl w:val="0"/>
          <w:numId w:val="11"/>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支持按系统、页面、时长阶段、区域、网络、频率、时间等维度，以系统为视角，查询页面、接口、请求次数、平均耗时、成功率等指标。</w:t>
      </w:r>
    </w:p>
    <w:p w14:paraId="6F64F5BE">
      <w:pPr>
        <w:pageBreakBefore w:val="0"/>
        <w:numPr>
          <w:ilvl w:val="0"/>
          <w:numId w:val="11"/>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支持呈现页面接口请求趋势数据，覆盖今日、昨日、上周等时间维度对比，以折线图</w:t>
      </w:r>
      <w:r>
        <w:rPr>
          <w:rFonts w:hint="eastAsia" w:ascii="宋体" w:hAnsi="宋体" w:eastAsia="宋体" w:cs="宋体"/>
          <w:color w:val="auto"/>
          <w:sz w:val="24"/>
          <w:szCs w:val="24"/>
          <w:highlight w:val="none"/>
          <w:lang w:bidi="ar"/>
        </w:rPr>
        <w:t>或其他适当的表现</w:t>
      </w:r>
      <w:r>
        <w:rPr>
          <w:rFonts w:hint="eastAsia" w:ascii="宋体" w:hAnsi="宋体" w:eastAsia="宋体" w:cs="宋体"/>
          <w:color w:val="auto"/>
          <w:sz w:val="24"/>
          <w:szCs w:val="24"/>
          <w:highlight w:val="none"/>
        </w:rPr>
        <w:t>形式展示不同时段接口请求趋势波动。</w:t>
      </w:r>
    </w:p>
    <w:p w14:paraId="140EFE0E">
      <w:pPr>
        <w:pageBreakBefore w:val="0"/>
        <w:numPr>
          <w:ilvl w:val="0"/>
          <w:numId w:val="11"/>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支持基于地图可视化等方式呈现不同区域接口请求情况。</w:t>
      </w:r>
    </w:p>
    <w:p w14:paraId="3CFD96FE">
      <w:pPr>
        <w:pageBreakBefore w:val="0"/>
        <w:numPr>
          <w:ilvl w:val="0"/>
          <w:numId w:val="11"/>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支持按浏览器、操作系统、IP分析等不同维度，以柱状图 + 折线图结合形式</w:t>
      </w:r>
      <w:r>
        <w:rPr>
          <w:rFonts w:hint="eastAsia" w:ascii="宋体" w:hAnsi="宋体" w:eastAsia="宋体" w:cs="宋体"/>
          <w:color w:val="auto"/>
          <w:sz w:val="24"/>
          <w:szCs w:val="24"/>
          <w:highlight w:val="none"/>
          <w:lang w:bidi="ar"/>
        </w:rPr>
        <w:t>或其他适当的表现形式</w:t>
      </w:r>
      <w:r>
        <w:rPr>
          <w:rFonts w:hint="eastAsia" w:ascii="宋体" w:hAnsi="宋体" w:eastAsia="宋体" w:cs="宋体"/>
          <w:color w:val="auto"/>
          <w:sz w:val="24"/>
          <w:szCs w:val="24"/>
          <w:highlight w:val="none"/>
        </w:rPr>
        <w:t>展示接口请求数据。</w:t>
      </w:r>
    </w:p>
    <w:p w14:paraId="65A0343C">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页面错误分析</w:t>
      </w:r>
    </w:p>
    <w:p w14:paraId="79201B8C">
      <w:pPr>
        <w:pageBreakBefore w:val="0"/>
        <w:numPr>
          <w:ilvl w:val="0"/>
          <w:numId w:val="12"/>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支持按系统、页面、时长阶段、区域、网络、频率、时间等维度，以系统为视角，查询页面报错信息、报错类型、报错次数、同比数据等指标。</w:t>
      </w:r>
    </w:p>
    <w:p w14:paraId="7E8F7F23">
      <w:pPr>
        <w:pageBreakBefore w:val="0"/>
        <w:numPr>
          <w:ilvl w:val="0"/>
          <w:numId w:val="12"/>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支持呈现页面报错信息趋势数据，覆盖今日、昨日、上周等时间维度对比，以折线图形式展示不同时段报错趋势波动情况。</w:t>
      </w:r>
    </w:p>
    <w:p w14:paraId="7AC2FD7A">
      <w:pPr>
        <w:pageBreakBefore w:val="0"/>
        <w:numPr>
          <w:ilvl w:val="0"/>
          <w:numId w:val="12"/>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支持基于地图可视化呈现不同区域报错分布。</w:t>
      </w:r>
    </w:p>
    <w:p w14:paraId="1B0DDE7B">
      <w:pPr>
        <w:pageBreakBefore w:val="0"/>
        <w:numPr>
          <w:ilvl w:val="0"/>
          <w:numId w:val="12"/>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支持按浏览器、操作系统、IP分析等不同维度，以柱状图 + 折线图结合形式</w:t>
      </w:r>
      <w:r>
        <w:rPr>
          <w:rFonts w:hint="eastAsia" w:ascii="宋体" w:hAnsi="宋体" w:eastAsia="宋体" w:cs="宋体"/>
          <w:color w:val="auto"/>
          <w:sz w:val="24"/>
          <w:szCs w:val="24"/>
          <w:highlight w:val="none"/>
          <w:lang w:bidi="ar"/>
        </w:rPr>
        <w:t>或其他适当的表现形式</w:t>
      </w:r>
      <w:r>
        <w:rPr>
          <w:rFonts w:hint="eastAsia" w:ascii="宋体" w:hAnsi="宋体" w:eastAsia="宋体" w:cs="宋体"/>
          <w:color w:val="auto"/>
          <w:sz w:val="24"/>
          <w:szCs w:val="24"/>
          <w:highlight w:val="none"/>
        </w:rPr>
        <w:t>展示报错分布影响范围。</w:t>
      </w:r>
    </w:p>
    <w:p w14:paraId="53A38E7F">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用户稽核</w:t>
      </w:r>
    </w:p>
    <w:p w14:paraId="157B6E22">
      <w:pPr>
        <w:pStyle w:val="18"/>
        <w:pageBreakBefore w:val="0"/>
        <w:kinsoku/>
        <w:wordWrap/>
        <w:overflowPunct/>
        <w:topLinePunct w:val="0"/>
        <w:autoSpaceDE/>
        <w:autoSpaceDN/>
        <w:bidi w:val="0"/>
        <w:spacing w:line="572" w:lineRule="exact"/>
        <w:ind w:left="0" w:leftChars="0" w:firstLine="496"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按系统名称、网络、用户、IP、页面名称等多条件组合筛选，查询用户/IP对应的访问页面量、页面打开次数、点击次数等数据，支持查看趋势指标变化，观测不同维度下的操作行为指标。提供数据导出功能，支持将用户分析、IP分析结果导出。</w:t>
      </w:r>
    </w:p>
    <w:p w14:paraId="3B18D271">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用户轨迹</w:t>
      </w:r>
    </w:p>
    <w:p w14:paraId="56D17F31">
      <w:pPr>
        <w:pStyle w:val="18"/>
        <w:pageBreakBefore w:val="0"/>
        <w:kinsoku/>
        <w:wordWrap/>
        <w:overflowPunct/>
        <w:topLinePunct w:val="0"/>
        <w:autoSpaceDE/>
        <w:autoSpaceDN/>
        <w:bidi w:val="0"/>
        <w:spacing w:line="572" w:lineRule="exact"/>
        <w:ind w:left="0" w:leftChars="0" w:firstLine="496"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支持通过系统、网络、类型、用户等多维度筛选，查询页面操作日志，涵盖时间、地域、终端环境、操作流程及耗时等信息。</w:t>
      </w:r>
    </w:p>
    <w:p w14:paraId="2E3D134C">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前端告警查询</w:t>
      </w:r>
    </w:p>
    <w:p w14:paraId="6A089557">
      <w:pPr>
        <w:pageBreakBefore w:val="0"/>
        <w:numPr>
          <w:ilvl w:val="0"/>
          <w:numId w:val="13"/>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支持以系统为视角，按系统名称、指标名称、时间频率、时间区间筛选，查询前端页面性能、请求、弹窗同比等告警，查询系统告警数、请求量、超时率等不同指标。</w:t>
      </w:r>
    </w:p>
    <w:p w14:paraId="1AFD4CA4">
      <w:pPr>
        <w:pageBreakBefore w:val="0"/>
        <w:numPr>
          <w:ilvl w:val="0"/>
          <w:numId w:val="13"/>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支持与告警列表联动，展现被选择告警的指标趋势，分析页面动态变化趋势。</w:t>
      </w:r>
    </w:p>
    <w:p w14:paraId="530B5A8C">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前端告警配置</w:t>
      </w:r>
    </w:p>
    <w:p w14:paraId="137E9B57">
      <w:pPr>
        <w:pageBreakBefore w:val="0"/>
        <w:numPr>
          <w:ilvl w:val="0"/>
          <w:numId w:val="14"/>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支持展现系统下各页面的告警配置信息，支持按指标类型、页面名、接口名进行查询，查询页面、接口、告警启用、告警级别、告警群组、通知群组、告警规则等配置数据。</w:t>
      </w:r>
    </w:p>
    <w:p w14:paraId="473CAA34">
      <w:pPr>
        <w:pageBreakBefore w:val="0"/>
        <w:numPr>
          <w:ilvl w:val="0"/>
          <w:numId w:val="14"/>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支持对单条配置规则进行修改，包括告警规则、告警启停、告警发送、告警级别、告警群组修改及通知群组的修改等操作。</w:t>
      </w:r>
    </w:p>
    <w:p w14:paraId="5113D953">
      <w:pPr>
        <w:pageBreakBefore w:val="0"/>
        <w:numPr>
          <w:ilvl w:val="0"/>
          <w:numId w:val="14"/>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支持提供告警收敛规则配置，支持提供通知规则的配置，支持告警起止时间配置，支持不重复发送配置与告警升级配置等功能。</w:t>
      </w:r>
    </w:p>
    <w:p w14:paraId="54D776C4">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运营分析</w:t>
      </w:r>
    </w:p>
    <w:p w14:paraId="1E4F1607">
      <w:pPr>
        <w:pStyle w:val="18"/>
        <w:pageBreakBefore w:val="0"/>
        <w:kinsoku/>
        <w:wordWrap/>
        <w:overflowPunct/>
        <w:topLinePunct w:val="0"/>
        <w:autoSpaceDE/>
        <w:autoSpaceDN/>
        <w:bidi w:val="0"/>
        <w:spacing w:line="572" w:lineRule="exact"/>
        <w:ind w:left="0" w:leftChars="0" w:firstLine="496"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支持按照多维度查询所属系统的对接页面数、弹窗、</w:t>
      </w:r>
      <w:r>
        <w:rPr>
          <w:rFonts w:hint="eastAsia" w:ascii="宋体" w:hAnsi="宋体" w:eastAsia="宋体" w:cs="宋体"/>
          <w:color w:val="auto"/>
          <w:sz w:val="24"/>
          <w:szCs w:val="24"/>
          <w:highlight w:val="none"/>
          <w:lang w:val="en-US"/>
        </w:rPr>
        <w:t>J</w:t>
      </w:r>
      <w:r>
        <w:rPr>
          <w:rFonts w:hint="eastAsia" w:ascii="宋体" w:hAnsi="宋体" w:eastAsia="宋体" w:cs="宋体"/>
          <w:color w:val="auto"/>
          <w:sz w:val="24"/>
          <w:szCs w:val="24"/>
          <w:highlight w:val="none"/>
        </w:rPr>
        <w:t>s、</w:t>
      </w:r>
      <w:r>
        <w:rPr>
          <w:rFonts w:hint="eastAsia" w:ascii="宋体" w:hAnsi="宋体" w:eastAsia="宋体" w:cs="宋体"/>
          <w:color w:val="auto"/>
          <w:sz w:val="24"/>
          <w:szCs w:val="24"/>
          <w:highlight w:val="none"/>
          <w:lang w:val="en-US"/>
        </w:rPr>
        <w:t>A</w:t>
      </w:r>
      <w:r>
        <w:rPr>
          <w:rFonts w:hint="eastAsia" w:ascii="宋体" w:hAnsi="宋体" w:eastAsia="宋体" w:cs="宋体"/>
          <w:color w:val="auto"/>
          <w:sz w:val="24"/>
          <w:szCs w:val="24"/>
          <w:highlight w:val="none"/>
        </w:rPr>
        <w:t>jax、页面状态、请求等信息，展示高频打开页面TOP</w:t>
      </w:r>
      <w:r>
        <w:rPr>
          <w:rFonts w:hint="eastAsia" w:ascii="宋体" w:hAnsi="宋体" w:eastAsia="宋体" w:cs="宋体"/>
          <w:color w:val="auto"/>
          <w:sz w:val="24"/>
          <w:szCs w:val="24"/>
          <w:highlight w:val="none"/>
          <w:lang w:val="en-US"/>
        </w:rPr>
        <w:t>-N（N默认10）</w:t>
      </w:r>
      <w:r>
        <w:rPr>
          <w:rFonts w:hint="eastAsia" w:ascii="宋体" w:hAnsi="宋体" w:eastAsia="宋体" w:cs="宋体"/>
          <w:color w:val="auto"/>
          <w:sz w:val="24"/>
          <w:szCs w:val="24"/>
          <w:highlight w:val="none"/>
        </w:rPr>
        <w:t>、系统错误趋势图、JS</w:t>
      </w:r>
      <w:r>
        <w:rPr>
          <w:rFonts w:hint="eastAsia" w:ascii="宋体" w:hAnsi="宋体" w:eastAsia="宋体" w:cs="宋体"/>
          <w:color w:val="auto"/>
          <w:sz w:val="24"/>
          <w:szCs w:val="24"/>
          <w:highlight w:val="none"/>
          <w:lang w:val="en-US"/>
        </w:rPr>
        <w:t>及其他各类型报错的</w:t>
      </w:r>
      <w:r>
        <w:rPr>
          <w:rFonts w:hint="eastAsia" w:ascii="宋体" w:hAnsi="宋体" w:eastAsia="宋体" w:cs="宋体"/>
          <w:color w:val="auto"/>
          <w:sz w:val="24"/>
          <w:szCs w:val="24"/>
          <w:highlight w:val="none"/>
        </w:rPr>
        <w:t>TOP</w:t>
      </w:r>
      <w:r>
        <w:rPr>
          <w:rFonts w:hint="eastAsia" w:ascii="宋体" w:hAnsi="宋体" w:eastAsia="宋体" w:cs="宋体"/>
          <w:color w:val="auto"/>
          <w:sz w:val="24"/>
          <w:szCs w:val="24"/>
          <w:highlight w:val="none"/>
          <w:lang w:val="en-US"/>
        </w:rPr>
        <w:t>-N（N默认10）</w:t>
      </w:r>
      <w:r>
        <w:rPr>
          <w:rFonts w:hint="eastAsia" w:ascii="宋体" w:hAnsi="宋体" w:eastAsia="宋体" w:cs="宋体"/>
          <w:color w:val="auto"/>
          <w:sz w:val="24"/>
          <w:szCs w:val="24"/>
          <w:highlight w:val="none"/>
        </w:rPr>
        <w:t>页面以及告警等情况。</w:t>
      </w:r>
    </w:p>
    <w:p w14:paraId="2B10CD9B">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数据采集</w:t>
      </w:r>
    </w:p>
    <w:p w14:paraId="1FA7C1B5">
      <w:pPr>
        <w:pStyle w:val="18"/>
        <w:pageBreakBefore w:val="0"/>
        <w:kinsoku/>
        <w:wordWrap/>
        <w:overflowPunct/>
        <w:topLinePunct w:val="0"/>
        <w:autoSpaceDE/>
        <w:autoSpaceDN/>
        <w:bidi w:val="0"/>
        <w:spacing w:line="572" w:lineRule="exact"/>
        <w:ind w:left="0" w:leftChars="0" w:firstLine="496"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支持采集用户在操作页面时的页面加载、点击、请求、页面错误、弹窗信息等性能指标。</w:t>
      </w:r>
    </w:p>
    <w:p w14:paraId="79A64F14">
      <w:pPr>
        <w:pStyle w:val="6"/>
        <w:pageBreakBefore w:val="0"/>
        <w:numPr>
          <w:ilvl w:val="2"/>
          <w:numId w:val="4"/>
        </w:numPr>
        <w:tabs>
          <w:tab w:val="clear" w:pos="0"/>
        </w:tabs>
        <w:kinsoku/>
        <w:wordWrap/>
        <w:overflowPunct/>
        <w:topLinePunct w:val="0"/>
        <w:autoSpaceDE/>
        <w:autoSpaceDN/>
        <w:bidi w:val="0"/>
        <w:spacing w:before="0" w:after="0" w:line="572" w:lineRule="exact"/>
        <w:ind w:left="709" w:leftChars="0" w:hanging="709" w:firstLineChars="0"/>
        <w:jc w:val="both"/>
        <w:outlineLvl w:val="3"/>
        <w:rPr>
          <w:rFonts w:hint="eastAsia" w:ascii="黑体" w:hAnsi="黑体" w:eastAsia="黑体" w:cs="黑体"/>
          <w:b w:val="0"/>
          <w:bCs/>
          <w:color w:val="auto"/>
          <w:sz w:val="24"/>
          <w:szCs w:val="24"/>
          <w:highlight w:val="none"/>
          <w:lang w:val="en"/>
        </w:rPr>
      </w:pPr>
      <w:bookmarkStart w:id="34" w:name="_Toc264873224"/>
      <w:bookmarkStart w:id="35" w:name="_Toc1154504616"/>
      <w:bookmarkStart w:id="36" w:name="_Toc2129878075"/>
      <w:bookmarkStart w:id="37" w:name="_Toc1252143141"/>
      <w:bookmarkStart w:id="38" w:name="_Toc29421"/>
      <w:bookmarkStart w:id="39" w:name="_Toc851043428"/>
      <w:bookmarkStart w:id="40" w:name="_Toc182016381"/>
      <w:r>
        <w:rPr>
          <w:rFonts w:hint="eastAsia" w:ascii="黑体" w:hAnsi="黑体" w:eastAsia="黑体" w:cs="黑体"/>
          <w:b w:val="0"/>
          <w:bCs/>
          <w:color w:val="auto"/>
          <w:sz w:val="24"/>
          <w:szCs w:val="24"/>
          <w:highlight w:val="none"/>
          <w:lang w:val="en"/>
        </w:rPr>
        <w:t>全链路调用链</w:t>
      </w:r>
      <w:bookmarkEnd w:id="34"/>
      <w:bookmarkEnd w:id="35"/>
      <w:bookmarkEnd w:id="36"/>
      <w:bookmarkEnd w:id="37"/>
      <w:bookmarkEnd w:id="38"/>
      <w:bookmarkEnd w:id="39"/>
      <w:bookmarkEnd w:id="40"/>
    </w:p>
    <w:p w14:paraId="30711974">
      <w:pPr>
        <w:pageBreakBefore w:val="0"/>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通过Agent探针或其他技术，对分布式链路中服务调用情况进行非侵入式采集，实现调用链路实时追踪和全层级故障根因定位，支持多系统接入、服务链路拓扑、多维根因定位分析、服务和方法级告警等功能。具体功能要求如下：</w:t>
      </w:r>
    </w:p>
    <w:p w14:paraId="3F82DD5F">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链路数据采集监控模块</w:t>
      </w:r>
    </w:p>
    <w:p w14:paraId="712E06EA">
      <w:pPr>
        <w:pageBreakBefore w:val="0"/>
        <w:numPr>
          <w:ilvl w:val="0"/>
          <w:numId w:val="15"/>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支持对Java、Python、Go等服务进行调用采集，支持采集服务与服务、服务与组件、服务与外部接口之间的调用关系。</w:t>
      </w:r>
    </w:p>
    <w:p w14:paraId="3A72807D">
      <w:pPr>
        <w:pageBreakBefore w:val="0"/>
        <w:numPr>
          <w:ilvl w:val="0"/>
          <w:numId w:val="15"/>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支持采集Java微服务JVM运行时的性能数据，如CPU使用率、GC耗时、线程等指标。</w:t>
      </w:r>
    </w:p>
    <w:p w14:paraId="69A817AB">
      <w:pPr>
        <w:pageBreakBefore w:val="0"/>
        <w:numPr>
          <w:ilvl w:val="0"/>
          <w:numId w:val="15"/>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支持对自身采集SaaS层数据和外部系统数据（PaaS层、IaaS层等数据）的处理功能，主要包括：数据过滤、数据解析、数据稽核等功能。</w:t>
      </w:r>
    </w:p>
    <w:p w14:paraId="4C2705EA">
      <w:pPr>
        <w:pageBreakBefore w:val="0"/>
        <w:numPr>
          <w:ilvl w:val="0"/>
          <w:numId w:val="15"/>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支持实时按分钟级计算能力，按服务、实例、接口等不同维度计算，应包括服务调用量、一秒超时量、三秒超时量、五秒超时量、服务失败量、系统异常量、平均耗时等指标。</w:t>
      </w:r>
    </w:p>
    <w:p w14:paraId="6DFA7E32">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链路运行总览</w:t>
      </w:r>
    </w:p>
    <w:p w14:paraId="084C8DE9">
      <w:pPr>
        <w:pageBreakBefore w:val="0"/>
        <w:numPr>
          <w:ilvl w:val="0"/>
          <w:numId w:val="16"/>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支持以系统视角查询系统告警服务数、总调用量、平均响应时长、</w:t>
      </w:r>
      <w:r>
        <w:rPr>
          <w:rFonts w:hint="eastAsia" w:ascii="宋体" w:hAnsi="宋体" w:eastAsia="宋体" w:cs="宋体"/>
          <w:color w:val="auto"/>
          <w:sz w:val="24"/>
          <w:szCs w:val="24"/>
          <w:highlight w:val="none"/>
          <w:lang w:bidi="ar"/>
        </w:rPr>
        <w:t>TP指标、</w:t>
      </w:r>
      <w:r>
        <w:rPr>
          <w:rFonts w:hint="eastAsia" w:ascii="宋体" w:hAnsi="宋体" w:eastAsia="宋体" w:cs="宋体"/>
          <w:color w:val="auto"/>
          <w:sz w:val="24"/>
          <w:szCs w:val="24"/>
          <w:highlight w:val="none"/>
        </w:rPr>
        <w:t>失败率、系统异常量、服务数、中间件数等指标，观测系统整体运行状况。指标支持查询系统的告警趋势，查看今日原始告警、今日收敛告警、昨日原始告警、昨日收敛告警趋势</w:t>
      </w:r>
      <w:r>
        <w:rPr>
          <w:rFonts w:hint="eastAsia" w:ascii="宋体" w:hAnsi="宋体" w:eastAsia="宋体" w:cs="宋体"/>
          <w:color w:val="auto"/>
          <w:sz w:val="24"/>
          <w:szCs w:val="24"/>
          <w:highlight w:val="none"/>
          <w:lang w:bidi="ar"/>
        </w:rPr>
        <w:t>，并能根据指定时间维度进行对比展示</w:t>
      </w:r>
      <w:r>
        <w:rPr>
          <w:rFonts w:hint="eastAsia" w:ascii="宋体" w:hAnsi="宋体" w:eastAsia="宋体" w:cs="宋体"/>
          <w:color w:val="auto"/>
          <w:sz w:val="24"/>
          <w:szCs w:val="24"/>
          <w:highlight w:val="none"/>
        </w:rPr>
        <w:t>。</w:t>
      </w:r>
    </w:p>
    <w:p w14:paraId="0AD46E7D">
      <w:pPr>
        <w:pageBreakBefore w:val="0"/>
        <w:numPr>
          <w:ilvl w:val="0"/>
          <w:numId w:val="16"/>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支持查询系统的指标运行趋势，查看今日调用量、昨日调用量、今日失败率、昨日失败率、今日三秒超时率、昨日三秒超时率等指标</w:t>
      </w:r>
      <w:r>
        <w:rPr>
          <w:rFonts w:hint="eastAsia" w:ascii="宋体" w:hAnsi="宋体" w:eastAsia="宋体" w:cs="宋体"/>
          <w:color w:val="auto"/>
          <w:sz w:val="24"/>
          <w:szCs w:val="24"/>
          <w:highlight w:val="none"/>
          <w:lang w:bidi="ar"/>
        </w:rPr>
        <w:t>，并能根据指定时间维度进行对比展示查询。</w:t>
      </w:r>
    </w:p>
    <w:p w14:paraId="01103EFB">
      <w:pPr>
        <w:pageBreakBefore w:val="0"/>
        <w:numPr>
          <w:ilvl w:val="0"/>
          <w:numId w:val="16"/>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支持系统故障拓扑分析，以故障拓扑形式动态展现告警服务的节点与拓扑。</w:t>
      </w:r>
    </w:p>
    <w:p w14:paraId="7A7D046E">
      <w:pPr>
        <w:pageBreakBefore w:val="0"/>
        <w:numPr>
          <w:ilvl w:val="0"/>
          <w:numId w:val="16"/>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支持服务告警分析，支持查看当前系统告警服务列表，并支持切换查询服务的调用指标，主要包括服务调用量、失败率、三秒超时率、影响服务数等情况及指标的运行趋势。</w:t>
      </w:r>
    </w:p>
    <w:p w14:paraId="29B1C016">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调用链展现</w:t>
      </w:r>
    </w:p>
    <w:p w14:paraId="53208C89">
      <w:pPr>
        <w:pStyle w:val="15"/>
        <w:pageBreakBefore w:val="0"/>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支持按不同业务、环节场景，展现系统间的服务调用拓扑关系，以及系统下各个服务的调用拓扑关系，分析全维度服务调用拓扑。支持按业务、环节、服务维度查询服务拓扑告警情况。</w:t>
      </w:r>
    </w:p>
    <w:p w14:paraId="0DB53960">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根因分析</w:t>
      </w:r>
    </w:p>
    <w:p w14:paraId="40DD4103">
      <w:pPr>
        <w:pageBreakBefore w:val="0"/>
        <w:numPr>
          <w:ilvl w:val="0"/>
          <w:numId w:val="17"/>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支持查询服务与服务、服务与组件、服务与外部接口调用关系并拉通指标与告警，支持故障时上下游服务切换逐步下钻定位根因，支持分析服务、数据库、及中间件调用量、失败量、超时量、系统异常量等指标。</w:t>
      </w:r>
    </w:p>
    <w:p w14:paraId="37CD4D59">
      <w:pPr>
        <w:pageBreakBefore w:val="0"/>
        <w:numPr>
          <w:ilvl w:val="0"/>
          <w:numId w:val="17"/>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支持查看服务调用趋势，查看服务调用量、一秒超时量、三秒超时量、五秒超时量、服务失败量、方法异常量、系统异常量、平均耗时</w:t>
      </w:r>
      <w:r>
        <w:rPr>
          <w:rFonts w:hint="eastAsia" w:ascii="宋体" w:hAnsi="宋体" w:eastAsia="宋体" w:cs="宋体"/>
          <w:color w:val="auto"/>
          <w:sz w:val="24"/>
          <w:szCs w:val="24"/>
          <w:highlight w:val="none"/>
          <w:lang w:bidi="ar"/>
        </w:rPr>
        <w:t>、TP耗时</w:t>
      </w:r>
      <w:r>
        <w:rPr>
          <w:rFonts w:hint="eastAsia" w:ascii="宋体" w:hAnsi="宋体" w:eastAsia="宋体" w:cs="宋体"/>
          <w:color w:val="auto"/>
          <w:sz w:val="24"/>
          <w:szCs w:val="24"/>
          <w:highlight w:val="none"/>
        </w:rPr>
        <w:t>等指标的调用趋势图，分析服务性能趋势。</w:t>
      </w:r>
    </w:p>
    <w:p w14:paraId="3B3EB8FC">
      <w:pPr>
        <w:pageBreakBefore w:val="0"/>
        <w:numPr>
          <w:ilvl w:val="0"/>
          <w:numId w:val="17"/>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支持查看服务报错分类详情，查看系统异常与业务异常下的错误信息、错误类型、错误数量等指标。</w:t>
      </w:r>
    </w:p>
    <w:p w14:paraId="7FEB582D">
      <w:pPr>
        <w:pageBreakBefore w:val="0"/>
        <w:numPr>
          <w:ilvl w:val="0"/>
          <w:numId w:val="17"/>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支持以服务为基础，查看服务各实例调用量、一秒超时量、三秒超时量、五秒超时量、服务失败量、方法异常量、系统异常量、平均耗时</w:t>
      </w:r>
      <w:r>
        <w:rPr>
          <w:rFonts w:hint="eastAsia" w:ascii="宋体" w:hAnsi="宋体" w:eastAsia="宋体" w:cs="宋体"/>
          <w:color w:val="auto"/>
          <w:sz w:val="24"/>
          <w:szCs w:val="24"/>
          <w:highlight w:val="none"/>
          <w:lang w:bidi="ar"/>
        </w:rPr>
        <w:t>、TP耗时</w:t>
      </w:r>
      <w:r>
        <w:rPr>
          <w:rFonts w:hint="eastAsia" w:ascii="宋体" w:hAnsi="宋体" w:eastAsia="宋体" w:cs="宋体"/>
          <w:color w:val="auto"/>
          <w:sz w:val="24"/>
          <w:szCs w:val="24"/>
          <w:highlight w:val="none"/>
        </w:rPr>
        <w:t>等指标总量与调用趋势图。</w:t>
      </w:r>
    </w:p>
    <w:p w14:paraId="4E57A6DF">
      <w:pPr>
        <w:pageBreakBefore w:val="0"/>
        <w:numPr>
          <w:ilvl w:val="0"/>
          <w:numId w:val="17"/>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支持以服务为基础，查看服务不同接口的调用量、一秒超时量、三秒超时量、五秒超时量、服务失败量、方法异常量、系统异常量、平均耗时</w:t>
      </w:r>
      <w:r>
        <w:rPr>
          <w:rFonts w:hint="eastAsia" w:ascii="宋体" w:hAnsi="宋体" w:eastAsia="宋体" w:cs="宋体"/>
          <w:color w:val="auto"/>
          <w:sz w:val="24"/>
          <w:szCs w:val="24"/>
          <w:highlight w:val="none"/>
          <w:lang w:bidi="ar"/>
        </w:rPr>
        <w:t>、TP耗时</w:t>
      </w:r>
      <w:r>
        <w:rPr>
          <w:rFonts w:hint="eastAsia" w:ascii="宋体" w:hAnsi="宋体" w:eastAsia="宋体" w:cs="宋体"/>
          <w:color w:val="auto"/>
          <w:sz w:val="24"/>
          <w:szCs w:val="24"/>
          <w:highlight w:val="none"/>
        </w:rPr>
        <w:t>等指标总量与调用趋势图。</w:t>
      </w:r>
    </w:p>
    <w:p w14:paraId="3F0FB59C">
      <w:pPr>
        <w:pageBreakBefore w:val="0"/>
        <w:numPr>
          <w:ilvl w:val="0"/>
          <w:numId w:val="17"/>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支持以服务为基础，查看服务不同实例的JVM、GC、线程指标，查看实例cpu使用率、GC耗时、heap使用量、线程等指标。</w:t>
      </w:r>
    </w:p>
    <w:p w14:paraId="3CDD1549">
      <w:pPr>
        <w:pageBreakBefore w:val="0"/>
        <w:numPr>
          <w:ilvl w:val="0"/>
          <w:numId w:val="17"/>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支持SaaS服务与PaaS平台的关联关系，关联查询服务实例所在容器的CPU、内存等指标。支持SaaS服务与IaaS主机的关联关系，关联查询服务实例所在主机的CPU、内存、磁盘使用率等性能指标。</w:t>
      </w:r>
    </w:p>
    <w:p w14:paraId="3E91ED59">
      <w:pPr>
        <w:pageBreakBefore w:val="0"/>
        <w:numPr>
          <w:ilvl w:val="0"/>
          <w:numId w:val="17"/>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支持查询服务下外部接口调用详情，查看外部地址不同接口的调用量、超时量、平均耗时</w:t>
      </w:r>
      <w:r>
        <w:rPr>
          <w:rFonts w:hint="eastAsia" w:ascii="宋体" w:hAnsi="宋体" w:eastAsia="宋体" w:cs="宋体"/>
          <w:color w:val="auto"/>
          <w:sz w:val="24"/>
          <w:szCs w:val="24"/>
          <w:highlight w:val="none"/>
          <w:lang w:bidi="ar"/>
        </w:rPr>
        <w:t>、TP耗时</w:t>
      </w:r>
      <w:r>
        <w:rPr>
          <w:rFonts w:hint="eastAsia" w:ascii="宋体" w:hAnsi="宋体" w:eastAsia="宋体" w:cs="宋体"/>
          <w:color w:val="auto"/>
          <w:sz w:val="24"/>
          <w:szCs w:val="24"/>
          <w:highlight w:val="none"/>
        </w:rPr>
        <w:t>等指标趋势。</w:t>
      </w:r>
    </w:p>
    <w:p w14:paraId="157C4DA0">
      <w:pPr>
        <w:pageBreakBefore w:val="0"/>
        <w:numPr>
          <w:ilvl w:val="0"/>
          <w:numId w:val="17"/>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支持查询服务下不同组件节点调用详情，查看组件各节点基本信息，查询组件被调用量、一秒超时量、三秒超时量、五秒超时量、服务失败量、平均耗时</w:t>
      </w:r>
      <w:r>
        <w:rPr>
          <w:rFonts w:hint="eastAsia" w:ascii="宋体" w:hAnsi="宋体" w:eastAsia="宋体" w:cs="宋体"/>
          <w:color w:val="auto"/>
          <w:sz w:val="24"/>
          <w:szCs w:val="24"/>
          <w:highlight w:val="none"/>
          <w:lang w:bidi="ar"/>
        </w:rPr>
        <w:t>、TP耗时</w:t>
      </w:r>
      <w:r>
        <w:rPr>
          <w:rFonts w:hint="eastAsia" w:ascii="宋体" w:hAnsi="宋体" w:eastAsia="宋体" w:cs="宋体"/>
          <w:color w:val="auto"/>
          <w:sz w:val="24"/>
          <w:szCs w:val="24"/>
          <w:highlight w:val="none"/>
        </w:rPr>
        <w:t>等指标趋势，分析组件节点调用性能支持查询服务下数据库调用详情分析，查看SQL查询趋势，SQL语句执行次数、平均执行时长</w:t>
      </w:r>
      <w:r>
        <w:rPr>
          <w:rFonts w:hint="eastAsia" w:ascii="宋体" w:hAnsi="宋体" w:eastAsia="宋体" w:cs="宋体"/>
          <w:color w:val="auto"/>
          <w:sz w:val="24"/>
          <w:szCs w:val="24"/>
          <w:highlight w:val="none"/>
          <w:lang w:bidi="ar"/>
        </w:rPr>
        <w:t>、TP耗时</w:t>
      </w:r>
      <w:r>
        <w:rPr>
          <w:rFonts w:hint="eastAsia" w:ascii="宋体" w:hAnsi="宋体" w:eastAsia="宋体" w:cs="宋体"/>
          <w:color w:val="auto"/>
          <w:sz w:val="24"/>
          <w:szCs w:val="24"/>
          <w:highlight w:val="none"/>
        </w:rPr>
        <w:t>、超时量等指标，支持查看SQL语句的查询趋势。</w:t>
      </w:r>
    </w:p>
    <w:p w14:paraId="1AA84DA0">
      <w:pPr>
        <w:pageBreakBefore w:val="0"/>
        <w:numPr>
          <w:ilvl w:val="0"/>
          <w:numId w:val="17"/>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支持查询服务下NoSQL详情分析，查询NoSQL查询趋势与查询详情，支持查看NoSQL执行语句、参数、执行次数、平均耗时</w:t>
      </w:r>
      <w:r>
        <w:rPr>
          <w:rFonts w:hint="eastAsia" w:ascii="宋体" w:hAnsi="宋体" w:eastAsia="宋体" w:cs="宋体"/>
          <w:color w:val="auto"/>
          <w:sz w:val="24"/>
          <w:szCs w:val="24"/>
          <w:highlight w:val="none"/>
          <w:lang w:bidi="ar"/>
        </w:rPr>
        <w:t>、TP耗时</w:t>
      </w:r>
      <w:r>
        <w:rPr>
          <w:rFonts w:hint="eastAsia" w:ascii="宋体" w:hAnsi="宋体" w:eastAsia="宋体" w:cs="宋体"/>
          <w:color w:val="auto"/>
          <w:sz w:val="24"/>
          <w:szCs w:val="24"/>
          <w:highlight w:val="none"/>
        </w:rPr>
        <w:t>等指标。</w:t>
      </w:r>
    </w:p>
    <w:p w14:paraId="2FA75EDE">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调用链清单模块</w:t>
      </w:r>
    </w:p>
    <w:p w14:paraId="752DD245">
      <w:pPr>
        <w:pageBreakBefore w:val="0"/>
        <w:numPr>
          <w:ilvl w:val="0"/>
          <w:numId w:val="18"/>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支持按时间、系统、服务名等多维度筛选条件，以图表形式展示服务执行情况及服务调用趋势，同时呈现服务名、业务时间、接口名、耗时、状态、实例 ID等调用清单列表。</w:t>
      </w:r>
    </w:p>
    <w:p w14:paraId="4FD25315">
      <w:pPr>
        <w:pageBreakBefore w:val="0"/>
        <w:numPr>
          <w:ilvl w:val="0"/>
          <w:numId w:val="18"/>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支持根据链路清单id查询调用明细列表，展示方法名、服务名、被调用服务、系统名、SQL、参数、耗时、起止时间、Gap、Self、异常信息、状态等全链路执行数据，支持方法名检索、调用层级展开。</w:t>
      </w:r>
    </w:p>
    <w:p w14:paraId="21B01EB7">
      <w:pPr>
        <w:pageBreakBefore w:val="0"/>
        <w:numPr>
          <w:ilvl w:val="0"/>
          <w:numId w:val="18"/>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支持单笔链路调用拓扑功能，基于调用明细数据，以可视化图谱展示节点连接关系，支持节点筛选、信息悬浮查看。</w:t>
      </w:r>
    </w:p>
    <w:p w14:paraId="3AA9E481">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应用分析模块</w:t>
      </w:r>
    </w:p>
    <w:p w14:paraId="7CE6E0D5">
      <w:pPr>
        <w:pageBreakBefore w:val="0"/>
        <w:numPr>
          <w:ilvl w:val="0"/>
          <w:numId w:val="19"/>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支持按系统、时间、服务维度，查询服务调用耗时分析情况，查询服务调用量、超时量、异常量、平均耗时</w:t>
      </w:r>
      <w:r>
        <w:rPr>
          <w:rFonts w:hint="eastAsia" w:ascii="宋体" w:hAnsi="宋体" w:eastAsia="宋体" w:cs="宋体"/>
          <w:color w:val="auto"/>
          <w:sz w:val="24"/>
          <w:szCs w:val="24"/>
          <w:highlight w:val="none"/>
          <w:lang w:bidi="ar"/>
        </w:rPr>
        <w:t>、TP耗时</w:t>
      </w:r>
      <w:r>
        <w:rPr>
          <w:rFonts w:hint="eastAsia" w:ascii="宋体" w:hAnsi="宋体" w:eastAsia="宋体" w:cs="宋体"/>
          <w:color w:val="auto"/>
          <w:sz w:val="24"/>
          <w:szCs w:val="24"/>
          <w:highlight w:val="none"/>
        </w:rPr>
        <w:t>等同比指标和耗时趋势。</w:t>
      </w:r>
    </w:p>
    <w:p w14:paraId="33BE4F21">
      <w:pPr>
        <w:pageBreakBefore w:val="0"/>
        <w:numPr>
          <w:ilvl w:val="0"/>
          <w:numId w:val="19"/>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支持按系统、时间、服务、异常信息维度，查询服务异常指标情况，查询服务异常信息、异常类型、报错量等同比指标和耗时趋势。</w:t>
      </w:r>
    </w:p>
    <w:p w14:paraId="790FA683">
      <w:pPr>
        <w:pageBreakBefore w:val="0"/>
        <w:numPr>
          <w:ilvl w:val="0"/>
          <w:numId w:val="19"/>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支持按系统、时间、服务、数据库维度，查询服务调用数据库的指标情况，查询服务执行SQL语句的调用量、平均耗时</w:t>
      </w:r>
      <w:r>
        <w:rPr>
          <w:rFonts w:hint="eastAsia" w:ascii="宋体" w:hAnsi="宋体" w:eastAsia="宋体" w:cs="宋体"/>
          <w:color w:val="auto"/>
          <w:sz w:val="24"/>
          <w:szCs w:val="24"/>
          <w:highlight w:val="none"/>
          <w:lang w:bidi="ar"/>
        </w:rPr>
        <w:t>、TP耗时</w:t>
      </w:r>
      <w:r>
        <w:rPr>
          <w:rFonts w:hint="eastAsia" w:ascii="宋体" w:hAnsi="宋体" w:eastAsia="宋体" w:cs="宋体"/>
          <w:color w:val="auto"/>
          <w:sz w:val="24"/>
          <w:szCs w:val="24"/>
          <w:highlight w:val="none"/>
        </w:rPr>
        <w:t>等同比指标和耗时趋势。</w:t>
      </w:r>
    </w:p>
    <w:p w14:paraId="028CB1C6">
      <w:pPr>
        <w:pageBreakBefore w:val="0"/>
        <w:numPr>
          <w:ilvl w:val="0"/>
          <w:numId w:val="19"/>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支持按系统、时间、服务、接口维度，查询服务接口指标情况，查询接口的调用量、超时量平均耗时</w:t>
      </w:r>
      <w:r>
        <w:rPr>
          <w:rFonts w:hint="eastAsia" w:ascii="宋体" w:hAnsi="宋体" w:eastAsia="宋体" w:cs="宋体"/>
          <w:color w:val="auto"/>
          <w:sz w:val="24"/>
          <w:szCs w:val="24"/>
          <w:highlight w:val="none"/>
          <w:lang w:bidi="ar"/>
        </w:rPr>
        <w:t>、TP耗时</w:t>
      </w:r>
      <w:r>
        <w:rPr>
          <w:rFonts w:hint="eastAsia" w:ascii="宋体" w:hAnsi="宋体" w:eastAsia="宋体" w:cs="宋体"/>
          <w:color w:val="auto"/>
          <w:sz w:val="24"/>
          <w:szCs w:val="24"/>
          <w:highlight w:val="none"/>
        </w:rPr>
        <w:t>等同比指标和耗时趋势。</w:t>
      </w:r>
    </w:p>
    <w:p w14:paraId="7F5672C0">
      <w:pPr>
        <w:pageBreakBefore w:val="0"/>
        <w:numPr>
          <w:ilvl w:val="0"/>
          <w:numId w:val="19"/>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支持按系统、时间、服务、外部IP维度，查询服务调用外部IP地址的指标情况，查询服务调用外部IP的调用量、平均耗时</w:t>
      </w:r>
      <w:r>
        <w:rPr>
          <w:rFonts w:hint="eastAsia" w:ascii="宋体" w:hAnsi="宋体" w:eastAsia="宋体" w:cs="宋体"/>
          <w:color w:val="auto"/>
          <w:sz w:val="24"/>
          <w:szCs w:val="24"/>
          <w:highlight w:val="none"/>
          <w:lang w:bidi="ar"/>
        </w:rPr>
        <w:t>、TP耗时</w:t>
      </w:r>
      <w:r>
        <w:rPr>
          <w:rFonts w:hint="eastAsia" w:ascii="宋体" w:hAnsi="宋体" w:eastAsia="宋体" w:cs="宋体"/>
          <w:color w:val="auto"/>
          <w:sz w:val="24"/>
          <w:szCs w:val="24"/>
          <w:highlight w:val="none"/>
        </w:rPr>
        <w:t>等同比指标和耗时趋势。</w:t>
      </w:r>
    </w:p>
    <w:p w14:paraId="34982749">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主机实例分析</w:t>
      </w:r>
    </w:p>
    <w:p w14:paraId="7D7F2EC2">
      <w:pPr>
        <w:pageBreakBefore w:val="0"/>
        <w:numPr>
          <w:ilvl w:val="0"/>
          <w:numId w:val="20"/>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主机资源监控模块，展示服务、集群、内核版本、机器类型、机房等基础信息，同时以图表形式呈现指定时间范围内CPU负载、内存使用率、CPU使用率、磁盘IO操作耗费时间、TCP连接数、分区使用率的实时数据等主机资源相关指标，满足主机资源可视化监控需求。</w:t>
      </w:r>
    </w:p>
    <w:p w14:paraId="526182D9">
      <w:pPr>
        <w:pageBreakBefore w:val="0"/>
        <w:numPr>
          <w:ilvl w:val="0"/>
          <w:numId w:val="20"/>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支持展示按主机维度的服务整体调用情况的能力，呈现主机上所有服务的调用量、失败率、昨日失败率、三秒超时率等指定时间段（默认为今日与昨日）多指标的时序变化。</w:t>
      </w:r>
    </w:p>
    <w:p w14:paraId="75666EE9">
      <w:pPr>
        <w:pageBreakBefore w:val="0"/>
        <w:numPr>
          <w:ilvl w:val="0"/>
          <w:numId w:val="20"/>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支持展示主机上所有运行实例的容器资源信息、容器调用详情，呈现主机上所有实例的调用量、失败率、昨日失败率、三秒超时率等指定时间段（默认为今日与昨日）多指标的时序变化。</w:t>
      </w:r>
    </w:p>
    <w:p w14:paraId="1930F177">
      <w:pPr>
        <w:pageBreakBefore w:val="0"/>
        <w:numPr>
          <w:ilvl w:val="0"/>
          <w:numId w:val="20"/>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支持展示主机上所有运行组件的调用情况，通过图表呈现调用量、失败率、三秒超时率等指定时间段（默认为今日与昨日）指标的时序数据，且可查看组件调用详情。</w:t>
      </w:r>
    </w:p>
    <w:p w14:paraId="0A7F4DCC">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TPS分析</w:t>
      </w:r>
    </w:p>
    <w:p w14:paraId="5EA02FEF">
      <w:pPr>
        <w:pStyle w:val="15"/>
        <w:pageBreakBefore w:val="0"/>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支持系统、服务、接口名、时间区间等多维度筛选，查询总调用量、调用峰值等核心指标，并提供调用量趋势、峰值趋势、分位图等可视化分析功能。</w:t>
      </w:r>
    </w:p>
    <w:p w14:paraId="78701B71">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告警配置能力</w:t>
      </w:r>
    </w:p>
    <w:p w14:paraId="415FCE2B">
      <w:pPr>
        <w:pageBreakBefore w:val="0"/>
        <w:numPr>
          <w:ilvl w:val="0"/>
          <w:numId w:val="21"/>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支持展现系统下各服务的告警配置信息，支持按服务名进行查询，查询服务、告警启用、告警级别、告警群组、通知群组、告警规则等配置数据。</w:t>
      </w:r>
    </w:p>
    <w:p w14:paraId="5A0F80A8">
      <w:pPr>
        <w:pageBreakBefore w:val="0"/>
        <w:numPr>
          <w:ilvl w:val="0"/>
          <w:numId w:val="21"/>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支持展示系统整体告警配置情况，如告警服务数量、告警未开启数量、未配置接收用户数量和告警不发送数量等。</w:t>
      </w:r>
    </w:p>
    <w:p w14:paraId="41635139">
      <w:pPr>
        <w:pageBreakBefore w:val="0"/>
        <w:numPr>
          <w:ilvl w:val="0"/>
          <w:numId w:val="21"/>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支持对单条服务的配置规则进行修改，包括但不限于服务级告警规则、方法级告警规则、告警启停、告警发送、告警级别、告警群组修改及通知群组的修改。</w:t>
      </w:r>
    </w:p>
    <w:p w14:paraId="70E31826">
      <w:pPr>
        <w:pageBreakBefore w:val="0"/>
        <w:numPr>
          <w:ilvl w:val="0"/>
          <w:numId w:val="21"/>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支持提供告警收敛规则配置，支持但不限于提供通知规则的配置，支持告警起止时间配置，支持不重复发送配置与告警升级配置功能。</w:t>
      </w:r>
    </w:p>
    <w:p w14:paraId="57C92E51">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根因告警</w:t>
      </w:r>
    </w:p>
    <w:p w14:paraId="39BE20F2">
      <w:pPr>
        <w:pStyle w:val="15"/>
        <w:pageBreakBefore w:val="0"/>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支持在故障时直接定位到根因服务，支持在短时间内触发多个服务、组件同时告警，仅告警根因服务、组件、主机，避免接收无效告警，缩减故障定位范围，减少故障定位的时间。</w:t>
      </w:r>
    </w:p>
    <w:p w14:paraId="5608B0EE">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告警查询</w:t>
      </w:r>
    </w:p>
    <w:p w14:paraId="61EE3EA3">
      <w:pPr>
        <w:pageBreakBefore w:val="0"/>
        <w:numPr>
          <w:ilvl w:val="0"/>
          <w:numId w:val="22"/>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支持展现系统各应用下服务级、接口级、实例级的告警信息，支持按时间、服务名等维度查询和导出。</w:t>
      </w:r>
    </w:p>
    <w:p w14:paraId="0B5B7450">
      <w:pPr>
        <w:pageBreakBefore w:val="0"/>
        <w:numPr>
          <w:ilvl w:val="0"/>
          <w:numId w:val="22"/>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支持与告警列表联动，展现选择服务的调用指标趋势。</w:t>
      </w:r>
    </w:p>
    <w:p w14:paraId="316B321A">
      <w:pPr>
        <w:pageBreakBefore w:val="0"/>
        <w:numPr>
          <w:ilvl w:val="0"/>
          <w:numId w:val="22"/>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支持与告警列表联动，展现选择服务的实例GC指标等可反应服务运行状况的指标详情。</w:t>
      </w:r>
    </w:p>
    <w:p w14:paraId="6EAC4153">
      <w:pPr>
        <w:pageBreakBefore w:val="0"/>
        <w:numPr>
          <w:ilvl w:val="0"/>
          <w:numId w:val="22"/>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支持与告警列表联动，展现选择服务的接口调用指标详情。</w:t>
      </w:r>
    </w:p>
    <w:p w14:paraId="6DABF792">
      <w:pPr>
        <w:pageBreakBefore w:val="0"/>
        <w:numPr>
          <w:ilvl w:val="0"/>
          <w:numId w:val="22"/>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支持与告警列表联动，展现选择服务的报错分类详情。</w:t>
      </w:r>
    </w:p>
    <w:p w14:paraId="5A4B7262">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调用链业务配置</w:t>
      </w:r>
    </w:p>
    <w:p w14:paraId="59EFC50A">
      <w:pPr>
        <w:pStyle w:val="15"/>
        <w:pageBreakBefore w:val="0"/>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支持查询业务配置列表，查询业务名称、创建者、创建时间等信息，支持用户新增配置，关联配置中的业务信息，支持业务的新增、删除、修改等功能，支持业务环节关联入口服务。</w:t>
      </w:r>
    </w:p>
    <w:p w14:paraId="16DF9F3E">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运营分析</w:t>
      </w:r>
    </w:p>
    <w:p w14:paraId="1DE182C0">
      <w:pPr>
        <w:pStyle w:val="15"/>
        <w:pageBreakBefore w:val="0"/>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支持运营分析模块的服务告警配置功能，涵盖告警群组配置、告警发送配置，以及服务级、方法级告警规则配置，支持呈现告警级别配置情况、服务告警趋势，支持关联服务接入量、配置工单状态等数据。</w:t>
      </w:r>
    </w:p>
    <w:p w14:paraId="2FE0A6B2">
      <w:pPr>
        <w:pStyle w:val="6"/>
        <w:pageBreakBefore w:val="0"/>
        <w:numPr>
          <w:ilvl w:val="2"/>
          <w:numId w:val="4"/>
        </w:numPr>
        <w:tabs>
          <w:tab w:val="clear" w:pos="0"/>
        </w:tabs>
        <w:kinsoku/>
        <w:wordWrap/>
        <w:overflowPunct/>
        <w:topLinePunct w:val="0"/>
        <w:autoSpaceDE/>
        <w:autoSpaceDN/>
        <w:bidi w:val="0"/>
        <w:spacing w:before="0" w:after="0" w:line="572" w:lineRule="exact"/>
        <w:ind w:left="709" w:leftChars="0" w:hanging="709" w:firstLineChars="0"/>
        <w:jc w:val="both"/>
        <w:outlineLvl w:val="3"/>
        <w:rPr>
          <w:rFonts w:hint="eastAsia" w:ascii="黑体" w:hAnsi="黑体" w:eastAsia="黑体" w:cs="黑体"/>
          <w:b w:val="0"/>
          <w:bCs/>
          <w:color w:val="auto"/>
          <w:sz w:val="24"/>
          <w:szCs w:val="24"/>
          <w:highlight w:val="none"/>
          <w:lang w:val="en"/>
        </w:rPr>
      </w:pPr>
      <w:bookmarkStart w:id="41" w:name="_Toc1577513834"/>
      <w:bookmarkStart w:id="42" w:name="_Toc1132602139"/>
      <w:bookmarkStart w:id="43" w:name="_Toc455894682"/>
      <w:bookmarkStart w:id="44" w:name="_Toc2138159184"/>
      <w:bookmarkStart w:id="45" w:name="_Toc1245805376"/>
      <w:bookmarkStart w:id="46" w:name="_Toc19029"/>
      <w:bookmarkStart w:id="47" w:name="_Toc1244330467"/>
      <w:r>
        <w:rPr>
          <w:rFonts w:hint="eastAsia" w:ascii="黑体" w:hAnsi="黑体" w:eastAsia="黑体" w:cs="黑体"/>
          <w:b w:val="0"/>
          <w:bCs/>
          <w:color w:val="auto"/>
          <w:sz w:val="24"/>
          <w:szCs w:val="24"/>
          <w:highlight w:val="none"/>
          <w:lang w:val="en"/>
        </w:rPr>
        <w:t>智能监控告警</w:t>
      </w:r>
      <w:bookmarkEnd w:id="41"/>
      <w:bookmarkEnd w:id="42"/>
      <w:bookmarkEnd w:id="43"/>
      <w:bookmarkEnd w:id="44"/>
      <w:bookmarkEnd w:id="45"/>
      <w:bookmarkEnd w:id="46"/>
      <w:bookmarkEnd w:id="47"/>
      <w:r>
        <w:rPr>
          <w:rFonts w:hint="eastAsia" w:ascii="黑体" w:hAnsi="黑体" w:eastAsia="黑体" w:cs="黑体"/>
          <w:b w:val="0"/>
          <w:bCs/>
          <w:color w:val="auto"/>
          <w:sz w:val="24"/>
          <w:szCs w:val="24"/>
          <w:highlight w:val="none"/>
          <w:lang w:val="en"/>
        </w:rPr>
        <w:t>模块</w:t>
      </w:r>
    </w:p>
    <w:p w14:paraId="058B42C9">
      <w:pPr>
        <w:pStyle w:val="18"/>
        <w:pageBreakBefore w:val="0"/>
        <w:kinsoku/>
        <w:wordWrap/>
        <w:overflowPunct/>
        <w:topLinePunct w:val="0"/>
        <w:autoSpaceDE/>
        <w:autoSpaceDN/>
        <w:bidi w:val="0"/>
        <w:spacing w:line="572" w:lineRule="exact"/>
        <w:ind w:left="0" w:leftChars="0" w:firstLine="496"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rPr>
        <w:t>统一监控覆盖管理标准，实现全层级监测，整合告警分级闭环管理，多渠道通知，收敛告警风暴，助力快速定位处置故障，实现保障系统稳定的同时实现降本增效。</w:t>
      </w:r>
      <w:r>
        <w:rPr>
          <w:rFonts w:hint="eastAsia" w:ascii="宋体" w:hAnsi="宋体" w:eastAsia="宋体" w:cs="宋体"/>
          <w:color w:val="auto"/>
          <w:sz w:val="24"/>
          <w:szCs w:val="24"/>
          <w:highlight w:val="none"/>
        </w:rPr>
        <w:t>具体功能要求如下：</w:t>
      </w:r>
    </w:p>
    <w:p w14:paraId="5E2FE29E">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系统监控总览模块</w:t>
      </w:r>
    </w:p>
    <w:p w14:paraId="7C9F98AD">
      <w:pPr>
        <w:pageBreakBefore w:val="0"/>
        <w:numPr>
          <w:ilvl w:val="0"/>
          <w:numId w:val="23"/>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支持以租户模块视角按照时间维度查询监控点运行状态、告警工单处理状态、采集任务运行状态。</w:t>
      </w:r>
    </w:p>
    <w:p w14:paraId="3DC73847">
      <w:pPr>
        <w:pageBreakBefore w:val="0"/>
        <w:numPr>
          <w:ilvl w:val="0"/>
          <w:numId w:val="23"/>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支持查询租户监控的各类应用占比、告警次数 top-N</w:t>
      </w:r>
      <w:r>
        <w:rPr>
          <w:rFonts w:hint="eastAsia" w:ascii="宋体" w:hAnsi="宋体" w:eastAsia="宋体" w:cs="宋体"/>
          <w:color w:val="auto"/>
          <w:sz w:val="24"/>
          <w:szCs w:val="24"/>
          <w:highlight w:val="none"/>
          <w:lang w:bidi="ar"/>
        </w:rPr>
        <w:t>（N默认为5）</w:t>
      </w:r>
      <w:r>
        <w:rPr>
          <w:rFonts w:hint="eastAsia" w:ascii="宋体" w:hAnsi="宋体" w:eastAsia="宋体" w:cs="宋体"/>
          <w:color w:val="auto"/>
          <w:sz w:val="24"/>
          <w:szCs w:val="24"/>
          <w:highlight w:val="none"/>
        </w:rPr>
        <w:t>、告警工单波动情况。</w:t>
      </w:r>
    </w:p>
    <w:p w14:paraId="20B81EDA">
      <w:pPr>
        <w:pageBreakBefore w:val="0"/>
        <w:numPr>
          <w:ilvl w:val="0"/>
          <w:numId w:val="23"/>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支持查询不同时间范围的监控点列表，包括但不限于告警名称、告警次数、告警级别、当前状态、是否静默、告警点详情查看。</w:t>
      </w:r>
    </w:p>
    <w:p w14:paraId="34D1ADF4">
      <w:pPr>
        <w:pageBreakBefore w:val="0"/>
        <w:numPr>
          <w:ilvl w:val="0"/>
          <w:numId w:val="23"/>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支持查询不同时间范围的告警工单列表，涵盖但不限于告警内容、告警级别、告警时间、工单状态、处理时长、工单详情查看。</w:t>
      </w:r>
    </w:p>
    <w:p w14:paraId="08FB6A7D">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指标采集能力</w:t>
      </w:r>
    </w:p>
    <w:p w14:paraId="3A7F8B1A">
      <w:pPr>
        <w:pageBreakBefore w:val="0"/>
        <w:numPr>
          <w:ilvl w:val="0"/>
          <w:numId w:val="24"/>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具备全流程界面化的指标采集管理功能，包括实时查看指标的正常采集总量与异常采集总量、正常与异常采集的指标详情，支持按任务名称、任务标识、采集渠道、模块、状态、提供人等多维度精准查询采集指标，可导出采集任务，并能按层级分类统计指标采集总量、正常采集量及异常采集量。</w:t>
      </w:r>
    </w:p>
    <w:p w14:paraId="648FDC29">
      <w:pPr>
        <w:pageBreakBefore w:val="0"/>
        <w:numPr>
          <w:ilvl w:val="0"/>
          <w:numId w:val="24"/>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具备</w:t>
      </w:r>
      <w:r>
        <w:rPr>
          <w:rFonts w:hint="eastAsia" w:ascii="宋体" w:hAnsi="宋体" w:eastAsia="宋体" w:cs="宋体"/>
          <w:color w:val="auto"/>
          <w:kern w:val="0"/>
          <w:sz w:val="24"/>
          <w:szCs w:val="24"/>
          <w:highlight w:val="none"/>
          <w:lang w:bidi="ar"/>
        </w:rPr>
        <w:t>Elasticsearch、达梦、ClickHouse、Nginx</w:t>
      </w:r>
      <w:r>
        <w:rPr>
          <w:rFonts w:hint="eastAsia" w:ascii="宋体" w:hAnsi="宋体" w:eastAsia="宋体" w:cs="宋体"/>
          <w:color w:val="auto"/>
          <w:sz w:val="24"/>
          <w:szCs w:val="24"/>
          <w:highlight w:val="none"/>
        </w:rPr>
        <w:t>等常用组件的标准指标采集功能，支持对中间件的远程采集，支持指标采集加密校验，支持快速接入第三方自定义的Prometheuse、自定义Exporter指标采集功能，并提供采集点全生命周期管理，包括新增、删除、修改、启动、查询等操作。</w:t>
      </w:r>
    </w:p>
    <w:p w14:paraId="13E0EFB2">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告警配置</w:t>
      </w:r>
    </w:p>
    <w:p w14:paraId="626DF3FE">
      <w:pPr>
        <w:pageBreakBefore w:val="0"/>
        <w:numPr>
          <w:ilvl w:val="0"/>
          <w:numId w:val="25"/>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全流程界面化的监控点告警信息管理功能，包括但不限于查看监控点的告警名称、告警标识、所属模块及告警级别，支持依据告警名称、告警标识、模块、告警状态、告警级别等不同维度精准查找告警指标，提供告警指标导出及批量订阅功能。</w:t>
      </w:r>
    </w:p>
    <w:p w14:paraId="1C0CFE14">
      <w:pPr>
        <w:pageBreakBefore w:val="0"/>
        <w:numPr>
          <w:ilvl w:val="0"/>
          <w:numId w:val="25"/>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全方位的监控点告警配置与管理功能，包括但不限于告警点的增删改查、静默操作，提供配置预览与规则预览，支持通过页面或YAML脚本模式配置告警触发条件与级别，并具备规则校验能力，支持PC端、移动端等多渠道告警通知，提供告警频率、重复告警时间、异常持续时间等多维度的告警收敛策略配置，支持告警信息自定义。</w:t>
      </w:r>
    </w:p>
    <w:p w14:paraId="601EB9AB">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静默配置</w:t>
      </w:r>
    </w:p>
    <w:p w14:paraId="75829324">
      <w:pPr>
        <w:pageBreakBefore w:val="0"/>
        <w:numPr>
          <w:ilvl w:val="0"/>
          <w:numId w:val="26"/>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支持按模块维度对监控点实施静默管理，包括但不限于支持批量静默与单监控点静默两种操作模式，且允许自定义设置告警点的静默时间段。</w:t>
      </w:r>
    </w:p>
    <w:p w14:paraId="51913C3E">
      <w:pPr>
        <w:pageBreakBefore w:val="0"/>
        <w:numPr>
          <w:ilvl w:val="0"/>
          <w:numId w:val="26"/>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支持查看监控点列表中的静默相关信息，包括但不限于各监控点的告警状态与静默状态，同时支持查询静默操作的历史记录。</w:t>
      </w:r>
    </w:p>
    <w:p w14:paraId="55AB8207">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告警闭环管理</w:t>
      </w:r>
    </w:p>
    <w:p w14:paraId="1254C682">
      <w:pPr>
        <w:pageBreakBefore w:val="0"/>
        <w:numPr>
          <w:ilvl w:val="0"/>
          <w:numId w:val="27"/>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支持对告警工单的多条件精准查询，包括按告警工单编号、租户、模块、告警信息、工单处理状态、工单级别、时间范围等维度筛选，快速定位目标工单。</w:t>
      </w:r>
    </w:p>
    <w:p w14:paraId="58DC7808">
      <w:pPr>
        <w:pageBreakBefore w:val="0"/>
        <w:numPr>
          <w:ilvl w:val="0"/>
          <w:numId w:val="27"/>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支持通过PC端与移动端对告警工单进行全流程处理，涵盖签收、转派、解决关闭、确认误告、忽略告警、升级处理及暂时屏蔽等操作，并支持批量签收、关闭工单。</w:t>
      </w:r>
    </w:p>
    <w:p w14:paraId="2B91B767">
      <w:pPr>
        <w:pageBreakBefore w:val="0"/>
        <w:numPr>
          <w:ilvl w:val="0"/>
          <w:numId w:val="27"/>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支持告警分级管理，支持按照重要程度将告警划分为紧急、重要、普通、提示等多个级别，其中级别可自定义，并为不同级别告警配置差异化升级策略，支持短信、智能语音等多种告警通知与升级功能。</w:t>
      </w:r>
    </w:p>
    <w:p w14:paraId="5AEC8F6B">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告警查询</w:t>
      </w:r>
    </w:p>
    <w:p w14:paraId="35A04F3A">
      <w:pPr>
        <w:pageBreakBefore w:val="0"/>
        <w:numPr>
          <w:ilvl w:val="0"/>
          <w:numId w:val="28"/>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支持按租户模块、系统、处理人、告警信息、处理状态、指标类型等多维度查询告警工单信息，并支持将查询到的告警工单信息导出。</w:t>
      </w:r>
    </w:p>
    <w:p w14:paraId="23E7AD9F">
      <w:pPr>
        <w:pageBreakBefore w:val="0"/>
        <w:numPr>
          <w:ilvl w:val="0"/>
          <w:numId w:val="28"/>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支持查看告警工单的详细信息，具体涵盖告警内容、告警原因、告警时间及处理历史等关键要素。</w:t>
      </w:r>
    </w:p>
    <w:p w14:paraId="287A2CFB">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订阅查询</w:t>
      </w:r>
    </w:p>
    <w:p w14:paraId="3EB22436">
      <w:pPr>
        <w:pageBreakBefore w:val="0"/>
        <w:numPr>
          <w:ilvl w:val="0"/>
          <w:numId w:val="29"/>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支持从群组、订阅人或其他适当的视角查询用户已订阅的监控点和模块，并支持查看用户订阅的各类别告警工单。</w:t>
      </w:r>
    </w:p>
    <w:p w14:paraId="74522066">
      <w:pPr>
        <w:pageBreakBefore w:val="0"/>
        <w:numPr>
          <w:ilvl w:val="0"/>
          <w:numId w:val="29"/>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支持对订阅的监控点进行删除操作，包括单个删除、批量删除。</w:t>
      </w:r>
    </w:p>
    <w:p w14:paraId="6FC07281">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操作记录</w:t>
      </w:r>
    </w:p>
    <w:p w14:paraId="30AC85F8">
      <w:pPr>
        <w:pageBreakBefore w:val="0"/>
        <w:numPr>
          <w:ilvl w:val="0"/>
          <w:numId w:val="30"/>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支持按模块、操作人员 ID、时间范围等维度，查看用户配置的指标采集、告警配置、静默配置、值班人员管理、订阅配置等历史信息。</w:t>
      </w:r>
    </w:p>
    <w:p w14:paraId="22279A87">
      <w:pPr>
        <w:pageBreakBefore w:val="0"/>
        <w:numPr>
          <w:ilvl w:val="0"/>
          <w:numId w:val="30"/>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支持在页面上导出操作记录功能。</w:t>
      </w:r>
    </w:p>
    <w:p w14:paraId="53B766B1">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值班管理</w:t>
      </w:r>
    </w:p>
    <w:p w14:paraId="0D52EBEF">
      <w:pPr>
        <w:pageBreakBefore w:val="0"/>
        <w:numPr>
          <w:ilvl w:val="0"/>
          <w:numId w:val="31"/>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基于不同租户模块，管理员可执行添加值班人员、编辑负责人、复制模块值班人员等常规操作，同时具备删除值班人员、安排协助排班的权限，权限可以分组自定义，高级别分组可协助低级别分组进行操作。默认情况下定义高级人员分组和普通人员分组，高级人员可协助完成排班任务，普通值班人员能便捷查看个人值班信息。</w:t>
      </w:r>
    </w:p>
    <w:p w14:paraId="70057503">
      <w:pPr>
        <w:pageBreakBefore w:val="0"/>
        <w:numPr>
          <w:ilvl w:val="0"/>
          <w:numId w:val="31"/>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支持按模块、值班时间进行排班信息的搜索、导入及复制，同时可参考多个模块进行排班，灵活编辑值班A角、B 角人员，优化排班方案。</w:t>
      </w:r>
    </w:p>
    <w:p w14:paraId="47AE46A3">
      <w:pPr>
        <w:pageBreakBefore w:val="0"/>
        <w:numPr>
          <w:ilvl w:val="0"/>
          <w:numId w:val="31"/>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支持通过IM软件提醒、短信、外呼等方式发送排班提醒和值班提醒。</w:t>
      </w:r>
    </w:p>
    <w:p w14:paraId="1C7A785A">
      <w:pPr>
        <w:pageBreakBefore w:val="0"/>
        <w:numPr>
          <w:ilvl w:val="0"/>
          <w:numId w:val="31"/>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提供便捷的导出管理功能，支持按日期、模块维度查询值班表信息，并可直接导出值班表。</w:t>
      </w:r>
    </w:p>
    <w:p w14:paraId="08E186CF">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运营看板</w:t>
      </w:r>
    </w:p>
    <w:p w14:paraId="15974826">
      <w:pPr>
        <w:pageBreakBefore w:val="0"/>
        <w:numPr>
          <w:ilvl w:val="0"/>
          <w:numId w:val="32"/>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支持对告警工单按工单数量、签收及时率、处置耗时等多种维度进行统计展示，并支持下载统计结果。</w:t>
      </w:r>
    </w:p>
    <w:p w14:paraId="02A7AC6C">
      <w:pPr>
        <w:pageBreakBefore w:val="0"/>
        <w:numPr>
          <w:ilvl w:val="0"/>
          <w:numId w:val="32"/>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支持展示采集任务、监控点、值班组、告警规则执行情况等相关信息。</w:t>
      </w:r>
    </w:p>
    <w:p w14:paraId="785EEC1C">
      <w:pPr>
        <w:pStyle w:val="6"/>
        <w:pageBreakBefore w:val="0"/>
        <w:numPr>
          <w:ilvl w:val="2"/>
          <w:numId w:val="4"/>
        </w:numPr>
        <w:tabs>
          <w:tab w:val="clear" w:pos="0"/>
        </w:tabs>
        <w:kinsoku/>
        <w:wordWrap/>
        <w:overflowPunct/>
        <w:topLinePunct w:val="0"/>
        <w:autoSpaceDE/>
        <w:autoSpaceDN/>
        <w:bidi w:val="0"/>
        <w:spacing w:before="0" w:after="0" w:line="572" w:lineRule="exact"/>
        <w:ind w:left="709" w:leftChars="0" w:hanging="709" w:firstLineChars="0"/>
        <w:jc w:val="both"/>
        <w:outlineLvl w:val="3"/>
        <w:rPr>
          <w:rFonts w:hint="eastAsia" w:ascii="黑体" w:hAnsi="黑体" w:eastAsia="黑体" w:cs="黑体"/>
          <w:b w:val="0"/>
          <w:bCs/>
          <w:color w:val="auto"/>
          <w:sz w:val="24"/>
          <w:szCs w:val="24"/>
          <w:highlight w:val="none"/>
          <w:lang w:val="en"/>
        </w:rPr>
      </w:pPr>
      <w:bookmarkStart w:id="48" w:name="_Toc50056590"/>
      <w:bookmarkStart w:id="49" w:name="_Toc285396182"/>
      <w:bookmarkStart w:id="50" w:name="_Toc7960"/>
      <w:bookmarkStart w:id="51" w:name="_Toc441902176"/>
      <w:bookmarkStart w:id="52" w:name="_Toc267878"/>
      <w:bookmarkStart w:id="53" w:name="_Toc1266404383"/>
      <w:bookmarkStart w:id="54" w:name="_Toc349103165"/>
      <w:r>
        <w:rPr>
          <w:rFonts w:hint="eastAsia" w:ascii="黑体" w:hAnsi="黑体" w:eastAsia="黑体" w:cs="黑体"/>
          <w:b w:val="0"/>
          <w:bCs/>
          <w:color w:val="auto"/>
          <w:sz w:val="24"/>
          <w:szCs w:val="24"/>
          <w:highlight w:val="none"/>
          <w:lang w:val="en"/>
        </w:rPr>
        <w:t>自动化巡检</w:t>
      </w:r>
      <w:bookmarkEnd w:id="48"/>
      <w:bookmarkEnd w:id="49"/>
      <w:bookmarkEnd w:id="50"/>
      <w:bookmarkEnd w:id="51"/>
      <w:bookmarkEnd w:id="52"/>
      <w:bookmarkEnd w:id="53"/>
      <w:bookmarkEnd w:id="54"/>
    </w:p>
    <w:p w14:paraId="1649E607">
      <w:pPr>
        <w:pStyle w:val="18"/>
        <w:pageBreakBefore w:val="0"/>
        <w:kinsoku/>
        <w:wordWrap/>
        <w:overflowPunct/>
        <w:topLinePunct w:val="0"/>
        <w:autoSpaceDE/>
        <w:autoSpaceDN/>
        <w:bidi w:val="0"/>
        <w:spacing w:line="572" w:lineRule="exact"/>
        <w:ind w:left="0" w:leftChars="0" w:firstLine="496" w:firstLineChars="200"/>
        <w:rPr>
          <w:rFonts w:hint="eastAsia" w:ascii="宋体" w:hAnsi="宋体" w:eastAsia="宋体" w:cs="宋体"/>
          <w:color w:val="auto"/>
          <w:sz w:val="24"/>
          <w:szCs w:val="24"/>
          <w:highlight w:val="none"/>
          <w:lang w:val="en-US"/>
        </w:rPr>
      </w:pPr>
      <w:r>
        <w:rPr>
          <w:rFonts w:hint="eastAsia" w:ascii="宋体" w:hAnsi="宋体" w:eastAsia="宋体" w:cs="宋体"/>
          <w:color w:val="auto"/>
          <w:sz w:val="24"/>
          <w:szCs w:val="24"/>
          <w:highlight w:val="none"/>
          <w:lang w:val="en-US"/>
        </w:rPr>
        <w:t>自动化巡检提供系列化、标准化、可定制的自动化测试解决方案，包括接口自动化、UI自动化、APP自动化等多个功能模块，助力系统稳定性和测试效率提升。</w:t>
      </w:r>
      <w:r>
        <w:rPr>
          <w:rFonts w:hint="eastAsia" w:ascii="宋体" w:hAnsi="宋体" w:eastAsia="宋体" w:cs="宋体"/>
          <w:color w:val="auto"/>
          <w:sz w:val="24"/>
          <w:szCs w:val="24"/>
          <w:highlight w:val="none"/>
        </w:rPr>
        <w:t>具体功能要求如下：</w:t>
      </w:r>
    </w:p>
    <w:p w14:paraId="22695293">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巡检总览</w:t>
      </w:r>
    </w:p>
    <w:p w14:paraId="38AB65C9">
      <w:pPr>
        <w:pageBreakBefore w:val="0"/>
        <w:numPr>
          <w:ilvl w:val="0"/>
          <w:numId w:val="33"/>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需支持以项目视角，查看当前项目的整体用例执行情况，包括运行次数、运行时长、平均成功率、失败用例数、缓慢用例数等。</w:t>
      </w:r>
    </w:p>
    <w:p w14:paraId="7A9D0EE3">
      <w:pPr>
        <w:pageBreakBefore w:val="0"/>
        <w:numPr>
          <w:ilvl w:val="0"/>
          <w:numId w:val="33"/>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需支持当前项目近期执行计划列表展示，包括计划名称、最近执行时间、计划类型、告警数量、状态、成功率、执行次数、执行成功用例数、执行失败用例数等数据。</w:t>
      </w:r>
    </w:p>
    <w:p w14:paraId="452FE1D3">
      <w:pPr>
        <w:pageBreakBefore w:val="0"/>
        <w:numPr>
          <w:ilvl w:val="0"/>
          <w:numId w:val="33"/>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需支持当前项目用例运行情况折线图、柱状图展示，最近完成的执行计划的用例数、成功率、验证点成功率的饼状图、以及测试通过率和验证点通过率的折线图展示。</w:t>
      </w:r>
    </w:p>
    <w:p w14:paraId="794CD594">
      <w:pPr>
        <w:pageBreakBefore w:val="0"/>
        <w:numPr>
          <w:ilvl w:val="0"/>
          <w:numId w:val="33"/>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需支持以5分钟、15分钟、30分钟、1小时或其他的自定义间隔进行业务数据的自动刷新。</w:t>
      </w:r>
    </w:p>
    <w:p w14:paraId="79A1F9D0">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巡检数据管理</w:t>
      </w:r>
    </w:p>
    <w:p w14:paraId="718F1BAD">
      <w:pPr>
        <w:pageBreakBefore w:val="0"/>
        <w:numPr>
          <w:ilvl w:val="0"/>
          <w:numId w:val="34"/>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需支持数据池增删改查的能力，以及数据池中数据配置能力，包括数据名称、类型、长度、脱敏类型等。</w:t>
      </w:r>
    </w:p>
    <w:p w14:paraId="3920473B">
      <w:pPr>
        <w:pageBreakBefore w:val="0"/>
        <w:numPr>
          <w:ilvl w:val="0"/>
          <w:numId w:val="34"/>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需支持数据生成器的增删改查的能力，生成器的类型需包括巡检常用的数据类型，例如手机号、列表取值、固定值、中文姓名、自增主键、数字、字符、脚本等。</w:t>
      </w:r>
    </w:p>
    <w:p w14:paraId="5E6A8A0D">
      <w:pPr>
        <w:pageBreakBefore w:val="0"/>
        <w:numPr>
          <w:ilvl w:val="0"/>
          <w:numId w:val="34"/>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需支持数据工厂的增删改查能力，其中数据工厂需支持参数配置（入参配置和上下文配置的增删能力）。</w:t>
      </w:r>
    </w:p>
    <w:p w14:paraId="460D9EBC">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接口巡检管理</w:t>
      </w:r>
    </w:p>
    <w:p w14:paraId="2699D5CE">
      <w:pPr>
        <w:pageBreakBefore w:val="0"/>
        <w:numPr>
          <w:ilvl w:val="0"/>
          <w:numId w:val="35"/>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需支持接口接口树状展示和管理，包括目录增删改、接口增删改、拷贝/移动、批量移动、导入/导出等功能。</w:t>
      </w:r>
    </w:p>
    <w:p w14:paraId="6BCE038D">
      <w:pPr>
        <w:pageBreakBefore w:val="0"/>
        <w:numPr>
          <w:ilvl w:val="0"/>
          <w:numId w:val="35"/>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需支持接口配置管理，包括但不限于协议类型（HTTP、H2、WS等）、地址、请求参数、响应参数、参数值说明等内容设置，以及多种展示方式。</w:t>
      </w:r>
    </w:p>
    <w:p w14:paraId="75C17CBD">
      <w:pPr>
        <w:pageBreakBefore w:val="0"/>
        <w:numPr>
          <w:ilvl w:val="0"/>
          <w:numId w:val="35"/>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需支持接口测试功能，支持多种网络线路选择发起验证并展示返回报文。</w:t>
      </w:r>
    </w:p>
    <w:p w14:paraId="24170880">
      <w:pPr>
        <w:pageBreakBefore w:val="0"/>
        <w:numPr>
          <w:ilvl w:val="0"/>
          <w:numId w:val="35"/>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需支持接口用例用例树状展示和管理，包括目录增删改、用例增删改、拷贝/移动、批量移动、导入/导出等功能。</w:t>
      </w:r>
    </w:p>
    <w:p w14:paraId="591D46CF">
      <w:pPr>
        <w:pageBreakBefore w:val="0"/>
        <w:numPr>
          <w:ilvl w:val="0"/>
          <w:numId w:val="35"/>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需支持单步骤用例配置管理：接口选择和数据准备、数据清理能力，其中数据准备能关联数据工厂进行数据生成。</w:t>
      </w:r>
    </w:p>
    <w:p w14:paraId="5B7BA58F">
      <w:pPr>
        <w:pageBreakBefore w:val="0"/>
        <w:numPr>
          <w:ilvl w:val="0"/>
          <w:numId w:val="35"/>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需支持多步骤用例配置管理，可通过拖拉拽方式完成多步骤用例流程生成，流程步骤包括接口、脚本、if、while、测试逻辑、验证节点等节点类型。</w:t>
      </w:r>
    </w:p>
    <w:p w14:paraId="14689C6E">
      <w:pPr>
        <w:pageBreakBefore w:val="0"/>
        <w:numPr>
          <w:ilvl w:val="0"/>
          <w:numId w:val="35"/>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需支持接口用例执行能力，可选择多种环境发起用例执行并展示返回执行结果，包括执行情况、结果验证、报文、执行日志、请求头、响应头、参数值说明等内容。</w:t>
      </w:r>
    </w:p>
    <w:p w14:paraId="1851B6CB">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UI巡检管理</w:t>
      </w:r>
    </w:p>
    <w:p w14:paraId="0FCB66D5">
      <w:pPr>
        <w:pageBreakBefore w:val="0"/>
        <w:numPr>
          <w:ilvl w:val="0"/>
          <w:numId w:val="36"/>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需支持UI组件的树状展示和管理能力，包括目录增删改、组件增删改、组件克隆、查询版本、查看关联用例等功能。</w:t>
      </w:r>
    </w:p>
    <w:p w14:paraId="4167A20F">
      <w:pPr>
        <w:pageBreakBefore w:val="0"/>
        <w:numPr>
          <w:ilvl w:val="0"/>
          <w:numId w:val="36"/>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需支持UI组件的配置管理，包括组件名称、脚本类型、组件描述、脚本代码等内容编辑能力，以及代码搜索、导入录制文件生成脚本、参数配置等功能。</w:t>
      </w:r>
    </w:p>
    <w:p w14:paraId="6EF8608A">
      <w:pPr>
        <w:pageBreakBefore w:val="0"/>
        <w:numPr>
          <w:ilvl w:val="0"/>
          <w:numId w:val="36"/>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需支持UI用例的树状展示和管理能力，包括目录增删改、克隆用例、删除用例等功能。</w:t>
      </w:r>
    </w:p>
    <w:p w14:paraId="6C41A266">
      <w:pPr>
        <w:pageBreakBefore w:val="0"/>
        <w:numPr>
          <w:ilvl w:val="0"/>
          <w:numId w:val="36"/>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需支持用例新增能力，支持普通用例、组合用例多种类型，需支持拖拉拽等方式完成多步骤用例流程编辑（流程步骤包括但不限于UI、接口、脚本、if、while流程节点选择）。</w:t>
      </w:r>
    </w:p>
    <w:p w14:paraId="12CF7671">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计划管理</w:t>
      </w:r>
    </w:p>
    <w:p w14:paraId="00561FF1">
      <w:pPr>
        <w:pageBreakBefore w:val="0"/>
        <w:numPr>
          <w:ilvl w:val="0"/>
          <w:numId w:val="37"/>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支持巡检计划的增、删、改、克隆、数据配置、报告等配置能力，其中计划配置中需包括重试次数、重试间隔、邮件通知、用例关联、策略配置（环境选择、执行机选择、执行周期模式（定时任务时间表达式、指定日期、按照分钟/小时/天/周/月等方式）。</w:t>
      </w:r>
    </w:p>
    <w:p w14:paraId="5DEDE74F">
      <w:pPr>
        <w:pageBreakBefore w:val="0"/>
        <w:numPr>
          <w:ilvl w:val="0"/>
          <w:numId w:val="37"/>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需支持巡检计划状态的展示，包括计划列表、用例数、批次数量、状态、巡检类型、修改人、修改时间等。</w:t>
      </w:r>
    </w:p>
    <w:p w14:paraId="477F914B">
      <w:pPr>
        <w:pageBreakBefore w:val="0"/>
        <w:numPr>
          <w:ilvl w:val="0"/>
          <w:numId w:val="37"/>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需支持巡检计划的批量管理，包括批量有效、批量失效、批量触发、批量配置等。</w:t>
      </w:r>
    </w:p>
    <w:p w14:paraId="6C317E09">
      <w:pPr>
        <w:pageBreakBefore w:val="0"/>
        <w:numPr>
          <w:ilvl w:val="0"/>
          <w:numId w:val="37"/>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需支持巡检计划的告警规则管理，包括成功率规则、执行缓慢规则、SLO告警规则等。</w:t>
      </w:r>
    </w:p>
    <w:p w14:paraId="176250DC">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巡检报告</w:t>
      </w:r>
    </w:p>
    <w:p w14:paraId="39F8CE73">
      <w:pPr>
        <w:pageBreakBefore w:val="0"/>
        <w:numPr>
          <w:ilvl w:val="0"/>
          <w:numId w:val="38"/>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需支持巡检计划的报告展示能力，包括计划名称、计划批次、执行环境、用例数量、成功率、测试结果、执行时间、执行时长等数据清单展示，以及单个计划的详情展示。</w:t>
      </w:r>
    </w:p>
    <w:p w14:paraId="7FDF6C21">
      <w:pPr>
        <w:pageBreakBefore w:val="0"/>
        <w:numPr>
          <w:ilvl w:val="0"/>
          <w:numId w:val="38"/>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需支持巡检计划的停止、导出等操作，以及根据状态、类型、计划名称、执行时间、成功率范围等方式进行查询的能力。</w:t>
      </w:r>
    </w:p>
    <w:p w14:paraId="105E28EB">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告警管理</w:t>
      </w:r>
    </w:p>
    <w:p w14:paraId="777117E6">
      <w:pPr>
        <w:pageBreakBefore w:val="0"/>
        <w:numPr>
          <w:ilvl w:val="0"/>
          <w:numId w:val="39"/>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需支持巡检计划的告警设置管理：巡检计划的名称、计划类型、告警配置状态、是否发送、告警等级、告警群组、告警规则等内容配置。</w:t>
      </w:r>
    </w:p>
    <w:p w14:paraId="1B5DF6FD">
      <w:pPr>
        <w:pageBreakBefore w:val="0"/>
        <w:numPr>
          <w:ilvl w:val="0"/>
          <w:numId w:val="39"/>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需支持巡检计划的批量有效、批量失效的管理能力和根据计划名称、计划类型、告警等级、告警群组等维度进行查询的能力。</w:t>
      </w:r>
    </w:p>
    <w:p w14:paraId="108EE4A9">
      <w:pPr>
        <w:pageBreakBefore w:val="0"/>
        <w:numPr>
          <w:ilvl w:val="0"/>
          <w:numId w:val="39"/>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需支持巡检计划告警配置变更的记录查询能力：包括但不限于计划名称、计划类型、修改字段、修改前后值、修改时间、操作人等内容，以及根据修改人、计划名称、修改时间进行查询的能力。</w:t>
      </w:r>
    </w:p>
    <w:p w14:paraId="035A10EC">
      <w:pPr>
        <w:pStyle w:val="6"/>
        <w:pageBreakBefore w:val="0"/>
        <w:numPr>
          <w:ilvl w:val="2"/>
          <w:numId w:val="4"/>
        </w:numPr>
        <w:tabs>
          <w:tab w:val="clear" w:pos="0"/>
        </w:tabs>
        <w:kinsoku/>
        <w:wordWrap/>
        <w:overflowPunct/>
        <w:topLinePunct w:val="0"/>
        <w:autoSpaceDE/>
        <w:autoSpaceDN/>
        <w:bidi w:val="0"/>
        <w:spacing w:before="0" w:after="0" w:line="572" w:lineRule="exact"/>
        <w:ind w:left="709" w:leftChars="0" w:hanging="709" w:firstLineChars="0"/>
        <w:jc w:val="both"/>
        <w:outlineLvl w:val="3"/>
        <w:rPr>
          <w:rFonts w:hint="eastAsia" w:ascii="黑体" w:hAnsi="黑体" w:eastAsia="黑体" w:cs="黑体"/>
          <w:b w:val="0"/>
          <w:bCs/>
          <w:color w:val="auto"/>
          <w:sz w:val="24"/>
          <w:szCs w:val="24"/>
          <w:highlight w:val="none"/>
          <w:lang w:val="en"/>
        </w:rPr>
      </w:pPr>
      <w:bookmarkStart w:id="55" w:name="_Toc22671"/>
      <w:bookmarkStart w:id="56" w:name="_Toc1322647123"/>
      <w:bookmarkStart w:id="57" w:name="_Toc207258252"/>
      <w:bookmarkStart w:id="58" w:name="_Toc748039664"/>
      <w:bookmarkStart w:id="59" w:name="_Toc1051420706"/>
      <w:bookmarkStart w:id="60" w:name="_Toc451570551"/>
      <w:bookmarkStart w:id="61" w:name="_Toc1635002153"/>
      <w:r>
        <w:rPr>
          <w:rFonts w:hint="eastAsia" w:ascii="黑体" w:hAnsi="黑体" w:eastAsia="黑体" w:cs="黑体"/>
          <w:b w:val="0"/>
          <w:bCs/>
          <w:color w:val="auto"/>
          <w:sz w:val="24"/>
          <w:szCs w:val="24"/>
          <w:highlight w:val="none"/>
          <w:lang w:val="en"/>
        </w:rPr>
        <w:t>日志中心</w:t>
      </w:r>
      <w:bookmarkEnd w:id="55"/>
      <w:bookmarkEnd w:id="56"/>
      <w:bookmarkEnd w:id="57"/>
      <w:bookmarkEnd w:id="58"/>
      <w:bookmarkEnd w:id="59"/>
      <w:bookmarkEnd w:id="60"/>
      <w:bookmarkEnd w:id="61"/>
    </w:p>
    <w:p w14:paraId="55E13F52">
      <w:pPr>
        <w:pStyle w:val="18"/>
        <w:pageBreakBefore w:val="0"/>
        <w:kinsoku/>
        <w:wordWrap/>
        <w:overflowPunct/>
        <w:topLinePunct w:val="0"/>
        <w:autoSpaceDE/>
        <w:autoSpaceDN/>
        <w:bidi w:val="0"/>
        <w:spacing w:line="572" w:lineRule="exact"/>
        <w:ind w:left="0" w:leftChars="0" w:firstLine="496" w:firstLineChars="200"/>
        <w:rPr>
          <w:rFonts w:hint="eastAsia" w:ascii="宋体" w:hAnsi="宋体" w:eastAsia="宋体" w:cs="宋体"/>
          <w:color w:val="auto"/>
          <w:sz w:val="24"/>
          <w:szCs w:val="24"/>
          <w:highlight w:val="none"/>
          <w:lang w:val="en-US"/>
        </w:rPr>
      </w:pPr>
      <w:r>
        <w:rPr>
          <w:rFonts w:hint="eastAsia" w:ascii="宋体" w:hAnsi="宋体" w:eastAsia="宋体" w:cs="宋体"/>
          <w:color w:val="auto"/>
          <w:sz w:val="24"/>
          <w:szCs w:val="24"/>
          <w:highlight w:val="none"/>
          <w:lang w:val="en-US"/>
        </w:rPr>
        <w:t>基于大数据技术与智能算法来实现离散日志数据的统一采集、处理、存储与查询分析，可应用于统一日志管理、运维监控与分析、故障定位排查等各种业务分析数字化运维和运营场景。</w:t>
      </w:r>
      <w:r>
        <w:rPr>
          <w:rFonts w:hint="eastAsia" w:ascii="宋体" w:hAnsi="宋体" w:eastAsia="宋体" w:cs="宋体"/>
          <w:color w:val="auto"/>
          <w:sz w:val="24"/>
          <w:szCs w:val="24"/>
          <w:highlight w:val="none"/>
        </w:rPr>
        <w:t>具体功能要求如下：</w:t>
      </w:r>
    </w:p>
    <w:p w14:paraId="3CA14B13">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采集管理</w:t>
      </w:r>
    </w:p>
    <w:p w14:paraId="735F62C6">
      <w:pPr>
        <w:pageBreakBefore w:val="0"/>
        <w:numPr>
          <w:ilvl w:val="0"/>
          <w:numId w:val="40"/>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支持统一界面集成管理至少超过20种数据源采集能力（包括阿里云SLS、DB2、HBase等），按应用名称快速搜索目标采集类型。</w:t>
      </w:r>
    </w:p>
    <w:p w14:paraId="3862C1F6">
      <w:pPr>
        <w:pageBreakBefore w:val="0"/>
        <w:numPr>
          <w:ilvl w:val="0"/>
          <w:numId w:val="40"/>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支持任务名称、密钥认证、服务端点等核心参数的标准化配置，必填项通过星号标识确保配置完整性，提供模板分组、任务标签等元数据管理字段。</w:t>
      </w:r>
    </w:p>
    <w:p w14:paraId="6A811D51">
      <w:pPr>
        <w:pageBreakBefore w:val="0"/>
        <w:numPr>
          <w:ilvl w:val="0"/>
          <w:numId w:val="40"/>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支持批量任务操作管理，提供开始、暂停、删除等批量操作按钮。</w:t>
      </w:r>
    </w:p>
    <w:p w14:paraId="679CC03C">
      <w:pPr>
        <w:pageBreakBefore w:val="0"/>
        <w:numPr>
          <w:ilvl w:val="0"/>
          <w:numId w:val="40"/>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支持高级筛选和搜索功能（按任务名称、主机IP等）。</w:t>
      </w:r>
    </w:p>
    <w:p w14:paraId="4F831CF8">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Agent管理</w:t>
      </w:r>
    </w:p>
    <w:p w14:paraId="0E0F36FC">
      <w:pPr>
        <w:pageBreakBefore w:val="0"/>
        <w:numPr>
          <w:ilvl w:val="0"/>
          <w:numId w:val="41"/>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支持Agent配置规则的集中管理界面，支持按规则名称、Agent版本、主机标签等多维度筛选查询，展示配置名称、关联主机数、最后编辑时间等核心信息。</w:t>
      </w:r>
    </w:p>
    <w:p w14:paraId="6685836D">
      <w:pPr>
        <w:pageBreakBefore w:val="0"/>
        <w:numPr>
          <w:ilvl w:val="0"/>
          <w:numId w:val="41"/>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支持配置规则名称、适配Agent版本、主机标签等基础信息，支持JSON/XML/YAML/Properties等多种格式编辑。</w:t>
      </w:r>
    </w:p>
    <w:p w14:paraId="2FCCD3B0">
      <w:pPr>
        <w:pageBreakBefore w:val="0"/>
        <w:numPr>
          <w:ilvl w:val="0"/>
          <w:numId w:val="41"/>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支持熔断规则的集中管理界面，支持按规则名称、Agent名称、系统类型（Linux/Windows）等多维度筛选查询，展示CPU/内存/磁盘使用率等关键阈值及编辑时间或其他维度关键指标。</w:t>
      </w:r>
    </w:p>
    <w:p w14:paraId="669C8B1C">
      <w:pPr>
        <w:pageBreakBefore w:val="0"/>
        <w:numPr>
          <w:ilvl w:val="0"/>
          <w:numId w:val="41"/>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支持配置基础信息规则名称、操作系统、Agent版本和熔断阈值，支持监控频率、连续超阈次数等参数自定义。内置自动恢复机制，提供分区磁盘、Socket连接数等可开关的熔断指标。</w:t>
      </w:r>
    </w:p>
    <w:p w14:paraId="498DE232">
      <w:pPr>
        <w:pageBreakBefore w:val="0"/>
        <w:numPr>
          <w:ilvl w:val="0"/>
          <w:numId w:val="41"/>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支持高危命令的列表展示与维护界面，支持按名称、命令内容、处理方式等条件筛选，展示命令名称、正则表达式、类型、描述等核心信息。</w:t>
      </w:r>
    </w:p>
    <w:p w14:paraId="739B945E">
      <w:pPr>
        <w:pageBreakBefore w:val="0"/>
        <w:numPr>
          <w:ilvl w:val="0"/>
          <w:numId w:val="41"/>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支持配置高危命令，强制校验名称与命令表达式等功能。</w:t>
      </w:r>
    </w:p>
    <w:p w14:paraId="729B284F">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数据开发</w:t>
      </w:r>
    </w:p>
    <w:p w14:paraId="6BDE862C">
      <w:pPr>
        <w:pageBreakBefore w:val="0"/>
        <w:numPr>
          <w:ilvl w:val="0"/>
          <w:numId w:val="42"/>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支持拖拽式组件面板（数据源、数据处理等类型组件），通过图形化方式配置数据处理流程，内置JSON转换、字段提取、XML解析等常用数据处理组件，可灵活组合构建数据处理任务。</w:t>
      </w:r>
    </w:p>
    <w:p w14:paraId="2415CCB4">
      <w:pPr>
        <w:pageBreakBefore w:val="0"/>
        <w:numPr>
          <w:ilvl w:val="0"/>
          <w:numId w:val="42"/>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支持作业列表展示与操作界面，按名称、类型、状态等多条件筛选，展示作业名称、状态、数据分类、消费组等核心信息。</w:t>
      </w:r>
    </w:p>
    <w:p w14:paraId="4B130189">
      <w:pPr>
        <w:pageBreakBefore w:val="0"/>
        <w:numPr>
          <w:ilvl w:val="0"/>
          <w:numId w:val="42"/>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支持作业的启动、停止、暂停、导入、导出操作管理。</w:t>
      </w:r>
    </w:p>
    <w:p w14:paraId="57C05A0B">
      <w:pPr>
        <w:pageBreakBefore w:val="0"/>
        <w:numPr>
          <w:ilvl w:val="0"/>
          <w:numId w:val="42"/>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支持将配置完成的作业保存为模板。</w:t>
      </w:r>
    </w:p>
    <w:p w14:paraId="5F23EF34">
      <w:pPr>
        <w:pageBreakBefore w:val="0"/>
        <w:numPr>
          <w:ilvl w:val="0"/>
          <w:numId w:val="42"/>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支持作业运行状态实时监控界面，支持按运行中、停止等状态分类展示，并显示主机IP、端口及启动时间等关键运维信息。</w:t>
      </w:r>
    </w:p>
    <w:p w14:paraId="569419E1">
      <w:pPr>
        <w:pageBreakBefore w:val="0"/>
        <w:numPr>
          <w:ilvl w:val="0"/>
          <w:numId w:val="42"/>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支持按作业名称、类型、状态及主机端口等条件组合筛选查询。</w:t>
      </w:r>
    </w:p>
    <w:p w14:paraId="13F446F2">
      <w:pPr>
        <w:pageBreakBefore w:val="0"/>
        <w:numPr>
          <w:ilvl w:val="0"/>
          <w:numId w:val="42"/>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支持错误日志关联展示，便于快速定位异常作业，确保运维人员及时掌握作业执行情况。</w:t>
      </w:r>
    </w:p>
    <w:p w14:paraId="3D7BCFD5">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数据资产</w:t>
      </w:r>
    </w:p>
    <w:p w14:paraId="31498671">
      <w:pPr>
        <w:pageBreakBefore w:val="0"/>
        <w:numPr>
          <w:ilvl w:val="0"/>
          <w:numId w:val="43"/>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支持数据连接列表的增删改查功能，按名称、类、标签多条件筛选，展示连接地址、创建/更新时间及责任人等元数据，并通过导出、删除操作实现连接配置的闭环管理。</w:t>
      </w:r>
    </w:p>
    <w:p w14:paraId="2E62022E">
      <w:pPr>
        <w:pageBreakBefore w:val="0"/>
        <w:numPr>
          <w:ilvl w:val="0"/>
          <w:numId w:val="43"/>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支持配置流式数据基本信息（名称、类型、分类、标签）和连接信息，需支持HTTP等数据源类型。</w:t>
      </w:r>
    </w:p>
    <w:p w14:paraId="1DE1D678">
      <w:pPr>
        <w:pageBreakBefore w:val="0"/>
        <w:numPr>
          <w:ilvl w:val="0"/>
          <w:numId w:val="43"/>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树形目录结构展示数据分类，按地域和业务类型进行多维度分类管理，需支持展示流式数据列表，名称、类型、连接信息、Topic等核心字段，支持按名称、类型、标签等多条件筛选，并提供导出、删除等操作功能。</w:t>
      </w:r>
    </w:p>
    <w:p w14:paraId="1983E2FB">
      <w:pPr>
        <w:pageBreakBefore w:val="0"/>
        <w:numPr>
          <w:ilvl w:val="0"/>
          <w:numId w:val="43"/>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支持树形目录结构展示数据分类，按业务域对数据表进行组织管理。</w:t>
      </w:r>
    </w:p>
    <w:p w14:paraId="7D5FA804">
      <w:pPr>
        <w:pageBreakBefore w:val="0"/>
        <w:numPr>
          <w:ilvl w:val="0"/>
          <w:numId w:val="43"/>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展示数据表清单，名称、存储表名、状态、分类标签等核心字段，支持多条件筛选和批量操作。</w:t>
      </w:r>
    </w:p>
    <w:p w14:paraId="7B16FE94">
      <w:pPr>
        <w:pageBreakBefore w:val="0"/>
        <w:numPr>
          <w:ilvl w:val="0"/>
          <w:numId w:val="43"/>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支持常规数据表、日志数据表、时序数据表和调用链数据表四种类型创建，提供字段添加、排序、数据字典绑定等功能，支持表结构可视化预览每种类型提供预定义模板和字段规范。</w:t>
      </w:r>
    </w:p>
    <w:p w14:paraId="50BB05A4">
      <w:pPr>
        <w:pageBreakBefore w:val="0"/>
        <w:numPr>
          <w:ilvl w:val="0"/>
          <w:numId w:val="43"/>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支持ClickHouse等多种存储类型选择，可配置集群、数据库、分区方式等存储参数，提供数据保留策略设置（永久/定期清理）。</w:t>
      </w:r>
    </w:p>
    <w:p w14:paraId="7C7ADB76">
      <w:pPr>
        <w:pageBreakBefore w:val="0"/>
        <w:numPr>
          <w:ilvl w:val="0"/>
          <w:numId w:val="43"/>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支持图形化界面展示数据从源端再到存储端的完整流转链路，使用节点框与方向箭头进行展示。</w:t>
      </w:r>
    </w:p>
    <w:p w14:paraId="581A2F4C">
      <w:pPr>
        <w:pageBreakBefore w:val="0"/>
        <w:numPr>
          <w:ilvl w:val="0"/>
          <w:numId w:val="43"/>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支持按数据类型、数据名称等条件进行筛选。</w:t>
      </w:r>
    </w:p>
    <w:p w14:paraId="22A38A1C">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主机管理</w:t>
      </w:r>
    </w:p>
    <w:p w14:paraId="2E6D8E15">
      <w:pPr>
        <w:pageBreakBefore w:val="0"/>
        <w:numPr>
          <w:ilvl w:val="0"/>
          <w:numId w:val="44"/>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支持主机列表的集中管理界面，支持按IP、名称、状态等多维度筛选，展示主机IP、操作系统、CPU/内存使用率等核心指标。</w:t>
      </w:r>
    </w:p>
    <w:p w14:paraId="1497B1E8">
      <w:pPr>
        <w:pageBreakBefore w:val="0"/>
        <w:numPr>
          <w:ilvl w:val="0"/>
          <w:numId w:val="44"/>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支持主机标签功能，通过标签快速分类管理主机资源，并实时统计主机总数、在线/离线状态等全局数据。</w:t>
      </w:r>
    </w:p>
    <w:p w14:paraId="70D57628">
      <w:pPr>
        <w:pageBreakBefore w:val="0"/>
        <w:numPr>
          <w:ilvl w:val="0"/>
          <w:numId w:val="44"/>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支持对主机进行安装、升级等批量操作，提供插件管理能力。</w:t>
      </w:r>
    </w:p>
    <w:p w14:paraId="5156F493">
      <w:pPr>
        <w:pageBreakBefore w:val="0"/>
        <w:numPr>
          <w:ilvl w:val="0"/>
          <w:numId w:val="44"/>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支持AIX、CentOS、Windows等操作系统在整个标段中各功能模块的接入。</w:t>
      </w:r>
    </w:p>
    <w:p w14:paraId="09125CB3">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日志查询</w:t>
      </w:r>
    </w:p>
    <w:p w14:paraId="51C28B55">
      <w:pPr>
        <w:pageBreakBefore w:val="0"/>
        <w:numPr>
          <w:ilvl w:val="0"/>
          <w:numId w:val="45"/>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支持对接入系统日志通过不同关键字、SPL语句进行日志信息列表查询。需支持查看日志使用字段，通过字段进行过滤。</w:t>
      </w:r>
    </w:p>
    <w:p w14:paraId="604DCF51">
      <w:pPr>
        <w:pageBreakBefore w:val="0"/>
        <w:numPr>
          <w:ilvl w:val="0"/>
          <w:numId w:val="45"/>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支持日志快捷查询，自由使用AND、OR和使用字段快速构建查询条件。</w:t>
      </w:r>
    </w:p>
    <w:p w14:paraId="71871BDA">
      <w:pPr>
        <w:pageBreakBefore w:val="0"/>
        <w:numPr>
          <w:ilvl w:val="0"/>
          <w:numId w:val="45"/>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支持对接入系统日志的集群信息查看CPU使用情况、内存使用情况、磁盘使用情况、消费延迟。</w:t>
      </w:r>
    </w:p>
    <w:p w14:paraId="3C0B8090">
      <w:pPr>
        <w:pageBreakBefore w:val="0"/>
        <w:numPr>
          <w:ilvl w:val="0"/>
          <w:numId w:val="45"/>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支持对接入系统日志按时序、数量、分组字段、时间粒度展示聚合分析结果，结果需支持折线图、柱状图、面积图展示，需支持将结果导出Excel、图片。</w:t>
      </w:r>
    </w:p>
    <w:p w14:paraId="54D2F4C6">
      <w:pPr>
        <w:pageBreakBefore w:val="0"/>
        <w:numPr>
          <w:ilvl w:val="0"/>
          <w:numId w:val="45"/>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支持敏感数据在传输、存储和访问的任何阶段进行加密，且应提供相应的解密功能，只有授权用户才能访问敏感信息。</w:t>
      </w:r>
    </w:p>
    <w:p w14:paraId="65807CBE">
      <w:pPr>
        <w:pageBreakBefore w:val="0"/>
        <w:numPr>
          <w:ilvl w:val="0"/>
          <w:numId w:val="45"/>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支持系统中敏感数据的定义应可配置，传输、存储和访问的任何阶段的加解密操作都可以自定义进行配置。</w:t>
      </w:r>
    </w:p>
    <w:p w14:paraId="567CA493">
      <w:pPr>
        <w:pageBreakBefore w:val="0"/>
        <w:numPr>
          <w:ilvl w:val="0"/>
          <w:numId w:val="45"/>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支持AES、3DES、Twofish加解密算法。</w:t>
      </w:r>
    </w:p>
    <w:p w14:paraId="475B8ED5">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日志监控</w:t>
      </w:r>
    </w:p>
    <w:p w14:paraId="3EA4160E">
      <w:pPr>
        <w:pageBreakBefore w:val="0"/>
        <w:numPr>
          <w:ilvl w:val="0"/>
          <w:numId w:val="46"/>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支持通过聚合设置（按关键词/异常检测筛选日志）、触发条件（静态阈值或同环比检测）及分级告警阈值等方式匹配异常。</w:t>
      </w:r>
    </w:p>
    <w:p w14:paraId="3ED37396">
      <w:pPr>
        <w:pageBreakBefore w:val="0"/>
        <w:numPr>
          <w:ilvl w:val="0"/>
          <w:numId w:val="46"/>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监控配置需支持但不限于绑定告警级别、值班组和通知方式。</w:t>
      </w:r>
    </w:p>
    <w:p w14:paraId="752138D3">
      <w:pPr>
        <w:pageBreakBefore w:val="0"/>
        <w:numPr>
          <w:ilvl w:val="0"/>
          <w:numId w:val="46"/>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监控配置需支持但不限于通过收敛规则（如服务个数/时间窗口）、静默时段等机制优化告警触达。</w:t>
      </w:r>
    </w:p>
    <w:p w14:paraId="33F282C5">
      <w:pPr>
        <w:pageBreakBefore w:val="0"/>
        <w:numPr>
          <w:ilvl w:val="0"/>
          <w:numId w:val="46"/>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监控配置需支持默认或自定义描述模板（含动态变量），可选携带原始日志，并需支持独立设置告警触发与恢复的通知模板。</w:t>
      </w:r>
    </w:p>
    <w:p w14:paraId="5CF43C37">
      <w:pPr>
        <w:pageBreakBefore w:val="0"/>
        <w:numPr>
          <w:ilvl w:val="0"/>
          <w:numId w:val="46"/>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支持通过模式ID、告警级别、服务名、值班人等字段（需支持模糊匹配）灵活过滤告警数据，呈现告警级别、服务名、发现时间、同环比波动、通知状态及负责人等关键信息。</w:t>
      </w:r>
    </w:p>
    <w:p w14:paraId="42A9A0DC">
      <w:pPr>
        <w:pageBreakBefore w:val="0"/>
        <w:numPr>
          <w:ilvl w:val="0"/>
          <w:numId w:val="46"/>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支持展示指定时间段（默认昨日今日）告警区间异常趋势图。</w:t>
      </w:r>
    </w:p>
    <w:p w14:paraId="4E98E6CB">
      <w:pPr>
        <w:pageBreakBefore w:val="0"/>
        <w:numPr>
          <w:ilvl w:val="0"/>
          <w:numId w:val="46"/>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支持监控查询内容导出操作。</w:t>
      </w:r>
    </w:p>
    <w:p w14:paraId="431F67E5">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异常检测</w:t>
      </w:r>
    </w:p>
    <w:p w14:paraId="1F37505D">
      <w:pPr>
        <w:pageBreakBefore w:val="0"/>
        <w:numPr>
          <w:ilvl w:val="0"/>
          <w:numId w:val="47"/>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支持按状态、服务、模式ID、异常类型等条件组合过滤异常检测模式信息，展示各服务指定日期（默认为今日/昨日）的日志量、同比变化及异常类型（如业务/技术异常）。</w:t>
      </w:r>
    </w:p>
    <w:p w14:paraId="72F954CB">
      <w:pPr>
        <w:pageBreakBefore w:val="0"/>
        <w:numPr>
          <w:ilvl w:val="0"/>
          <w:numId w:val="47"/>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支持快速识别高频异常模式，并关联指定日期（默认为今日/昨日）趋势图，直观对比日志量波动。</w:t>
      </w:r>
    </w:p>
    <w:p w14:paraId="06FBF5DF">
      <w:pPr>
        <w:pageBreakBefore w:val="0"/>
        <w:numPr>
          <w:ilvl w:val="0"/>
          <w:numId w:val="47"/>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支持模式分析内容导出操作以便快速定位模式内容。</w:t>
      </w:r>
    </w:p>
    <w:p w14:paraId="1C5A7EF8">
      <w:pPr>
        <w:pageBreakBefore w:val="0"/>
        <w:numPr>
          <w:ilvl w:val="0"/>
          <w:numId w:val="47"/>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支持按状态、类型、模式ID、日志内容关键词（需支持模糊匹配查询）查询系统接入日志特定异常模式呈现状态、类型、ID、日志模板、更新时间等。</w:t>
      </w:r>
    </w:p>
    <w:p w14:paraId="4C419557">
      <w:pPr>
        <w:pageBreakBefore w:val="0"/>
        <w:numPr>
          <w:ilvl w:val="0"/>
          <w:numId w:val="47"/>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支持对系统下模式进行模式别名、模式状态、重要模板进行打标修改。</w:t>
      </w:r>
    </w:p>
    <w:p w14:paraId="0633F0A2">
      <w:pPr>
        <w:pageBreakBefore w:val="0"/>
        <w:numPr>
          <w:ilvl w:val="0"/>
          <w:numId w:val="47"/>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支持通过类型筛选（全部、技术类型或业务类型）、关键词搜索及时间范围选择快速过滤日志数据，并以图表形式对比指定时间段（默认今日与昨日）的日志分布趋势（如具体时间点的日志量波动）。</w:t>
      </w:r>
    </w:p>
    <w:p w14:paraId="08A08BC2">
      <w:pPr>
        <w:pageBreakBefore w:val="0"/>
        <w:numPr>
          <w:ilvl w:val="0"/>
          <w:numId w:val="47"/>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支持单条日志的完整解析，包括但不限于精确时间戳、主机IP、应用名称、错误级别，可追溯日志属性和日志上下文。</w:t>
      </w:r>
    </w:p>
    <w:p w14:paraId="7502E8B4">
      <w:pPr>
        <w:pageBreakBefore w:val="0"/>
        <w:numPr>
          <w:ilvl w:val="0"/>
          <w:numId w:val="47"/>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支持数据可视化需求，包括但不限于支持Grafana实现日志的各种仪表盘与统计图表可视化能力，进行大屏数据展示。实现组件层、应用层日志可视化图表场景展示能力。</w:t>
      </w:r>
    </w:p>
    <w:p w14:paraId="24E85F49">
      <w:pPr>
        <w:pageBreakBefore w:val="0"/>
        <w:numPr>
          <w:ilvl w:val="0"/>
          <w:numId w:val="47"/>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支持按系统配置系统接入日志模式识、忽略关键字。</w:t>
      </w:r>
    </w:p>
    <w:p w14:paraId="07DA526E">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异常检测总览</w:t>
      </w:r>
    </w:p>
    <w:p w14:paraId="426210A2">
      <w:pPr>
        <w:pageBreakBefore w:val="0"/>
        <w:numPr>
          <w:ilvl w:val="0"/>
          <w:numId w:val="48"/>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支持以系统视角查询系统下服务模式、监控服务数、技术类异常模式、业务类异常模式、技术类异常模式类型数及周同比、日同比等数据维度，总览异常检测模式信息。</w:t>
      </w:r>
    </w:p>
    <w:p w14:paraId="2A0ED09F">
      <w:pPr>
        <w:pageBreakBefore w:val="0"/>
        <w:numPr>
          <w:ilvl w:val="0"/>
          <w:numId w:val="48"/>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支持以系统视角查询系统下指定时间点的（默认昨日、今日）告警趋势图。</w:t>
      </w:r>
    </w:p>
    <w:p w14:paraId="1F19FE66">
      <w:pPr>
        <w:pageBreakBefore w:val="0"/>
        <w:numPr>
          <w:ilvl w:val="0"/>
          <w:numId w:val="48"/>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支持以系统视角查询系统下关键异常模式趋势图、异常模式趋势TOP-N（N默认为5）趋势图。</w:t>
      </w:r>
    </w:p>
    <w:p w14:paraId="62B586FF">
      <w:pPr>
        <w:pageBreakBefore w:val="0"/>
        <w:numPr>
          <w:ilvl w:val="0"/>
          <w:numId w:val="48"/>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支持以系统视角查询系统下异常模式占比TOP-N（N默认为10）的可视化图表（如饼图）。</w:t>
      </w:r>
    </w:p>
    <w:p w14:paraId="5777D2F6">
      <w:pPr>
        <w:pageBreakBefore w:val="0"/>
        <w:numPr>
          <w:ilvl w:val="0"/>
          <w:numId w:val="48"/>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支持以系统视角查询系统下接入服务日志的正常、异常分布等核心状态。</w:t>
      </w:r>
    </w:p>
    <w:p w14:paraId="1137A3DC">
      <w:pPr>
        <w:pageBreakBefore w:val="0"/>
        <w:numPr>
          <w:ilvl w:val="0"/>
          <w:numId w:val="48"/>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支持以系统视角查询系统下技术类模式趋势图、模式类型TOP-N（N默认为5）趋势图。</w:t>
      </w:r>
    </w:p>
    <w:p w14:paraId="2B0FFC4A">
      <w:pPr>
        <w:pageBreakBefore w:val="0"/>
        <w:numPr>
          <w:ilvl w:val="0"/>
          <w:numId w:val="48"/>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支持以系统视角查询系统下业务类模式趋势图。</w:t>
      </w:r>
    </w:p>
    <w:p w14:paraId="392DAD6F">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运维管理</w:t>
      </w:r>
    </w:p>
    <w:p w14:paraId="479ED6B6">
      <w:pPr>
        <w:pageBreakBefore w:val="0"/>
        <w:numPr>
          <w:ilvl w:val="0"/>
          <w:numId w:val="49"/>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支持Pipeline解析异常的实时监控界面，支持按名称、类型及时间范围等关键信息查询，展示各数据项异常数量。</w:t>
      </w:r>
    </w:p>
    <w:p w14:paraId="10687D39">
      <w:pPr>
        <w:pageBreakBefore w:val="0"/>
        <w:numPr>
          <w:ilvl w:val="0"/>
          <w:numId w:val="49"/>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支持消息队列处理、主题、消费组的实时数据监控，展示生产数据量、消费数据量及积压数据量。</w:t>
      </w:r>
    </w:p>
    <w:p w14:paraId="26A604E6">
      <w:pPr>
        <w:pageBreakBefore w:val="0"/>
        <w:numPr>
          <w:ilvl w:val="0"/>
          <w:numId w:val="49"/>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支持数据表名称、分类、总储存量、记录条数等核心指标的集中监控界面，支持按名称和时间范围筛选查询。</w:t>
      </w:r>
    </w:p>
    <w:p w14:paraId="0C4F1CB4">
      <w:pPr>
        <w:pageBreakBefore w:val="0"/>
        <w:numPr>
          <w:ilvl w:val="0"/>
          <w:numId w:val="49"/>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支持流式数据总数、数据表总数、API调用量等核心指标的实时统计看板，支持近24小时数据量趋势展示。</w:t>
      </w:r>
    </w:p>
    <w:p w14:paraId="0484A96C">
      <w:pPr>
        <w:pageBreakBefore w:val="0"/>
        <w:numPr>
          <w:ilvl w:val="0"/>
          <w:numId w:val="49"/>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支持异常监控模块实时预警数据表接入失败、运行异常作业等关键问题。</w:t>
      </w:r>
    </w:p>
    <w:p w14:paraId="75D1EC36">
      <w:pPr>
        <w:pageBreakBefore w:val="0"/>
        <w:numPr>
          <w:ilvl w:val="0"/>
          <w:numId w:val="49"/>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支持展示数据处理各环节指标，以双轴图表同步呈现记录数与字节数变化。</w:t>
      </w:r>
    </w:p>
    <w:p w14:paraId="23AFC830">
      <w:pPr>
        <w:pageBreakBefore w:val="0"/>
        <w:numPr>
          <w:ilvl w:val="0"/>
          <w:numId w:val="49"/>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支持展示Pipeline流作业数据，图表化对比导入记录、错误记录等维度。</w:t>
      </w:r>
    </w:p>
    <w:p w14:paraId="688556A3">
      <w:pPr>
        <w:pStyle w:val="6"/>
        <w:pageBreakBefore w:val="0"/>
        <w:numPr>
          <w:ilvl w:val="2"/>
          <w:numId w:val="4"/>
        </w:numPr>
        <w:tabs>
          <w:tab w:val="clear" w:pos="0"/>
        </w:tabs>
        <w:kinsoku/>
        <w:wordWrap/>
        <w:overflowPunct/>
        <w:topLinePunct w:val="0"/>
        <w:autoSpaceDE/>
        <w:autoSpaceDN/>
        <w:bidi w:val="0"/>
        <w:spacing w:before="0" w:after="0" w:line="572" w:lineRule="exact"/>
        <w:ind w:left="709" w:leftChars="0" w:hanging="709" w:firstLineChars="0"/>
        <w:jc w:val="both"/>
        <w:outlineLvl w:val="3"/>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CMDB</w:t>
      </w:r>
    </w:p>
    <w:p w14:paraId="5A1421FF">
      <w:pPr>
        <w:pStyle w:val="12"/>
        <w:pageBreakBefore w:val="0"/>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通过配置的采集与纳管，统一模型，统一清洗与打标，通过关联关系，快速查找，快速定位配置项拓扑与基线，从而清晰的展示配置的完整生命周期，并对其他产品赋能。具体功能要求如下：</w:t>
      </w:r>
    </w:p>
    <w:p w14:paraId="00C5889E">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搜索</w:t>
      </w:r>
    </w:p>
    <w:p w14:paraId="0EEE2F28">
      <w:pPr>
        <w:pStyle w:val="12"/>
        <w:pageBreakBefore w:val="0"/>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需支持查询各类纳管数据，支持常用快捷场景查询，展示常用快捷场景关联IT资产数据。快捷场景例如：主机查询、网络设备查询等。</w:t>
      </w:r>
    </w:p>
    <w:p w14:paraId="0E913EF1">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应用管理</w:t>
      </w:r>
    </w:p>
    <w:p w14:paraId="628FC2A1">
      <w:pPr>
        <w:pageBreakBefore w:val="0"/>
        <w:numPr>
          <w:ilvl w:val="0"/>
          <w:numId w:val="50"/>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支持将仓库中类型为应用的配置独立出来进行管理，系统应提供应用树形结构展示功能，支持业务分组、业务系统、应用系统的层级管理。</w:t>
      </w:r>
    </w:p>
    <w:p w14:paraId="3CDBF0E5">
      <w:pPr>
        <w:pageBreakBefore w:val="0"/>
        <w:numPr>
          <w:ilvl w:val="0"/>
          <w:numId w:val="50"/>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支持应用管理功能，支持应用名称、应用编码、运维负责人、描述等关键信息的新增、编辑、删除操作；新增时关键属性（如名称、编编码）需满足唯一性校验，删除时需进行二次确认。 </w:t>
      </w:r>
    </w:p>
    <w:p w14:paraId="1B805519">
      <w:pPr>
        <w:pageBreakBefore w:val="0"/>
        <w:numPr>
          <w:ilvl w:val="0"/>
          <w:numId w:val="50"/>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系统应支持应用授权机制，支持角色级访问控制（仅授权角色可查看应用）。</w:t>
      </w:r>
    </w:p>
    <w:p w14:paraId="0CA983A9">
      <w:pPr>
        <w:pageBreakBefore w:val="0"/>
        <w:numPr>
          <w:ilvl w:val="0"/>
          <w:numId w:val="50"/>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需支持应用数据的文件导入/导出：导出功能应包含应用属性及关联关系数据，导入功能需提供标准模板下载（含字段规范说明）。</w:t>
      </w:r>
    </w:p>
    <w:p w14:paraId="688F4E84">
      <w:pPr>
        <w:pageBreakBefore w:val="0"/>
        <w:numPr>
          <w:ilvl w:val="0"/>
          <w:numId w:val="50"/>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需支持以应用视角查询配置类型、关系，支持拓扑图形式的关系展示、关系管理。</w:t>
      </w:r>
    </w:p>
    <w:p w14:paraId="1AEB5BA2">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资源维护组管理</w:t>
      </w:r>
    </w:p>
    <w:p w14:paraId="6DD25C38">
      <w:pPr>
        <w:pageBreakBefore w:val="0"/>
        <w:numPr>
          <w:ilvl w:val="0"/>
          <w:numId w:val="51"/>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系统应提供双模式维护组视图，需展示信息包含维护组、维护组配置数量、30天变更数量等；支持权限控制，非管理员可以查看我参与的维护组，仅显示当前用户权限的数据，管理员可以查看所有维护组数据。</w:t>
      </w:r>
    </w:p>
    <w:p w14:paraId="5C9F59C0">
      <w:pPr>
        <w:pageBreakBefore w:val="0"/>
        <w:numPr>
          <w:ilvl w:val="0"/>
          <w:numId w:val="51"/>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提供维护组管理能力，包含新增、修改、解散维护组等功能；新增修改包括但不限于以下关键信息：维护组名称、配置项维护角色、配置项查看角色、配置新增/变更通知订阅等；维护组查询需支持根据维护组名称进行查询。</w:t>
      </w:r>
    </w:p>
    <w:p w14:paraId="6DBC9C3B">
      <w:pPr>
        <w:pageBreakBefore w:val="0"/>
        <w:numPr>
          <w:ilvl w:val="0"/>
          <w:numId w:val="51"/>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提供维护组下的配置管理能力，包含名称、创建时间、标签、配置类型、维护组等信息的新增、修改、删除、文件导入、文件导出、配置移交、配置合并、配置查询等功能；配置查询需支持根据配置项名称、配置项类型、配置项自定义字段。</w:t>
      </w:r>
    </w:p>
    <w:p w14:paraId="3988BCFF">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拓扑管理</w:t>
      </w:r>
    </w:p>
    <w:p w14:paraId="398938D2">
      <w:pPr>
        <w:pageBreakBefore w:val="0"/>
        <w:numPr>
          <w:ilvl w:val="0"/>
          <w:numId w:val="52"/>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需提供拓扑管理功能，支持名称、类型、维护人员、拓扑描述等关键信息的新增、修改，支持根据拓扑图名称模糊查询拓扑图，展示支持删除进行二次确认。</w:t>
      </w:r>
    </w:p>
    <w:p w14:paraId="6850FF32">
      <w:pPr>
        <w:pageBreakBefore w:val="0"/>
        <w:numPr>
          <w:ilvl w:val="0"/>
          <w:numId w:val="52"/>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提供拖拽式画布功能，支持通过配置项实例名称查询选择配置项实例拖到画布中，生成拓扑节点，支持通过容器将多个实例直接创建拓扑，支持通过拓扑名称查询选择已有拓扑图拖到画布中，生成拓扑节点，支持通过直线、折线来连接节点构建应用、配置项、容器、拓扑之间的关系。</w:t>
      </w:r>
    </w:p>
    <w:p w14:paraId="6582232B">
      <w:pPr>
        <w:pageBreakBefore w:val="0"/>
        <w:numPr>
          <w:ilvl w:val="0"/>
          <w:numId w:val="52"/>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需提供分享、评论、发布等功能，支持通过链接形式进行拓扑图分享，支持拓扑图发布/撤销操作。</w:t>
      </w:r>
    </w:p>
    <w:p w14:paraId="6A7D26BB">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配置仓库管理</w:t>
      </w:r>
    </w:p>
    <w:p w14:paraId="5B9F4525">
      <w:pPr>
        <w:pageBreakBefore w:val="0"/>
        <w:numPr>
          <w:ilvl w:val="0"/>
          <w:numId w:val="53"/>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配置仓库需提供配置分组功能，支持将配置项自定义分组，支持根据配置项名称查询配置项。</w:t>
      </w:r>
    </w:p>
    <w:p w14:paraId="7439C8AA">
      <w:pPr>
        <w:pageBreakBefore w:val="0"/>
        <w:numPr>
          <w:ilvl w:val="0"/>
          <w:numId w:val="53"/>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支持跳转详情列表，展示内容包含但不限于配置项名称、创建时间、标签、更新时间等基础信息和配置项自定义信息。</w:t>
      </w:r>
    </w:p>
    <w:p w14:paraId="0983FADF">
      <w:pPr>
        <w:pageBreakBefore w:val="0"/>
        <w:numPr>
          <w:ilvl w:val="0"/>
          <w:numId w:val="53"/>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支持配置项高级查询，包含但不限于配置项名称、配置项id或用户自定义配置属性，支持对配置象的基本信息、配置自定义信息的新增、修改，支持合并相同类型配置。</w:t>
      </w:r>
    </w:p>
    <w:p w14:paraId="2C31A4F2">
      <w:pPr>
        <w:pageBreakBefore w:val="0"/>
        <w:numPr>
          <w:ilvl w:val="0"/>
          <w:numId w:val="53"/>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需提供配置项关系编织功能，支持跨类型配置项关系建立、解除，支持列表、拓扑形式展示拓扑关系，支持配置项通过文件导入、批量多类型导出到文件，需提供导入模板并支持下载。</w:t>
      </w:r>
    </w:p>
    <w:p w14:paraId="19988B19">
      <w:pPr>
        <w:pageBreakBefore w:val="0"/>
        <w:numPr>
          <w:ilvl w:val="0"/>
          <w:numId w:val="53"/>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需提供仓库总览功能，包含但不限于配置总数统计、配置项分类统计、数据完整率统计、配置使用频次统计、配置关系统计等。</w:t>
      </w:r>
    </w:p>
    <w:p w14:paraId="1380412F">
      <w:pPr>
        <w:pageBreakBefore w:val="0"/>
        <w:numPr>
          <w:ilvl w:val="0"/>
          <w:numId w:val="53"/>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需提供资源分派功能，支持将配置项单个或批量分派到指定资源组。</w:t>
      </w:r>
    </w:p>
    <w:p w14:paraId="6706EF81">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模型管理</w:t>
      </w:r>
    </w:p>
    <w:p w14:paraId="5D4DBED7">
      <w:pPr>
        <w:pageBreakBefore w:val="0"/>
        <w:numPr>
          <w:ilvl w:val="0"/>
          <w:numId w:val="54"/>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需提供模型与属性管理功能，支持添加、编辑、删除资源类型，支持按照树形结构展示模型列表；添加、编辑模型时需支持选择属性模板，为用户提供快速添加、编辑模型功能。</w:t>
      </w:r>
    </w:p>
    <w:p w14:paraId="4ADB52EE">
      <w:pPr>
        <w:pageBreakBefore w:val="0"/>
        <w:numPr>
          <w:ilvl w:val="0"/>
          <w:numId w:val="54"/>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模型属性配置，包含但不限于字段编码、字段名、默认值、字段归属、校验规则等，配置字段数据类型包含但不限于单行文本、多行文本、富文本、下拉菜单、单选、多选、整数、小数、图片、附件、时间日期、表格、加密数据、内联、Json等。</w:t>
      </w:r>
    </w:p>
    <w:p w14:paraId="23A28E52">
      <w:pPr>
        <w:pageBreakBefore w:val="0"/>
        <w:numPr>
          <w:ilvl w:val="0"/>
          <w:numId w:val="54"/>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需提供模型关联关系管理功能，支持添加、编辑、删除资源类型，支持按照树形结构展示模型列表，支持拖拽式关系编辑器：需支持服务、组件、主机、网络设备等多元素添加；需支持关系线自动生成。</w:t>
      </w:r>
    </w:p>
    <w:p w14:paraId="16C231D6">
      <w:pPr>
        <w:pageBreakBefore w:val="0"/>
        <w:numPr>
          <w:ilvl w:val="0"/>
          <w:numId w:val="54"/>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提供自定义属性模板功能，支持添加、编辑、删除属性模板，支持按照树形结构展示模板列表；支持配制模板属性字段名、字段类型，字段类型包含但不限于单行文本、多行文本、富文本、下拉菜单、单选、多选、整数、小数、图片、附件、时间日期、表格、加密数据、内联、Json等。</w:t>
      </w:r>
    </w:p>
    <w:p w14:paraId="77C0D33C">
      <w:pPr>
        <w:pageBreakBefore w:val="0"/>
        <w:numPr>
          <w:ilvl w:val="0"/>
          <w:numId w:val="54"/>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需提供模板关联关系管理功能，支持拖拽式关系编辑器：支持模板-模板关联关系添加、关系线自动生成、放大、缩小、重置等功能。</w:t>
      </w:r>
    </w:p>
    <w:p w14:paraId="1B129EA4">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系统设置</w:t>
      </w:r>
    </w:p>
    <w:p w14:paraId="0A15B994">
      <w:pPr>
        <w:pageBreakBefore w:val="0"/>
        <w:numPr>
          <w:ilvl w:val="0"/>
          <w:numId w:val="55"/>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提供自动认领策略管理功能：支持自动认领策略配置，配置项包含但不限于指定模型、指定模板、周期执行时间、认领规则等；支持展示自动认领规则列表，展示信息包含但不限于认领策略执行顺序、维护组、执行状态、认领结束时间；支持批量执行和单个执行自动认领策略。</w:t>
      </w:r>
    </w:p>
    <w:p w14:paraId="742EC677">
      <w:pPr>
        <w:pageBreakBefore w:val="0"/>
        <w:numPr>
          <w:ilvl w:val="0"/>
          <w:numId w:val="55"/>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需提供标签管理功能，支持标签全生命周期管理，包含标签的创建、编辑、启用/停用（状态管理）、删除功能；标签属性字段至少包含：标签ID、标签名称、状态标识、创建时间等。</w:t>
      </w:r>
    </w:p>
    <w:p w14:paraId="47FFBAF7">
      <w:pPr>
        <w:pageBreakBefore w:val="0"/>
        <w:numPr>
          <w:ilvl w:val="0"/>
          <w:numId w:val="55"/>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提供字段管理功能​，支持字段的创建、编辑、删除操作，字段属性包含但不限于：字段编码、字段名、默认值、字段归属、校验规则等支持按字段名或字段编码双维度模糊搜索，结果展示包含但不限于字段名、字段编码、字段类型、状态、使用来源等信息。</w:t>
      </w:r>
    </w:p>
    <w:p w14:paraId="19C4E521">
      <w:pPr>
        <w:pageBreakBefore w:val="0"/>
        <w:numPr>
          <w:ilvl w:val="0"/>
          <w:numId w:val="55"/>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提供关系生成功能，支持关系的创建、编辑、删除、查询等操作，支持根据模型进行查询，结果展示包含但不限于关系名称、关系定义、创建人、创建时间等。需支持配置规则组和组内规则的双层逻辑结构，关系生成执行控制需支持双重执行模式，定时策略可配置周期扫描、手动执行通过即时触发生成关系。</w:t>
      </w:r>
    </w:p>
    <w:p w14:paraId="3F15CA84">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配置和关系自动生成</w:t>
      </w:r>
    </w:p>
    <w:p w14:paraId="4BF3E629">
      <w:pPr>
        <w:pageBreakBefore w:val="0"/>
        <w:numPr>
          <w:ilvl w:val="0"/>
          <w:numId w:val="56"/>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需支持拉通外部数自动发现配置项基础，包括云服务、组件、主机、网络设备等，包括但不限于基础信息，例如：服务名、集群IP、组件名、组件集群信息、主机IP等信息。</w:t>
      </w:r>
    </w:p>
    <w:p w14:paraId="2CEC446B">
      <w:pPr>
        <w:pageBreakBefore w:val="0"/>
        <w:numPr>
          <w:ilvl w:val="0"/>
          <w:numId w:val="56"/>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需支持拉通外部数自动发现配置项关联关系，包括但不限于：服务-组件、组件-主机、主机-网络设备等；需支持内联节点关系展示，包括但不限于服务、组件、主机、网络设备等。</w:t>
      </w:r>
    </w:p>
    <w:p w14:paraId="2C67BFEA">
      <w:pPr>
        <w:pStyle w:val="6"/>
        <w:pageBreakBefore w:val="0"/>
        <w:numPr>
          <w:ilvl w:val="2"/>
          <w:numId w:val="4"/>
        </w:numPr>
        <w:tabs>
          <w:tab w:val="clear" w:pos="0"/>
        </w:tabs>
        <w:kinsoku/>
        <w:wordWrap/>
        <w:overflowPunct/>
        <w:topLinePunct w:val="0"/>
        <w:autoSpaceDE/>
        <w:autoSpaceDN/>
        <w:bidi w:val="0"/>
        <w:spacing w:before="0" w:after="0" w:line="572" w:lineRule="exact"/>
        <w:ind w:left="709" w:leftChars="0" w:hanging="709" w:firstLineChars="0"/>
        <w:jc w:val="both"/>
        <w:outlineLvl w:val="3"/>
        <w:rPr>
          <w:rFonts w:hint="eastAsia" w:ascii="黑体" w:hAnsi="黑体" w:eastAsia="黑体" w:cs="黑体"/>
          <w:b w:val="0"/>
          <w:bCs/>
          <w:color w:val="auto"/>
          <w:sz w:val="24"/>
          <w:szCs w:val="24"/>
          <w:highlight w:val="none"/>
          <w:lang w:val="en"/>
        </w:rPr>
      </w:pPr>
      <w:bookmarkStart w:id="62" w:name="_Toc1574"/>
      <w:bookmarkStart w:id="63" w:name="_Toc1007450822"/>
      <w:bookmarkStart w:id="64" w:name="_Toc1816593482"/>
      <w:bookmarkStart w:id="65" w:name="_Toc161418356"/>
      <w:bookmarkStart w:id="66" w:name="_Toc91265824"/>
      <w:bookmarkStart w:id="67" w:name="_Toc114551808"/>
      <w:bookmarkStart w:id="68" w:name="_Toc1750058895"/>
      <w:r>
        <w:rPr>
          <w:rFonts w:hint="eastAsia" w:ascii="黑体" w:hAnsi="黑体" w:eastAsia="黑体" w:cs="黑体"/>
          <w:b w:val="0"/>
          <w:bCs/>
          <w:color w:val="auto"/>
          <w:sz w:val="24"/>
          <w:szCs w:val="24"/>
          <w:highlight w:val="none"/>
          <w:lang w:val="en"/>
        </w:rPr>
        <w:t>任务调度</w:t>
      </w:r>
      <w:bookmarkEnd w:id="62"/>
      <w:bookmarkEnd w:id="63"/>
      <w:bookmarkEnd w:id="64"/>
      <w:bookmarkEnd w:id="65"/>
      <w:bookmarkEnd w:id="66"/>
      <w:bookmarkEnd w:id="67"/>
      <w:bookmarkEnd w:id="68"/>
      <w:r>
        <w:rPr>
          <w:rFonts w:hint="eastAsia" w:ascii="黑体" w:hAnsi="黑体" w:eastAsia="黑体" w:cs="黑体"/>
          <w:b w:val="0"/>
          <w:bCs/>
          <w:color w:val="auto"/>
          <w:sz w:val="24"/>
          <w:szCs w:val="24"/>
          <w:highlight w:val="none"/>
          <w:lang w:val="en"/>
        </w:rPr>
        <w:t>能力</w:t>
      </w:r>
    </w:p>
    <w:p w14:paraId="405BE605">
      <w:pPr>
        <w:pStyle w:val="12"/>
        <w:pageBreakBefore w:val="0"/>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任务调度能力致力于解决生产运营过程中的变更作业流程化、规范化申请审批问题，例如参数变更、版本发布、权限管理等应用场景，提供自定义流程引擎服务，支持多端接入，友好的兼容现有系统服务能力。具体功能要求如下：</w:t>
      </w:r>
    </w:p>
    <w:p w14:paraId="586EA654">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驾驶舱</w:t>
      </w:r>
    </w:p>
    <w:p w14:paraId="1E09B49F">
      <w:pPr>
        <w:pageBreakBefore w:val="0"/>
        <w:numPr>
          <w:ilvl w:val="0"/>
          <w:numId w:val="57"/>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超级管理员角色以全局视角查看所有工单汇总、工单类型分布、工单租户来源分布、工单流程使用统计、租户创建工单数量TOP榜、创建工单趋势等功能；并支持以按月/年/所有等维度查看所有流程运行情况，包括工单数量、排名以及特定流程的管理员、维护人、各租户使用分布、工单数量趋势、工单列表等信息。</w:t>
      </w:r>
    </w:p>
    <w:p w14:paraId="72FBD251">
      <w:pPr>
        <w:pageBreakBefore w:val="0"/>
        <w:numPr>
          <w:ilvl w:val="0"/>
          <w:numId w:val="57"/>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以租户管理员角色查看本租户下单日工单实时看板、近期创建工单趋势、流程使用统计排行、当前租户所有流程工单等功能。并支持以按月/年/所有等维度展示本租户下所有流程运行情况，包括工单数量、排名以及特定流程的管理员、维护人、各租户使用分布、工单数量趋势、工单列表等信息。</w:t>
      </w:r>
    </w:p>
    <w:p w14:paraId="3FDD0AB0">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我发起的</w:t>
      </w:r>
    </w:p>
    <w:p w14:paraId="62CCBCAD">
      <w:pPr>
        <w:pStyle w:val="12"/>
        <w:pageBreakBefore w:val="0"/>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查看当前用户创建的已完成、未完成、草稿箱等工单信息列表，包含但不限于工单标题、工单状态、创建人、处理人、流程名称、优先级等字段信息，支持快速查看、催办、复制、导出当前用户工单详情信息，支持草稿箱功能，支持当前用户草稿箱管理功能。</w:t>
      </w:r>
    </w:p>
    <w:p w14:paraId="2ED11E1B">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待办工单</w:t>
      </w:r>
    </w:p>
    <w:p w14:paraId="479FFD98">
      <w:pPr>
        <w:pageBreakBefore w:val="0"/>
        <w:numPr>
          <w:ilvl w:val="0"/>
          <w:numId w:val="58"/>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查看当前用户所处理的工单、已经处理的工单和可领取的工单工单列表，展示信息包含但不限于工单标题、工单状态、创建人、处理人、流程名称、优先级等，支持根据工单标题、类型、流程、时间区间进行工单查询，查询结果需支持自定义展示信息。</w:t>
      </w:r>
    </w:p>
    <w:p w14:paraId="6E67A837">
      <w:pPr>
        <w:pageBreakBefore w:val="0"/>
        <w:numPr>
          <w:ilvl w:val="0"/>
          <w:numId w:val="58"/>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查看工单详情、审批、催办、导出工单等功能；工单详情需支持但不限于展示工单基本信息、提单人信息、工单描述等基础信息、用户自定义配置信息（如配置变更类工单提供变更描述：申请类型、变更类型、操作类型、变更内容等）、沟通记录、历史记录、关联工单等信息。</w:t>
      </w:r>
    </w:p>
    <w:p w14:paraId="3DC42870">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所有工单</w:t>
      </w:r>
    </w:p>
    <w:p w14:paraId="09ED6A74">
      <w:pPr>
        <w:pageBreakBefore w:val="0"/>
        <w:numPr>
          <w:ilvl w:val="0"/>
          <w:numId w:val="59"/>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提供全局工单查看功能，根据工单标题、工单状态、类型、流程、时间等查询当前用户权限范围内流程所产生的所有工单，支持工单处理、催办等功能。</w:t>
      </w:r>
    </w:p>
    <w:p w14:paraId="68B100EB">
      <w:pPr>
        <w:pageBreakBefore w:val="0"/>
        <w:numPr>
          <w:ilvl w:val="0"/>
          <w:numId w:val="59"/>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支持用户自定义展示、导出查询结果，例如：工单标题、工单状态、创建人、处理人、流程名称等，支持切换页面展示形式，包含但不限于列表、卡片等形式。</w:t>
      </w:r>
    </w:p>
    <w:p w14:paraId="516E89A4">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流程查询</w:t>
      </w:r>
    </w:p>
    <w:p w14:paraId="3B35C9B2">
      <w:pPr>
        <w:pStyle w:val="12"/>
        <w:pageBreakBefore w:val="0"/>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提供全局流程信息查询功能，支持根据流程名称、流程描述、常见问题标签、工单编号前缀查询工单流程，展示信息需包括但不限于：流程名称、流程描述、流程所属租户、流程授权范围、流程维护人姓名、常见问题标签等，并依据权限，提供快速工单提交入口。</w:t>
      </w:r>
    </w:p>
    <w:p w14:paraId="049161C6">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数据报告</w:t>
      </w:r>
    </w:p>
    <w:p w14:paraId="1B6C0A55">
      <w:pPr>
        <w:pageBreakBefore w:val="0"/>
        <w:numPr>
          <w:ilvl w:val="0"/>
          <w:numId w:val="60"/>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提供数据报告功能，支持内置报表/自定义报表查询、数据展示、数据下载等功能。其中，自定义报表数据范围支持选择全部流程/部分流程/单一流程中的全部数据/部分数据，并支持依据流程字段进行特定数据过滤；报表数据支持自定义查询条件、展示字段配置并进行在线实时查询，支持全部或部分数据异步导出功能。</w:t>
      </w:r>
    </w:p>
    <w:p w14:paraId="312E507F">
      <w:pPr>
        <w:pageBreakBefore w:val="0"/>
        <w:numPr>
          <w:ilvl w:val="0"/>
          <w:numId w:val="60"/>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提供计划报告功能，通过邮件进行周期性数据报表推送。支持关联数据报告、自定义邮件模板、报告接收人等配置，支持每天/每周/每月/单次/自定义等时间策略配置。</w:t>
      </w:r>
    </w:p>
    <w:p w14:paraId="2DB31925">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业务设置</w:t>
      </w:r>
    </w:p>
    <w:p w14:paraId="4E4A9769">
      <w:pPr>
        <w:pageBreakBefore w:val="0"/>
        <w:numPr>
          <w:ilvl w:val="0"/>
          <w:numId w:val="61"/>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提供线上化流程配置功能，需支持根据流程名称查询流程，支持查看流程触发记录，支持流程上下架、测试、删除、复制等功能，支持租户可见范围、流程管理员、流程可见范围、流程维护人等不同维度的权限配置。</w:t>
      </w:r>
    </w:p>
    <w:p w14:paraId="36E05ABE">
      <w:pPr>
        <w:pageBreakBefore w:val="0"/>
        <w:numPr>
          <w:ilvl w:val="0"/>
          <w:numId w:val="61"/>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流程配置需支持文本、单/多选按钮、选择框、下拉框、数字、日期、成员、成员组、文件、表格、超链接等字段的编码、校验规则、默认值、提示文字设置、值域关联等配置功能。</w:t>
      </w:r>
    </w:p>
    <w:p w14:paraId="11E8B91B">
      <w:pPr>
        <w:pageBreakBefore w:val="0"/>
        <w:numPr>
          <w:ilvl w:val="0"/>
          <w:numId w:val="61"/>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支持线上化流程绘制功能，提供开始事件、结束事件、用户任务、单一网关、并行网关等事件组件；支持页面设置功能，实现节点页面排版布局、字段分组及字段只读、编辑、隐藏等设置。</w:t>
      </w:r>
    </w:p>
    <w:p w14:paraId="09C7645C">
      <w:pPr>
        <w:pageBreakBefore w:val="0"/>
        <w:numPr>
          <w:ilvl w:val="0"/>
          <w:numId w:val="61"/>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支持节点页面字段关联，通过灵活的字段关联设置，实现隐藏字段、显示字段、追加字段值、设为必填值、设为只读值等页面联动功能。</w:t>
      </w:r>
    </w:p>
    <w:p w14:paraId="580EFA52">
      <w:pPr>
        <w:pageBreakBefore w:val="0"/>
        <w:numPr>
          <w:ilvl w:val="0"/>
          <w:numId w:val="61"/>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人员配置功能，提供单人处理、多人、依次处理模式，指派方式支持节点指派、提单人指派、固定处理人、跟随工单字段等指派方式，转派方式支持成员组、组织机构等方式、并支持提交/转派/关闭/回退/挂起/取回等节点权限控制，支持关联子流程，实现根据主流程状态来手动/自动创建子流程，支持根据子流程结果回填主流程字段，支持子流程继承主流程字段，实现多流程协作。</w:t>
      </w:r>
    </w:p>
    <w:p w14:paraId="2BF48176">
      <w:pPr>
        <w:pageBreakBefore w:val="0"/>
        <w:numPr>
          <w:ilvl w:val="0"/>
          <w:numId w:val="61"/>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支持事件触发器功能，支持工单提交、工单离开、工单领取、工单取回、工单关闭等工单事件设置，支持工单状态、工单字段等条件设置，支持动作类型包括消息通知、工单设置、外部API调用等。</w:t>
      </w:r>
    </w:p>
    <w:p w14:paraId="35677656">
      <w:pPr>
        <w:pageBreakBefore w:val="0"/>
        <w:numPr>
          <w:ilvl w:val="0"/>
          <w:numId w:val="61"/>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支持数据字典功能，为全域标准数据提供统一数据配置、读取；支持数据关系管理，为工单字段值关联填充提供数据支撑，降低与流程配置的耦合性。</w:t>
      </w:r>
    </w:p>
    <w:p w14:paraId="610F98C7">
      <w:pPr>
        <w:pageBreakBefore w:val="0"/>
        <w:numPr>
          <w:ilvl w:val="0"/>
          <w:numId w:val="61"/>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服务目录管理，通过配置服务目录完成流程上下架，支持服务目录排序、图标、流程关联功能，支持以服务目录维度使用授权；支持单租户服务目录和公共服务目录设置，单组户可见范围只在本租户下，公共服务目录可支持所有租户全局展示。</w:t>
      </w:r>
    </w:p>
    <w:p w14:paraId="48DC792F">
      <w:pPr>
        <w:pageBreakBefore w:val="0"/>
        <w:numPr>
          <w:ilvl w:val="0"/>
          <w:numId w:val="61"/>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提供服务级别协议管理，支持对流程工单服务时间目标设定，并对超时工单进行自动催办提醒、升级转派功能。</w:t>
      </w:r>
    </w:p>
    <w:p w14:paraId="4D08106E">
      <w:pPr>
        <w:pageBreakBefore w:val="0"/>
        <w:numPr>
          <w:ilvl w:val="0"/>
          <w:numId w:val="61"/>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提供日常工单协作管理功能，支持将特定时间段、特定流程的工单自动指派给其他处理人，以避免当前处理人因无法处置工单导致的响应延迟问题；支持以每天/每周/每月等时间策略自动化工单提交功能，降低周期性重复工作人员投入。</w:t>
      </w:r>
    </w:p>
    <w:p w14:paraId="719F382B">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用户组管理</w:t>
      </w:r>
    </w:p>
    <w:p w14:paraId="3E0BDD6E">
      <w:pPr>
        <w:pageBreakBefore w:val="0"/>
        <w:numPr>
          <w:ilvl w:val="0"/>
          <w:numId w:val="62"/>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提供用户组管理功能：支持用户组新增、修改功能，需包含上级用户组、用户组名称、用户组描述等；支持根据用户组名称查询并树形结构展示用户组。</w:t>
      </w:r>
    </w:p>
    <w:p w14:paraId="72D635C3">
      <w:pPr>
        <w:pageBreakBefore w:val="0"/>
        <w:numPr>
          <w:ilvl w:val="0"/>
          <w:numId w:val="62"/>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提供用户组成员管理功能，支持用户组成员新增、修改、删除、查询功能，其中查询应展示用户ID、用户名、姓名、邮箱、来源、状态、部门等信息，删除需支持二次确认。</w:t>
      </w:r>
    </w:p>
    <w:p w14:paraId="3857F748">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系统设置</w:t>
      </w:r>
    </w:p>
    <w:p w14:paraId="2A538C2E">
      <w:pPr>
        <w:pageBreakBefore w:val="0"/>
        <w:numPr>
          <w:ilvl w:val="0"/>
          <w:numId w:val="63"/>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提供工单消息订阅功能，支持用户自行设置工单消息的通知节点和通知方式，支持给对应租户赋权对应的组织架构。</w:t>
      </w:r>
    </w:p>
    <w:p w14:paraId="3054F1FF">
      <w:pPr>
        <w:pageBreakBefore w:val="0"/>
        <w:numPr>
          <w:ilvl w:val="0"/>
          <w:numId w:val="63"/>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根据操作时间、用户、系统、操作类型、结果等条件查询人员操作的记录信息列表；支持查看某一操作详情信息，展示信息包含但不限于：操作内容、操作结果、操作信息、操作时间等，支持文件导出审计日志。</w:t>
      </w:r>
    </w:p>
    <w:p w14:paraId="016B70EB">
      <w:pPr>
        <w:pageBreakBefore w:val="0"/>
        <w:numPr>
          <w:ilvl w:val="0"/>
          <w:numId w:val="63"/>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支持导出数据的附件下载，支持查看工单消息，公告消息等，支持调用该租户下的流程服务引擎接口用户赋权功能。</w:t>
      </w:r>
    </w:p>
    <w:p w14:paraId="6819AABC">
      <w:pPr>
        <w:pStyle w:val="6"/>
        <w:pageBreakBefore w:val="0"/>
        <w:numPr>
          <w:ilvl w:val="2"/>
          <w:numId w:val="4"/>
        </w:numPr>
        <w:tabs>
          <w:tab w:val="clear" w:pos="0"/>
        </w:tabs>
        <w:kinsoku/>
        <w:wordWrap/>
        <w:overflowPunct/>
        <w:topLinePunct w:val="0"/>
        <w:autoSpaceDE/>
        <w:autoSpaceDN/>
        <w:bidi w:val="0"/>
        <w:spacing w:before="0" w:after="0" w:line="572" w:lineRule="exact"/>
        <w:ind w:left="709" w:leftChars="0" w:hanging="709" w:firstLineChars="0"/>
        <w:jc w:val="both"/>
        <w:outlineLvl w:val="3"/>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故障管理模块</w:t>
      </w:r>
    </w:p>
    <w:p w14:paraId="76AA2F7A">
      <w:pPr>
        <w:pStyle w:val="12"/>
        <w:pageBreakBefore w:val="0"/>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聚焦故障调度及通报标准、故障复盘标准化，多渠道待办工单通知，实现故障全生命周期线上化闭环管理。具体功能要求如下：</w:t>
      </w:r>
    </w:p>
    <w:p w14:paraId="2948AF09">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事件上报</w:t>
      </w:r>
    </w:p>
    <w:p w14:paraId="0F3251F3">
      <w:pPr>
        <w:pageBreakBefore w:val="0"/>
        <w:numPr>
          <w:ilvl w:val="0"/>
          <w:numId w:val="64"/>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支持事件上报的查询、上报、更新恢复全流程管理界面，支持按系统名称、级别、时间范围等多维度筛选，实时展示故障信息、故障状态、处理进展。</w:t>
      </w:r>
    </w:p>
    <w:p w14:paraId="4167E79D">
      <w:pPr>
        <w:pageBreakBefore w:val="0"/>
        <w:numPr>
          <w:ilvl w:val="0"/>
          <w:numId w:val="64"/>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支持故障模板快速引用功能，支持标准化填写影响业务类型、地域范围等关键信息。</w:t>
      </w:r>
    </w:p>
    <w:p w14:paraId="4363B24A">
      <w:pPr>
        <w:pageBreakBefore w:val="0"/>
        <w:numPr>
          <w:ilvl w:val="0"/>
          <w:numId w:val="64"/>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支持展示事件状态流转明细，展示事件全生命周期记录。</w:t>
      </w:r>
    </w:p>
    <w:p w14:paraId="5563FDCA">
      <w:pPr>
        <w:pageBreakBefore w:val="0"/>
        <w:numPr>
          <w:ilvl w:val="0"/>
          <w:numId w:val="64"/>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支持引用相似事件进行上报。</w:t>
      </w:r>
    </w:p>
    <w:p w14:paraId="155E18CB">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一键拉会</w:t>
      </w:r>
    </w:p>
    <w:p w14:paraId="10DFCED6">
      <w:pPr>
        <w:pageBreakBefore w:val="0"/>
        <w:numPr>
          <w:ilvl w:val="0"/>
          <w:numId w:val="65"/>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支持通过维护单位、系统等条件快速筛选目标团队进行人员、团队选择等功能。</w:t>
      </w:r>
    </w:p>
    <w:p w14:paraId="06F2E9EC">
      <w:pPr>
        <w:pageBreakBefore w:val="0"/>
        <w:numPr>
          <w:ilvl w:val="0"/>
          <w:numId w:val="65"/>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支持消息、短信、外呼等多通道通知方式。</w:t>
      </w:r>
    </w:p>
    <w:p w14:paraId="3032DA55">
      <w:pPr>
        <w:pageBreakBefore w:val="0"/>
        <w:numPr>
          <w:ilvl w:val="0"/>
          <w:numId w:val="65"/>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支持追加人员动态调整参会名单，实时更新通知记录等功能。</w:t>
      </w:r>
    </w:p>
    <w:p w14:paraId="3697F37D">
      <w:pPr>
        <w:pageBreakBefore w:val="0"/>
        <w:numPr>
          <w:ilvl w:val="0"/>
          <w:numId w:val="65"/>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支持个人/公共拉会套餐模板，预置参会团队、专家名单及通知方式等功能。</w:t>
      </w:r>
    </w:p>
    <w:p w14:paraId="54693D26">
      <w:pPr>
        <w:pageBreakBefore w:val="0"/>
        <w:numPr>
          <w:ilvl w:val="0"/>
          <w:numId w:val="65"/>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支持展示历史拉会记录呈现拉会人、会议号、通知内容、等全流程数据。</w:t>
      </w:r>
    </w:p>
    <w:p w14:paraId="529E6DB3">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事中指挥室</w:t>
      </w:r>
    </w:p>
    <w:p w14:paraId="1C4255E0">
      <w:pPr>
        <w:pageBreakBefore w:val="0"/>
        <w:numPr>
          <w:ilvl w:val="0"/>
          <w:numId w:val="66"/>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支持按指挥室ID、名称、单位等多维度检索，展示指挥室ID、指挥室名称、维护单位、维护系统、创建人、创建时间、持续时间、是否事件上报、是否拉会等全流程数据。</w:t>
      </w:r>
    </w:p>
    <w:p w14:paraId="10AF6DE3">
      <w:pPr>
        <w:pageBreakBefore w:val="0"/>
        <w:numPr>
          <w:ilvl w:val="0"/>
          <w:numId w:val="66"/>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支持自动关联事件上报状态（是/否）和拉会记录等功能。</w:t>
      </w:r>
    </w:p>
    <w:p w14:paraId="48ADEF31">
      <w:pPr>
        <w:pageBreakBefore w:val="0"/>
        <w:numPr>
          <w:ilvl w:val="0"/>
          <w:numId w:val="66"/>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支持实时展示签到状态（已签/未签人员），支持应急通讯录快速触达等功能。</w:t>
      </w:r>
    </w:p>
    <w:p w14:paraId="29105DFD">
      <w:pPr>
        <w:pageBreakBefore w:val="0"/>
        <w:numPr>
          <w:ilvl w:val="0"/>
          <w:numId w:val="66"/>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支持以富文本形式记录事件业务影响、事件原因。</w:t>
      </w:r>
    </w:p>
    <w:p w14:paraId="14D7BB15">
      <w:pPr>
        <w:pageBreakBefore w:val="0"/>
        <w:numPr>
          <w:ilvl w:val="0"/>
          <w:numId w:val="66"/>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支持通过解释口径统一对外通告模板等功能。</w:t>
      </w:r>
    </w:p>
    <w:p w14:paraId="7EBD6414">
      <w:pPr>
        <w:pageBreakBefore w:val="0"/>
        <w:numPr>
          <w:ilvl w:val="0"/>
          <w:numId w:val="66"/>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从事件发生、发现、响应到恢复的全流程时间轴记录，支持富文本形式记录，并自动计算响应时长等关键指标。每个处理阶段（定位/处置/恢复）均记录处理人、操作详情及完成状态，支持通过编辑、置顶等操作动态维护处理记录。</w:t>
      </w:r>
    </w:p>
    <w:p w14:paraId="563B5B86">
      <w:pPr>
        <w:pageBreakBefore w:val="0"/>
        <w:numPr>
          <w:ilvl w:val="0"/>
          <w:numId w:val="66"/>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支持记录事件中问题记录，结构化记录问题描述、优化举措、责任部门及计划完成时间。</w:t>
      </w:r>
    </w:p>
    <w:p w14:paraId="20D9B23D">
      <w:pPr>
        <w:pageBreakBefore w:val="0"/>
        <w:numPr>
          <w:ilvl w:val="0"/>
          <w:numId w:val="66"/>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支持故障按持续时间事件级别升级策略，策略可指定调整（默认：0-15分钟为其他故障、15-60分钟为一般故障、60-120分钟为较大故障、120-300分钟为重大故障、300分钟以上为特别重大故障）。</w:t>
      </w:r>
    </w:p>
    <w:p w14:paraId="087B3161">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故障报告管理</w:t>
      </w:r>
    </w:p>
    <w:p w14:paraId="66E419B8">
      <w:pPr>
        <w:pageBreakBefore w:val="0"/>
        <w:numPr>
          <w:ilvl w:val="0"/>
          <w:numId w:val="67"/>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支持按工单编号、时间范围、单位、系统、工单状态、事件类型等维度查询故障报告工单。展示工单编码、故障信息、发起人、发起时间、要求完成时间、当前处理人、工单状态等工单信息。</w:t>
      </w:r>
    </w:p>
    <w:p w14:paraId="01106E0B">
      <w:pPr>
        <w:pageBreakBefore w:val="0"/>
        <w:numPr>
          <w:ilvl w:val="0"/>
          <w:numId w:val="67"/>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支持故障报告基础内容填写，包含但不限于故障发生、发现、恢复时间、影响范围、故障现象、故障原因、故障处理内容。</w:t>
      </w:r>
    </w:p>
    <w:p w14:paraId="24F0F390">
      <w:pPr>
        <w:pageBreakBefore w:val="0"/>
        <w:numPr>
          <w:ilvl w:val="0"/>
          <w:numId w:val="67"/>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支持故障报告处理过程填写故障调度人、业务/技术负责人等不同角色职责，通过时间轴记录各角色响应动作。可内置多个时间点标记（发生/发现/恢复等），自动生成处理时长占比图。</w:t>
      </w:r>
    </w:p>
    <w:p w14:paraId="45D9CA82">
      <w:pPr>
        <w:pageBreakBefore w:val="0"/>
        <w:numPr>
          <w:ilvl w:val="0"/>
          <w:numId w:val="67"/>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支持故障报告记录发现时长与监控缺失情况、事件响应时长。</w:t>
      </w:r>
    </w:p>
    <w:p w14:paraId="20296001">
      <w:pPr>
        <w:pageBreakBefore w:val="0"/>
        <w:numPr>
          <w:ilvl w:val="0"/>
          <w:numId w:val="67"/>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故障全生命流程的记录，包含但不限于故障报告多层故障原因打标（如版本方案缺陷），关联整改措施并绑定责任部门与完成时间，故障报告完成后自动发起相应整改措施工单、自动触发闭环工单流，并同步通知督办方与验收方。</w:t>
      </w:r>
    </w:p>
    <w:p w14:paraId="5A6967C7">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故障报告处理</w:t>
      </w:r>
    </w:p>
    <w:p w14:paraId="7B27A7A2">
      <w:pPr>
        <w:pageBreakBefore w:val="0"/>
        <w:numPr>
          <w:ilvl w:val="0"/>
          <w:numId w:val="68"/>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支持故障报告工单流程全生命周期管理，包含但不限于故障报告工单发起、故障报告工单编写、故障报告工单审核。</w:t>
      </w:r>
    </w:p>
    <w:p w14:paraId="7FF7A1AA">
      <w:pPr>
        <w:pageBreakBefore w:val="0"/>
        <w:numPr>
          <w:ilvl w:val="0"/>
          <w:numId w:val="68"/>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支持故障报告工单流转记录查询。</w:t>
      </w:r>
    </w:p>
    <w:p w14:paraId="25B8C3D4">
      <w:pPr>
        <w:pageBreakBefore w:val="0"/>
        <w:numPr>
          <w:ilvl w:val="0"/>
          <w:numId w:val="68"/>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支持故障报告创建，包含但不限于自动同步事中指挥室内容，减少需手动填写内容。可创建V2版本故障报告区分内外部版本。</w:t>
      </w:r>
    </w:p>
    <w:p w14:paraId="453B7079">
      <w:pPr>
        <w:pageBreakBefore w:val="0"/>
        <w:numPr>
          <w:ilvl w:val="0"/>
          <w:numId w:val="68"/>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支持故障报告文档内容检查，检查报告内容有效性等验证。</w:t>
      </w:r>
    </w:p>
    <w:p w14:paraId="651A5F54">
      <w:pPr>
        <w:pageBreakBefore w:val="0"/>
        <w:numPr>
          <w:ilvl w:val="0"/>
          <w:numId w:val="68"/>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支持故障报告工单临期催办、超时催办等设置。</w:t>
      </w:r>
    </w:p>
    <w:p w14:paraId="2E93E5E3">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整改措施查询</w:t>
      </w:r>
    </w:p>
    <w:p w14:paraId="05DB8E37">
      <w:pPr>
        <w:pageBreakBefore w:val="0"/>
        <w:numPr>
          <w:ilvl w:val="0"/>
          <w:numId w:val="69"/>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按计划完成时间、工单编号、单位、系统、整改状态、整改措施、处理人、事件类型等维度查询整改措施工单。展示工单编码、故障信息、发起人、发起时间、要求完成时间、整改措施、负责人、整改状态、审核状态、实际完成时间、完成情况说明、整改证明、工单状态等工单信息。</w:t>
      </w:r>
    </w:p>
    <w:p w14:paraId="562B7735">
      <w:pPr>
        <w:pageBreakBefore w:val="0"/>
        <w:numPr>
          <w:ilvl w:val="0"/>
          <w:numId w:val="69"/>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支持整改证明附件批量下载、预览等功能。</w:t>
      </w:r>
    </w:p>
    <w:p w14:paraId="04C30C70">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整改措施处理</w:t>
      </w:r>
    </w:p>
    <w:p w14:paraId="4841590E">
      <w:pPr>
        <w:pageBreakBefore w:val="0"/>
        <w:numPr>
          <w:ilvl w:val="0"/>
          <w:numId w:val="70"/>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支持整改措施工单流程全生命周期管理，包含但不限于整改措施工单发起、整改措施工单更新、整改措施工单挂起、整改措施工单审核。</w:t>
      </w:r>
    </w:p>
    <w:p w14:paraId="506DAC22">
      <w:pPr>
        <w:pageBreakBefore w:val="0"/>
        <w:numPr>
          <w:ilvl w:val="0"/>
          <w:numId w:val="70"/>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支持整改措施工单流转记录查询。</w:t>
      </w:r>
    </w:p>
    <w:p w14:paraId="7E0C9C67">
      <w:pPr>
        <w:pageBreakBefore w:val="0"/>
        <w:numPr>
          <w:ilvl w:val="0"/>
          <w:numId w:val="70"/>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支持整改措施内容更新、整改措施附件上传，支持整改措施完成时间延期、挂起等工单操作。</w:t>
      </w:r>
    </w:p>
    <w:p w14:paraId="3E23F621">
      <w:pPr>
        <w:pageBreakBefore w:val="0"/>
        <w:numPr>
          <w:ilvl w:val="0"/>
          <w:numId w:val="70"/>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支持整改措施工单临期催办、超时催办等设置。</w:t>
      </w:r>
    </w:p>
    <w:p w14:paraId="4374574F">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故障看板</w:t>
      </w:r>
    </w:p>
    <w:p w14:paraId="4B37C130">
      <w:pPr>
        <w:pageBreakBefore w:val="0"/>
        <w:numPr>
          <w:ilvl w:val="0"/>
          <w:numId w:val="71"/>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支持按时间范围、维护单位、系统名称、故障级别等核心信息进行查询故障信息。</w:t>
      </w:r>
    </w:p>
    <w:p w14:paraId="3C39B015">
      <w:pPr>
        <w:pageBreakBefore w:val="0"/>
        <w:numPr>
          <w:ilvl w:val="0"/>
          <w:numId w:val="71"/>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支持多维度组合查询。可自由使用AND、OR、精确、模糊等模式自由组合查询条件进行查询故障信息。</w:t>
      </w:r>
    </w:p>
    <w:p w14:paraId="7B3434D7">
      <w:pPr>
        <w:pageBreakBefore w:val="0"/>
        <w:numPr>
          <w:ilvl w:val="0"/>
          <w:numId w:val="71"/>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支持故障下钻查询故障报告信息、整改措施等信息。</w:t>
      </w:r>
    </w:p>
    <w:p w14:paraId="574D3054">
      <w:pPr>
        <w:pageBreakBefore w:val="0"/>
        <w:numPr>
          <w:ilvl w:val="0"/>
          <w:numId w:val="71"/>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支持多种方式对故障信息达标，包含但不限于故障信息进行额外追加打标、支持故障报告完成后自动同步打标数据。</w:t>
      </w:r>
    </w:p>
    <w:p w14:paraId="01514026">
      <w:pPr>
        <w:pageBreakBefore w:val="0"/>
        <w:numPr>
          <w:ilvl w:val="0"/>
          <w:numId w:val="71"/>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支持使用不同打标模板展示故障信息内容，导出故障信息内容。</w:t>
      </w:r>
    </w:p>
    <w:p w14:paraId="6D3B4EDB">
      <w:pPr>
        <w:pageBreakBefore w:val="0"/>
        <w:numPr>
          <w:ilvl w:val="0"/>
          <w:numId w:val="71"/>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支持单选、多选、文本、数字等多种参数类型设置，支持以名称、英文标识、类型及属性配置等方式打标字段。</w:t>
      </w:r>
    </w:p>
    <w:p w14:paraId="74C57331">
      <w:pPr>
        <w:pageBreakBefore w:val="0"/>
        <w:numPr>
          <w:ilvl w:val="0"/>
          <w:numId w:val="71"/>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支持可视化表头配置界面，支持但不限于对打标字段进行排列组合，通过独立开关控制是否允许编辑。支持设置模板类型（私有/公开/默认）。</w:t>
      </w:r>
    </w:p>
    <w:p w14:paraId="11C9F54A">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故障统计报表</w:t>
      </w:r>
    </w:p>
    <w:p w14:paraId="69694068">
      <w:pPr>
        <w:pageBreakBefore w:val="0"/>
        <w:numPr>
          <w:ilvl w:val="0"/>
          <w:numId w:val="72"/>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支持时间范围、故障系统、故障级别等多条件组合查询，支持数据导出与重置等操作。</w:t>
      </w:r>
    </w:p>
    <w:p w14:paraId="27A5292A">
      <w:pPr>
        <w:pageBreakBefore w:val="0"/>
        <w:numPr>
          <w:ilvl w:val="0"/>
          <w:numId w:val="72"/>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支持自动统计故障总历时、数量及环比等多维数据的情况，通过柱状折线图或其他形式展示趋势变化。</w:t>
      </w:r>
    </w:p>
    <w:p w14:paraId="3980BAC1">
      <w:pPr>
        <w:pageBreakBefore w:val="0"/>
        <w:numPr>
          <w:ilvl w:val="0"/>
          <w:numId w:val="72"/>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支持按上报、发现、响应等阶段分解故障处理时长等关键维度指标，展示各环节平均耗时及占比等数据。</w:t>
      </w:r>
    </w:p>
    <w:p w14:paraId="457FC479">
      <w:pPr>
        <w:pageBreakBefore w:val="0"/>
        <w:numPr>
          <w:ilvl w:val="0"/>
          <w:numId w:val="72"/>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支持按业务、应用、组件等维度分类统计故障历时，通过环形图或其他形式呈现不同层级的故障分布。</w:t>
      </w:r>
    </w:p>
    <w:p w14:paraId="4178998A">
      <w:pPr>
        <w:pageBreakBefore w:val="0"/>
        <w:numPr>
          <w:ilvl w:val="0"/>
          <w:numId w:val="72"/>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通过树形结构展示Redis/ES等组件的故障分布，历时与数量等多维指标，多角度评估各层级组件的稳定性表现支，支持逐层下钻分析。</w:t>
      </w:r>
    </w:p>
    <w:p w14:paraId="0C83B6A2">
      <w:pPr>
        <w:pageBreakBefore w:val="0"/>
        <w:numPr>
          <w:ilvl w:val="0"/>
          <w:numId w:val="72"/>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支持统计监控告警的故障比例。</w:t>
      </w:r>
    </w:p>
    <w:p w14:paraId="382D340E">
      <w:pPr>
        <w:pageBreakBefore w:val="0"/>
        <w:numPr>
          <w:ilvl w:val="0"/>
          <w:numId w:val="72"/>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支持按时间维度统计各系统故障次数、故障时长及可用率指标，自动计算并展示可用率数据（时间默认为当月和年度）。支持按责任部门分类查看可用率数据。</w:t>
      </w:r>
    </w:p>
    <w:p w14:paraId="4CF6A384">
      <w:pPr>
        <w:pageBreakBefore w:val="0"/>
        <w:numPr>
          <w:ilvl w:val="0"/>
          <w:numId w:val="72"/>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支持记录系统连续无故障天数当前值及历史最高值，支持横向对比历史表现。</w:t>
      </w:r>
    </w:p>
    <w:p w14:paraId="2BB3CEFC">
      <w:pPr>
        <w:pageBreakBefore w:val="0"/>
        <w:numPr>
          <w:ilvl w:val="0"/>
          <w:numId w:val="72"/>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支持按故障时间范围、责任部门、事件类型等多条件组合筛选，展示各维护单位整改任务分布，包含已完成、进行中等状态数量及完成率等核心指标。</w:t>
      </w:r>
    </w:p>
    <w:p w14:paraId="0ABA4D68">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配置管理</w:t>
      </w:r>
    </w:p>
    <w:p w14:paraId="77BFF50F">
      <w:pPr>
        <w:pageBreakBefore w:val="0"/>
        <w:numPr>
          <w:ilvl w:val="0"/>
          <w:numId w:val="73"/>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支持按团队层级、人员类型、系统归属等多条件筛选。展示姓名、电话、系统关联等核心字段，支持导出文件操作。</w:t>
      </w:r>
    </w:p>
    <w:p w14:paraId="5697E183">
      <w:pPr>
        <w:pageBreakBefore w:val="0"/>
        <w:numPr>
          <w:ilvl w:val="0"/>
          <w:numId w:val="73"/>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支持系统下树形团队结构管理，展示团队层级架构，实现团队职责的层级化可视化管理。支持团队人员关系管理。</w:t>
      </w:r>
    </w:p>
    <w:p w14:paraId="29893F05">
      <w:pPr>
        <w:pageBreakBefore w:val="0"/>
        <w:numPr>
          <w:ilvl w:val="0"/>
          <w:numId w:val="73"/>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支持字段配置字段名称、类型及属性的可视化配置界面，支持通过搜索和新增功能快速维护字段库。每个字段均包含中英文标识、类型及自定义属性配置，支持编辑和删除操作。</w:t>
      </w:r>
    </w:p>
    <w:p w14:paraId="7CBE4DA8">
      <w:pPr>
        <w:pageBreakBefore w:val="0"/>
        <w:numPr>
          <w:ilvl w:val="0"/>
          <w:numId w:val="73"/>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支持组件配置，需支持表单、表格、富文本、文件上传等组件，支持使用字段配置构建表单、表格等组件。</w:t>
      </w:r>
    </w:p>
    <w:p w14:paraId="2C96C37D">
      <w:pPr>
        <w:pageBreakBefore w:val="0"/>
        <w:numPr>
          <w:ilvl w:val="0"/>
          <w:numId w:val="73"/>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支持从组件库拖拽组合模板，关联业务场景。需支持预览配置实时验证模板有效性。</w:t>
      </w:r>
    </w:p>
    <w:p w14:paraId="24632408">
      <w:pPr>
        <w:pageBreakBefore w:val="0"/>
        <w:numPr>
          <w:ilvl w:val="0"/>
          <w:numId w:val="73"/>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支持实时展示签到状态（如已签/未签人员），支持应急通讯录快速触达，确保跨团队协同效率。</w:t>
      </w:r>
    </w:p>
    <w:p w14:paraId="36E02E60">
      <w:pPr>
        <w:pageBreakBefore w:val="0"/>
        <w:numPr>
          <w:ilvl w:val="0"/>
          <w:numId w:val="73"/>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支持以富文本形式记录事件业务影响、事件原因。</w:t>
      </w:r>
    </w:p>
    <w:p w14:paraId="1F57C104">
      <w:pPr>
        <w:pStyle w:val="6"/>
        <w:pageBreakBefore w:val="0"/>
        <w:numPr>
          <w:ilvl w:val="2"/>
          <w:numId w:val="4"/>
        </w:numPr>
        <w:tabs>
          <w:tab w:val="clear" w:pos="0"/>
        </w:tabs>
        <w:kinsoku/>
        <w:wordWrap/>
        <w:overflowPunct/>
        <w:topLinePunct w:val="0"/>
        <w:autoSpaceDE/>
        <w:autoSpaceDN/>
        <w:bidi w:val="0"/>
        <w:spacing w:before="0" w:after="0" w:line="572" w:lineRule="exact"/>
        <w:ind w:left="709" w:leftChars="0" w:hanging="709" w:firstLineChars="0"/>
        <w:jc w:val="both"/>
        <w:outlineLvl w:val="3"/>
        <w:rPr>
          <w:rFonts w:hint="eastAsia" w:ascii="黑体" w:hAnsi="黑体" w:eastAsia="黑体" w:cs="黑体"/>
          <w:b w:val="0"/>
          <w:bCs/>
          <w:color w:val="auto"/>
          <w:sz w:val="24"/>
          <w:szCs w:val="24"/>
          <w:highlight w:val="none"/>
          <w:lang w:val="en"/>
        </w:rPr>
      </w:pPr>
      <w:bookmarkStart w:id="69" w:name="_Toc1103691033"/>
      <w:bookmarkStart w:id="70" w:name="_Toc1335785288"/>
      <w:bookmarkStart w:id="71" w:name="_Toc970921715"/>
      <w:bookmarkStart w:id="72" w:name="_Toc362009083"/>
      <w:bookmarkStart w:id="73" w:name="_Toc3781"/>
      <w:bookmarkStart w:id="74" w:name="_Toc1240327882"/>
      <w:bookmarkStart w:id="75" w:name="_Toc1694138434"/>
      <w:r>
        <w:rPr>
          <w:rFonts w:hint="eastAsia" w:ascii="黑体" w:hAnsi="黑体" w:eastAsia="黑体" w:cs="黑体"/>
          <w:b w:val="0"/>
          <w:bCs/>
          <w:color w:val="auto"/>
          <w:sz w:val="24"/>
          <w:szCs w:val="24"/>
          <w:highlight w:val="none"/>
          <w:lang w:val="en"/>
        </w:rPr>
        <w:t>感知运营可视化中心</w:t>
      </w:r>
      <w:bookmarkEnd w:id="69"/>
      <w:bookmarkEnd w:id="70"/>
      <w:bookmarkEnd w:id="71"/>
      <w:bookmarkEnd w:id="72"/>
      <w:bookmarkEnd w:id="73"/>
      <w:bookmarkEnd w:id="74"/>
      <w:bookmarkEnd w:id="75"/>
    </w:p>
    <w:p w14:paraId="40C16F85">
      <w:pPr>
        <w:pStyle w:val="12"/>
        <w:pageBreakBefore w:val="0"/>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通过数字化手段、不同视角呈现生产业务办理情况。反应业务量、响应速度等指标项，最细粒度可还原单次业务调用轨迹、各环节耗时，为感知优化提供有力支撑。具体功能要求如下：</w:t>
      </w:r>
    </w:p>
    <w:p w14:paraId="74326C88">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告警调度分析</w:t>
      </w:r>
    </w:p>
    <w:p w14:paraId="7C1596A1">
      <w:pPr>
        <w:pageBreakBefore w:val="0"/>
        <w:numPr>
          <w:ilvl w:val="0"/>
          <w:numId w:val="74"/>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告警调度大屏可整合多源告警信息，直观展示运行状态，助力高效调度，提升处置效率、降低运维成本。</w:t>
      </w:r>
    </w:p>
    <w:p w14:paraId="707EA5F7">
      <w:pPr>
        <w:pageBreakBefore w:val="0"/>
        <w:numPr>
          <w:ilvl w:val="0"/>
          <w:numId w:val="74"/>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需要支持用户通过固定时间段或自定义时间段等方式筛选告警信息。</w:t>
      </w:r>
    </w:p>
    <w:p w14:paraId="69E559E9">
      <w:pPr>
        <w:pageBreakBefore w:val="0"/>
        <w:numPr>
          <w:ilvl w:val="0"/>
          <w:numId w:val="74"/>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需要支持显示告警总数、未关闭告警量、未签收告警量、超时未签收告警量、已签收未关闭告警量、督办告警量等关键信息，支持告警总数、不同告警级别数量等指标的展示。</w:t>
      </w:r>
    </w:p>
    <w:p w14:paraId="10874E55">
      <w:pPr>
        <w:pageBreakBefore w:val="0"/>
        <w:numPr>
          <w:ilvl w:val="0"/>
          <w:numId w:val="74"/>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各告警量可查看告警详细信息，内容包含工单编号、系统、租户、模块、监控点、告警内容、级别、告警时间、处理状态等，支持通过告警时间先后或指定维度进行排序。</w:t>
      </w:r>
    </w:p>
    <w:p w14:paraId="63168120">
      <w:pPr>
        <w:pageBreakBefore w:val="0"/>
        <w:numPr>
          <w:ilvl w:val="0"/>
          <w:numId w:val="74"/>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需要支持督办告警列表清单下载功能，并可根据自定义时间范围、级别等指定维度选择督办清单内容。</w:t>
      </w:r>
    </w:p>
    <w:p w14:paraId="28F800D2">
      <w:pPr>
        <w:pageBreakBefore w:val="0"/>
        <w:numPr>
          <w:ilvl w:val="0"/>
          <w:numId w:val="74"/>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需要支持按照不同类别展现系统当前系统清单和告警数量，并支持系统告警详情下钻。</w:t>
      </w:r>
    </w:p>
    <w:p w14:paraId="0489E640">
      <w:pPr>
        <w:pageBreakBefore w:val="0"/>
        <w:numPr>
          <w:ilvl w:val="0"/>
          <w:numId w:val="74"/>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需要支持未签收工单个数重点显示功能，可按照不同类别展现系统当前未签收告警个数。</w:t>
      </w:r>
    </w:p>
    <w:p w14:paraId="5C9E741A">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告警工单运营分析</w:t>
      </w:r>
    </w:p>
    <w:p w14:paraId="6B28419C">
      <w:pPr>
        <w:pageBreakBefore w:val="0"/>
        <w:numPr>
          <w:ilvl w:val="0"/>
          <w:numId w:val="75"/>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告警工单运营分析大屏需支持整合数据、实时监控处理进度、分析效率瓶颈。</w:t>
      </w:r>
    </w:p>
    <w:p w14:paraId="5239B018">
      <w:pPr>
        <w:pageBreakBefore w:val="0"/>
        <w:numPr>
          <w:ilvl w:val="0"/>
          <w:numId w:val="75"/>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需要支持采集情况展现，描述当前异常采集和正常采集比例与数量，并支持查看详情。</w:t>
      </w:r>
    </w:p>
    <w:p w14:paraId="6E1C3B85">
      <w:pPr>
        <w:pageBreakBefore w:val="0"/>
        <w:numPr>
          <w:ilvl w:val="0"/>
          <w:numId w:val="75"/>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需要支持监控点情况展现，描述当前正常监控点、告警监控点和无数据监控点比例与数量或其他有必要的监控点，并支持查看详情。</w:t>
      </w:r>
    </w:p>
    <w:p w14:paraId="0115CB71">
      <w:pPr>
        <w:pageBreakBefore w:val="0"/>
        <w:numPr>
          <w:ilvl w:val="0"/>
          <w:numId w:val="75"/>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需要支持值班组情况展现，描述当前正常排班模块和未排班模块比例与数量，并支持查看详情。</w:t>
      </w:r>
    </w:p>
    <w:p w14:paraId="508767C3">
      <w:pPr>
        <w:pageBreakBefore w:val="0"/>
        <w:numPr>
          <w:ilvl w:val="0"/>
          <w:numId w:val="75"/>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需要支持告警规则执行情况展现，告警规则可配置，展现情况可进行调整，默认描述执行时间1s内、1~2s内和3s以上的告警规则执行时间比例与数量。</w:t>
      </w:r>
    </w:p>
    <w:p w14:paraId="3315C05D">
      <w:pPr>
        <w:pageBreakBefore w:val="0"/>
        <w:numPr>
          <w:ilvl w:val="0"/>
          <w:numId w:val="75"/>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需要支持告警工单情况按照日、周、月及自定义日期的方式筛选，并支持查看详情。</w:t>
      </w:r>
    </w:p>
    <w:p w14:paraId="75465B16">
      <w:pPr>
        <w:pageBreakBefore w:val="0"/>
        <w:numPr>
          <w:ilvl w:val="0"/>
          <w:numId w:val="75"/>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要支持工单量统计、工单签收及时率和工单处置耗时信息展示，内容包含提示级、重要级、普通级、紧急级工单数量（分级可自定义）、工单签收及时率、工单平均签收时间及平均处理时间，并以条形图或其他适当的图显示一个月之内的各级工单数量、工单平均签收时间及平均处理时间。</w:t>
      </w:r>
    </w:p>
    <w:p w14:paraId="13D269C7">
      <w:pPr>
        <w:pageBreakBefore w:val="0"/>
        <w:numPr>
          <w:ilvl w:val="0"/>
          <w:numId w:val="75"/>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需要支持当工单签收率不为100%时，通过点击签收率数字显示未及时签收工单详情。</w:t>
      </w:r>
    </w:p>
    <w:p w14:paraId="218BFEE4">
      <w:pPr>
        <w:pageBreakBefore w:val="0"/>
        <w:numPr>
          <w:ilvl w:val="0"/>
          <w:numId w:val="75"/>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需要支持采集详情、监控点详情、值班组详情、告警规则执行详情、未及时签收工单详情等数据下载为Excel表格功能。</w:t>
      </w:r>
    </w:p>
    <w:p w14:paraId="78E6CB3C">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安全生产保障分析</w:t>
      </w:r>
    </w:p>
    <w:p w14:paraId="496988AB">
      <w:pPr>
        <w:pageBreakBefore w:val="0"/>
        <w:numPr>
          <w:ilvl w:val="0"/>
          <w:numId w:val="76"/>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安全生产保障大屏需支持整合运营运维核心数据，实时展现系统稳定性、告警工单流转、故障指标、重保值班等数据。</w:t>
      </w:r>
    </w:p>
    <w:p w14:paraId="43D75624">
      <w:pPr>
        <w:pageBreakBefore w:val="0"/>
        <w:numPr>
          <w:ilvl w:val="0"/>
          <w:numId w:val="76"/>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需要支持安全生产保障核心数据实时显示，包含无较大/重大以上故障天数、名单制系统可用率、年度故障数、年度故障历时、15分钟抢通率等有必要的数据。</w:t>
      </w:r>
    </w:p>
    <w:p w14:paraId="093A58D5">
      <w:pPr>
        <w:pageBreakBefore w:val="0"/>
        <w:numPr>
          <w:ilvl w:val="0"/>
          <w:numId w:val="76"/>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需要支持关键场景监控数据显示，集成核心业务场景，运用多维度可视化图表动态呈现关键经营指标。</w:t>
      </w:r>
    </w:p>
    <w:p w14:paraId="108DA546">
      <w:pPr>
        <w:pageBreakBefore w:val="0"/>
        <w:numPr>
          <w:ilvl w:val="0"/>
          <w:numId w:val="76"/>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需要支持关键系统告警工单数据显示，以颜色区分是否存在告警，显示告警数量，并可查看告警详情。</w:t>
      </w:r>
    </w:p>
    <w:p w14:paraId="1A356BCC">
      <w:pPr>
        <w:pageBreakBefore w:val="0"/>
        <w:numPr>
          <w:ilvl w:val="0"/>
          <w:numId w:val="76"/>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需要支持基础设施监控数据显示，包含核心网络、核心机房的核心监控指标。</w:t>
      </w:r>
    </w:p>
    <w:p w14:paraId="198DEF20">
      <w:pPr>
        <w:pageBreakBefore w:val="0"/>
        <w:numPr>
          <w:ilvl w:val="0"/>
          <w:numId w:val="76"/>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需要支持告警工单统计数据显示，内容包含特定时间段的工单平均签收时间、工单平均处理时间、总告警数，以及各级告警工单数量（默认时间段为当前时间到当前时间减24小时）。</w:t>
      </w:r>
    </w:p>
    <w:p w14:paraId="6B9F6DDB">
      <w:pPr>
        <w:pageBreakBefore w:val="0"/>
        <w:numPr>
          <w:ilvl w:val="0"/>
          <w:numId w:val="76"/>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需要支持重保信息显示，内容包含重保活动名称、活动等级、活动日期、活动时间等，此外可针对重保信息增加自定义备注且使用者可见。</w:t>
      </w:r>
    </w:p>
    <w:p w14:paraId="2BA326CE">
      <w:pPr>
        <w:pageBreakBefore w:val="0"/>
        <w:numPr>
          <w:ilvl w:val="0"/>
          <w:numId w:val="76"/>
        </w:numPr>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需要支持指标口径悬停解释功能，当打开指标口径悬停解释功能开关后，将鼠标放置于指标处即可查看指标口经。</w:t>
      </w:r>
    </w:p>
    <w:bookmarkEnd w:id="3"/>
    <w:bookmarkEnd w:id="4"/>
    <w:bookmarkEnd w:id="5"/>
    <w:bookmarkEnd w:id="6"/>
    <w:bookmarkEnd w:id="29"/>
    <w:bookmarkEnd w:id="30"/>
    <w:p w14:paraId="00CC4D08">
      <w:pPr>
        <w:pStyle w:val="5"/>
        <w:pageBreakBefore w:val="0"/>
        <w:numPr>
          <w:ilvl w:val="1"/>
          <w:numId w:val="4"/>
        </w:numPr>
        <w:tabs>
          <w:tab w:val="clear" w:pos="0"/>
        </w:tabs>
        <w:kinsoku/>
        <w:wordWrap/>
        <w:overflowPunct/>
        <w:topLinePunct w:val="0"/>
        <w:autoSpaceDE/>
        <w:autoSpaceDN/>
        <w:bidi w:val="0"/>
        <w:spacing w:before="0" w:after="0" w:line="572" w:lineRule="exact"/>
        <w:ind w:left="567" w:leftChars="0" w:hanging="567" w:firstLineChars="0"/>
        <w:jc w:val="both"/>
        <w:outlineLvl w:val="2"/>
        <w:rPr>
          <w:rFonts w:hint="eastAsia" w:ascii="黑体" w:hAnsi="黑体" w:eastAsia="黑体" w:cs="黑体"/>
          <w:b w:val="0"/>
          <w:bCs/>
          <w:color w:val="auto"/>
          <w:sz w:val="24"/>
          <w:szCs w:val="24"/>
          <w:highlight w:val="none"/>
          <w:lang w:val="en"/>
        </w:rPr>
      </w:pPr>
      <w:bookmarkStart w:id="76" w:name="_Toc29449"/>
      <w:bookmarkStart w:id="77" w:name="_Toc151972476"/>
      <w:r>
        <w:rPr>
          <w:rFonts w:hint="eastAsia" w:ascii="黑体" w:hAnsi="黑体" w:eastAsia="黑体" w:cs="黑体"/>
          <w:b w:val="0"/>
          <w:bCs/>
          <w:color w:val="auto"/>
          <w:sz w:val="24"/>
          <w:szCs w:val="24"/>
          <w:highlight w:val="none"/>
          <w:lang w:val="en"/>
        </w:rPr>
        <w:t>总体技术要求</w:t>
      </w:r>
      <w:bookmarkEnd w:id="76"/>
    </w:p>
    <w:p w14:paraId="7CD3A35C">
      <w:pPr>
        <w:pStyle w:val="8"/>
        <w:pageBreakBefore w:val="0"/>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建设方案中所涉及的技术框架、开发语言、数据库、中间件、云服务及第三方工具等，必须完全符合甲方技术栈规定的范围和标准版本。如因某些业务特殊性要求，使用未纳入技术栈清单的组件或工具，需提前向甲方提交申请，经评估通过后方可实施。所有应用需满足容器化部署的要求。</w:t>
      </w:r>
    </w:p>
    <w:p w14:paraId="33761C3E">
      <w:pPr>
        <w:pStyle w:val="8"/>
        <w:pageBreakBefore w:val="0"/>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lang w:val="en"/>
        </w:rPr>
      </w:pPr>
      <w:r>
        <w:rPr>
          <w:rFonts w:hint="eastAsia" w:ascii="宋体" w:hAnsi="宋体" w:eastAsia="宋体" w:cs="宋体"/>
          <w:color w:val="auto"/>
          <w:sz w:val="24"/>
          <w:szCs w:val="24"/>
          <w:highlight w:val="none"/>
          <w:lang w:val="en"/>
        </w:rPr>
        <w:t>乙方应向甲方提供全部软件</w:t>
      </w:r>
      <w:r>
        <w:rPr>
          <w:rFonts w:hint="eastAsia" w:ascii="宋体" w:hAnsi="宋体" w:cs="宋体"/>
          <w:color w:val="auto"/>
          <w:sz w:val="24"/>
          <w:szCs w:val="24"/>
          <w:highlight w:val="none"/>
          <w:lang w:val="en" w:eastAsia="zh-CN"/>
        </w:rPr>
        <w:t>源</w:t>
      </w:r>
      <w:r>
        <w:rPr>
          <w:rFonts w:hint="eastAsia" w:ascii="宋体" w:hAnsi="宋体" w:eastAsia="宋体" w:cs="宋体"/>
          <w:color w:val="auto"/>
          <w:sz w:val="24"/>
          <w:szCs w:val="24"/>
          <w:highlight w:val="none"/>
          <w:lang w:val="en"/>
        </w:rPr>
        <w:t>代码（采购的第三方产品除外），甲方有权进行变更，并在</w:t>
      </w:r>
      <w:r>
        <w:rPr>
          <w:rFonts w:hint="eastAsia" w:ascii="宋体" w:hAnsi="宋体" w:cs="宋体"/>
          <w:color w:val="auto"/>
          <w:sz w:val="24"/>
          <w:szCs w:val="24"/>
          <w:highlight w:val="none"/>
          <w:lang w:val="en" w:eastAsia="zh-CN"/>
        </w:rPr>
        <w:t>集团（含子公司）</w:t>
      </w:r>
      <w:r>
        <w:rPr>
          <w:rFonts w:hint="eastAsia" w:ascii="宋体" w:hAnsi="宋体" w:eastAsia="宋体" w:cs="宋体"/>
          <w:color w:val="auto"/>
          <w:sz w:val="24"/>
          <w:szCs w:val="24"/>
          <w:highlight w:val="none"/>
          <w:lang w:val="en"/>
        </w:rPr>
        <w:t>内使用。</w:t>
      </w:r>
    </w:p>
    <w:p w14:paraId="40259A79">
      <w:pPr>
        <w:pStyle w:val="5"/>
        <w:pageBreakBefore w:val="0"/>
        <w:numPr>
          <w:ilvl w:val="1"/>
          <w:numId w:val="4"/>
        </w:numPr>
        <w:tabs>
          <w:tab w:val="clear" w:pos="0"/>
        </w:tabs>
        <w:kinsoku/>
        <w:wordWrap/>
        <w:overflowPunct/>
        <w:topLinePunct w:val="0"/>
        <w:autoSpaceDE/>
        <w:autoSpaceDN/>
        <w:bidi w:val="0"/>
        <w:spacing w:before="0" w:after="0" w:line="572" w:lineRule="exact"/>
        <w:ind w:left="567" w:leftChars="0" w:hanging="567" w:firstLineChars="0"/>
        <w:jc w:val="both"/>
        <w:outlineLvl w:val="2"/>
        <w:rPr>
          <w:rFonts w:hint="eastAsia" w:ascii="黑体" w:hAnsi="黑体" w:eastAsia="黑体" w:cs="黑体"/>
          <w:b w:val="0"/>
          <w:bCs/>
          <w:color w:val="auto"/>
          <w:sz w:val="24"/>
          <w:szCs w:val="24"/>
          <w:highlight w:val="none"/>
          <w:lang w:val="en"/>
        </w:rPr>
      </w:pPr>
      <w:bookmarkStart w:id="78" w:name="_Toc25745"/>
      <w:r>
        <w:rPr>
          <w:rFonts w:hint="eastAsia" w:ascii="黑体" w:hAnsi="黑体" w:eastAsia="黑体" w:cs="黑体"/>
          <w:b w:val="0"/>
          <w:bCs/>
          <w:color w:val="auto"/>
          <w:sz w:val="24"/>
          <w:szCs w:val="24"/>
          <w:highlight w:val="none"/>
          <w:lang w:val="en"/>
        </w:rPr>
        <w:t>软件性能要求</w:t>
      </w:r>
      <w:bookmarkEnd w:id="77"/>
      <w:bookmarkEnd w:id="78"/>
    </w:p>
    <w:p w14:paraId="68EA2B22">
      <w:pPr>
        <w:pageBreakBefore w:val="0"/>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本项目在软件性能方面应满足以下要求，投标人提供的技术响应方案，应满足在网络正常的情况下，能够满足以下性能指标，并详细说明保障措施：</w:t>
      </w:r>
    </w:p>
    <w:p w14:paraId="39944B4F">
      <w:pPr>
        <w:pageBreakBefore w:val="0"/>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1公共服务同时支持在线用户数不低于10000，并发用户数不低于100。</w:t>
      </w:r>
    </w:p>
    <w:p w14:paraId="31EB5CDA">
      <w:pPr>
        <w:pageBreakBefore w:val="0"/>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2应保障数据具有高完整性、一致性、准确性、及时性。</w:t>
      </w:r>
    </w:p>
    <w:p w14:paraId="1FE7D511">
      <w:pPr>
        <w:pageBreakBefore w:val="0"/>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3数据查询效率，在千万级数据表情况下，简单查询数据响应时间不超过3s。</w:t>
      </w:r>
    </w:p>
    <w:p w14:paraId="701AF032">
      <w:pPr>
        <w:pStyle w:val="15"/>
        <w:pageBreakBefore w:val="0"/>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4 单一页面最大响应时长不超过3秒；用户登录时间不超过3秒；界面初始化操作不超过3秒；</w:t>
      </w:r>
    </w:p>
    <w:p w14:paraId="79C28D66">
      <w:pPr>
        <w:pStyle w:val="15"/>
        <w:pageBreakBefore w:val="0"/>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 日志中心和调用链数据查询、统计响应时间不超过 3 秒；其他系统内性能指标类查询和统计的响应时间不超过2 秒；</w:t>
      </w:r>
    </w:p>
    <w:p w14:paraId="1935F475">
      <w:pPr>
        <w:pageBreakBefore w:val="0"/>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lang w:val="en"/>
        </w:rPr>
      </w:pPr>
      <w:r>
        <w:rPr>
          <w:rFonts w:hint="eastAsia" w:ascii="宋体" w:hAnsi="宋体" w:eastAsia="宋体" w:cs="宋体"/>
          <w:color w:val="auto"/>
          <w:sz w:val="24"/>
          <w:szCs w:val="24"/>
          <w:highlight w:val="none"/>
        </w:rPr>
        <w:t>6 系统需具备海量数据处理能力，实时数据处理延迟不超过2分钟。</w:t>
      </w:r>
    </w:p>
    <w:p w14:paraId="74A7D0F3">
      <w:pPr>
        <w:pStyle w:val="5"/>
        <w:pageBreakBefore w:val="0"/>
        <w:numPr>
          <w:ilvl w:val="1"/>
          <w:numId w:val="4"/>
        </w:numPr>
        <w:tabs>
          <w:tab w:val="clear" w:pos="0"/>
        </w:tabs>
        <w:kinsoku/>
        <w:wordWrap/>
        <w:overflowPunct/>
        <w:topLinePunct w:val="0"/>
        <w:autoSpaceDE/>
        <w:autoSpaceDN/>
        <w:bidi w:val="0"/>
        <w:spacing w:before="0" w:after="0" w:line="572" w:lineRule="exact"/>
        <w:ind w:left="567" w:leftChars="0" w:hanging="567" w:firstLineChars="0"/>
        <w:jc w:val="both"/>
        <w:outlineLvl w:val="2"/>
        <w:rPr>
          <w:rFonts w:hint="eastAsia" w:ascii="黑体" w:hAnsi="黑体" w:eastAsia="黑体" w:cs="黑体"/>
          <w:b w:val="0"/>
          <w:bCs/>
          <w:color w:val="auto"/>
          <w:sz w:val="24"/>
          <w:szCs w:val="24"/>
          <w:highlight w:val="none"/>
          <w:lang w:val="en"/>
        </w:rPr>
      </w:pPr>
      <w:bookmarkStart w:id="79" w:name="_Toc29282"/>
      <w:bookmarkStart w:id="80" w:name="_Toc151969765"/>
      <w:bookmarkStart w:id="81" w:name="_Toc151972477"/>
      <w:r>
        <w:rPr>
          <w:rFonts w:hint="eastAsia" w:ascii="黑体" w:hAnsi="黑体" w:eastAsia="黑体" w:cs="黑体"/>
          <w:b w:val="0"/>
          <w:bCs/>
          <w:color w:val="auto"/>
          <w:sz w:val="24"/>
          <w:szCs w:val="24"/>
          <w:highlight w:val="none"/>
          <w:lang w:val="en"/>
        </w:rPr>
        <w:t>技术支持服务要求</w:t>
      </w:r>
      <w:bookmarkEnd w:id="79"/>
      <w:bookmarkEnd w:id="80"/>
      <w:bookmarkEnd w:id="81"/>
    </w:p>
    <w:p w14:paraId="0F9A4E5B">
      <w:pPr>
        <w:pStyle w:val="6"/>
        <w:pageBreakBefore w:val="0"/>
        <w:numPr>
          <w:ilvl w:val="2"/>
          <w:numId w:val="4"/>
        </w:numPr>
        <w:tabs>
          <w:tab w:val="clear" w:pos="0"/>
        </w:tabs>
        <w:kinsoku/>
        <w:wordWrap/>
        <w:overflowPunct/>
        <w:topLinePunct w:val="0"/>
        <w:autoSpaceDE/>
        <w:autoSpaceDN/>
        <w:bidi w:val="0"/>
        <w:spacing w:before="0" w:after="0" w:line="572" w:lineRule="exact"/>
        <w:ind w:left="709" w:leftChars="0" w:hanging="709" w:firstLineChars="0"/>
        <w:jc w:val="both"/>
        <w:outlineLvl w:val="3"/>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免费质保服务</w:t>
      </w:r>
    </w:p>
    <w:p w14:paraId="3D5DFF45">
      <w:pPr>
        <w:pageBreakBefore w:val="0"/>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承担单位应提供不少于 2 年</w:t>
      </w:r>
      <w:r>
        <w:rPr>
          <w:rFonts w:hint="eastAsia" w:ascii="宋体" w:hAnsi="宋体" w:cs="宋体"/>
          <w:color w:val="auto"/>
          <w:sz w:val="24"/>
          <w:szCs w:val="24"/>
          <w:highlight w:val="none"/>
          <w:lang w:eastAsia="zh-CN"/>
        </w:rPr>
        <w:t>质保期</w:t>
      </w:r>
      <w:r>
        <w:rPr>
          <w:rFonts w:hint="eastAsia" w:ascii="宋体" w:hAnsi="宋体" w:eastAsia="宋体" w:cs="宋体"/>
          <w:color w:val="auto"/>
          <w:sz w:val="24"/>
          <w:szCs w:val="24"/>
          <w:highlight w:val="none"/>
        </w:rPr>
        <w:t>（自合同验收之日算起） 的免费质保服务。 在</w:t>
      </w:r>
      <w:r>
        <w:rPr>
          <w:rFonts w:hint="eastAsia" w:ascii="宋体" w:hAnsi="宋体" w:cs="宋体"/>
          <w:color w:val="auto"/>
          <w:sz w:val="24"/>
          <w:szCs w:val="24"/>
          <w:highlight w:val="none"/>
          <w:lang w:eastAsia="zh-CN"/>
        </w:rPr>
        <w:t>建设期和质保期</w:t>
      </w:r>
      <w:r>
        <w:rPr>
          <w:rFonts w:hint="eastAsia" w:ascii="宋体" w:hAnsi="宋体" w:eastAsia="宋体" w:cs="宋体"/>
          <w:color w:val="auto"/>
          <w:sz w:val="24"/>
          <w:szCs w:val="24"/>
          <w:highlight w:val="none"/>
        </w:rPr>
        <w:t>内， 承担单位有责任提供以下形式的技术支持服务：</w:t>
      </w:r>
    </w:p>
    <w:p w14:paraId="646E3491">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电话服务</w:t>
      </w:r>
    </w:p>
    <w:p w14:paraId="13B5D9C9">
      <w:pPr>
        <w:pageBreakBefore w:val="0"/>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承担单位须为用户提供技术支持电话， 解答软件和数据在使用过程中遇到的问题， 及时提出解决问题的正确建议和操作方法。提供应急策略。</w:t>
      </w:r>
    </w:p>
    <w:p w14:paraId="3427EE3B">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现场响应</w:t>
      </w:r>
    </w:p>
    <w:p w14:paraId="6D09855F">
      <w:pPr>
        <w:pageBreakBefore w:val="0"/>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自收到用户的服务请求起，若上述服务形式不能解决问题，1小时内作出实质性反应，指派技术人员赶赴现场进行问题处理。 遇到重大技术问题，承担单位应及时组织有关技术专家进行会诊，并在24小时内采取相应措施以确保系统的正常运行。 如果承担单位在接到通知后的两个工作日内未作出响应，承担单位须对由于故障所造成的损失后果负责。</w:t>
      </w:r>
    </w:p>
    <w:p w14:paraId="2B762219">
      <w:pPr>
        <w:pStyle w:val="7"/>
        <w:pageBreakBefore w:val="0"/>
        <w:numPr>
          <w:ilvl w:val="3"/>
          <w:numId w:val="4"/>
        </w:numPr>
        <w:tabs>
          <w:tab w:val="clear" w:pos="0"/>
        </w:tabs>
        <w:kinsoku/>
        <w:wordWrap/>
        <w:overflowPunct/>
        <w:topLinePunct w:val="0"/>
        <w:autoSpaceDE/>
        <w:autoSpaceDN/>
        <w:bidi w:val="0"/>
        <w:spacing w:before="0" w:after="0" w:line="572" w:lineRule="exact"/>
        <w:ind w:left="850" w:leftChars="0" w:hanging="850" w:firstLineChars="0"/>
        <w:jc w:val="both"/>
        <w:outlineLvl w:val="4"/>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驻场人员</w:t>
      </w:r>
    </w:p>
    <w:p w14:paraId="33386D4A">
      <w:pPr>
        <w:pStyle w:val="18"/>
        <w:pageBreakBefore w:val="0"/>
        <w:kinsoku/>
        <w:wordWrap/>
        <w:overflowPunct/>
        <w:topLinePunct w:val="0"/>
        <w:autoSpaceDE/>
        <w:autoSpaceDN/>
        <w:bidi w:val="0"/>
        <w:spacing w:line="572" w:lineRule="exact"/>
        <w:ind w:left="0" w:leftChars="0" w:firstLine="496" w:firstLineChars="200"/>
        <w:rPr>
          <w:rFonts w:hint="eastAsia" w:ascii="宋体" w:hAnsi="宋体" w:eastAsia="宋体" w:cs="宋体"/>
          <w:color w:val="auto"/>
          <w:sz w:val="24"/>
          <w:szCs w:val="24"/>
          <w:highlight w:val="none"/>
        </w:rPr>
      </w:pPr>
      <w:r>
        <w:rPr>
          <w:rFonts w:hint="eastAsia" w:ascii="宋体" w:hAnsi="宋体"/>
          <w:b w:val="0"/>
          <w:bCs/>
          <w:color w:val="auto"/>
          <w:sz w:val="24"/>
          <w:szCs w:val="24"/>
          <w:highlight w:val="none"/>
        </w:rPr>
        <w:t>建设期(自合同签订之日算起)在甲方指定地点完成软件开发、部署、调试以及运营相关工作</w:t>
      </w:r>
      <w:r>
        <w:rPr>
          <w:rFonts w:hint="eastAsia" w:ascii="宋体" w:hAnsi="宋体"/>
          <w:b w:val="0"/>
          <w:bCs/>
          <w:color w:val="auto"/>
          <w:sz w:val="24"/>
          <w:szCs w:val="24"/>
          <w:highlight w:val="none"/>
          <w:lang w:eastAsia="zh-CN"/>
        </w:rPr>
        <w:t>。质保期</w:t>
      </w:r>
      <w:r>
        <w:rPr>
          <w:rFonts w:hint="eastAsia" w:ascii="宋体" w:hAnsi="宋体"/>
          <w:b w:val="0"/>
          <w:bCs/>
          <w:color w:val="auto"/>
          <w:sz w:val="24"/>
          <w:szCs w:val="24"/>
          <w:highlight w:val="none"/>
        </w:rPr>
        <w:t>(自合同验收之日算起)累计驻场工作量不少于</w:t>
      </w:r>
      <w:r>
        <w:rPr>
          <w:rFonts w:hint="eastAsia" w:ascii="宋体" w:hAnsi="宋体"/>
          <w:b w:val="0"/>
          <w:bCs/>
          <w:color w:val="auto"/>
          <w:sz w:val="24"/>
          <w:szCs w:val="24"/>
          <w:highlight w:val="none"/>
          <w:lang w:val="en-US" w:eastAsia="zh-CN"/>
        </w:rPr>
        <w:t>5</w:t>
      </w:r>
      <w:r>
        <w:rPr>
          <w:rFonts w:hint="eastAsia" w:ascii="宋体" w:hAnsi="宋体"/>
          <w:b w:val="0"/>
          <w:bCs/>
          <w:color w:val="auto"/>
          <w:sz w:val="24"/>
          <w:szCs w:val="24"/>
          <w:highlight w:val="none"/>
        </w:rPr>
        <w:t>人年</w:t>
      </w:r>
      <w:r>
        <w:rPr>
          <w:rFonts w:hint="eastAsia" w:ascii="宋体" w:hAnsi="宋体"/>
          <w:b w:val="0"/>
          <w:bCs/>
          <w:color w:val="auto"/>
          <w:sz w:val="24"/>
          <w:szCs w:val="24"/>
          <w:highlight w:val="none"/>
          <w:lang w:eastAsia="zh-CN"/>
        </w:rPr>
        <w:t>。</w:t>
      </w:r>
    </w:p>
    <w:p w14:paraId="3C11450E">
      <w:pPr>
        <w:pStyle w:val="6"/>
        <w:pageBreakBefore w:val="0"/>
        <w:numPr>
          <w:ilvl w:val="2"/>
          <w:numId w:val="4"/>
        </w:numPr>
        <w:tabs>
          <w:tab w:val="clear" w:pos="0"/>
        </w:tabs>
        <w:kinsoku/>
        <w:wordWrap/>
        <w:overflowPunct/>
        <w:topLinePunct w:val="0"/>
        <w:autoSpaceDE/>
        <w:autoSpaceDN/>
        <w:bidi w:val="0"/>
        <w:spacing w:before="0" w:after="0" w:line="572" w:lineRule="exact"/>
        <w:ind w:left="709" w:leftChars="0" w:hanging="709" w:firstLineChars="0"/>
        <w:jc w:val="both"/>
        <w:outlineLvl w:val="3"/>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后续授权扩容报价（按需采购）</w:t>
      </w:r>
    </w:p>
    <w:p w14:paraId="0C9B1119">
      <w:pPr>
        <w:pageBreakBefore w:val="0"/>
        <w:kinsoku/>
        <w:wordWrap/>
        <w:overflowPunct/>
        <w:topLinePunct w:val="0"/>
        <w:autoSpaceDE/>
        <w:autoSpaceDN/>
        <w:bidi w:val="0"/>
        <w:spacing w:line="572" w:lineRule="exact"/>
        <w:ind w:left="0" w:leftChars="0" w:firstLine="496" w:firstLineChars="200"/>
        <w:rPr>
          <w:rFonts w:hint="eastAsia" w:ascii="宋体" w:hAnsi="宋体" w:eastAsia="宋体" w:cs="宋体"/>
          <w:color w:val="auto"/>
          <w:sz w:val="24"/>
          <w:szCs w:val="24"/>
          <w:highlight w:val="none"/>
        </w:rPr>
      </w:pPr>
      <w:r>
        <w:rPr>
          <w:rFonts w:hint="eastAsia" w:ascii="宋体" w:hAnsi="宋体" w:eastAsia="宋体" w:cs="宋体"/>
          <w:color w:val="auto"/>
          <w:spacing w:val="4"/>
          <w:sz w:val="24"/>
          <w:szCs w:val="24"/>
          <w:highlight w:val="none"/>
        </w:rPr>
        <w:t>如果存在授权后续扩容情况，</w:t>
      </w:r>
      <w:r>
        <w:rPr>
          <w:rFonts w:hint="eastAsia" w:ascii="宋体" w:hAnsi="宋体" w:cs="宋体"/>
          <w:color w:val="auto"/>
          <w:spacing w:val="4"/>
          <w:sz w:val="24"/>
          <w:szCs w:val="24"/>
          <w:highlight w:val="none"/>
          <w:lang w:eastAsia="zh-CN"/>
        </w:rPr>
        <w:t>应进行扩容的部署实施承诺报价</w:t>
      </w:r>
      <w:r>
        <w:rPr>
          <w:rFonts w:hint="eastAsia" w:ascii="宋体" w:hAnsi="宋体" w:eastAsia="宋体" w:cs="宋体"/>
          <w:color w:val="auto"/>
          <w:spacing w:val="4"/>
          <w:sz w:val="24"/>
          <w:szCs w:val="24"/>
          <w:highlight w:val="none"/>
        </w:rPr>
        <w:t>，报价水平应不高于本次报价的水平，且在评分中考虑一定的赋分。</w:t>
      </w:r>
    </w:p>
    <w:p w14:paraId="0E8BD7A7">
      <w:pPr>
        <w:pStyle w:val="6"/>
        <w:pageBreakBefore w:val="0"/>
        <w:numPr>
          <w:ilvl w:val="2"/>
          <w:numId w:val="4"/>
        </w:numPr>
        <w:tabs>
          <w:tab w:val="clear" w:pos="0"/>
        </w:tabs>
        <w:kinsoku/>
        <w:wordWrap/>
        <w:overflowPunct/>
        <w:topLinePunct w:val="0"/>
        <w:autoSpaceDE/>
        <w:autoSpaceDN/>
        <w:bidi w:val="0"/>
        <w:spacing w:before="0" w:after="0" w:line="572" w:lineRule="exact"/>
        <w:ind w:left="709" w:leftChars="0" w:hanging="709" w:firstLineChars="0"/>
        <w:jc w:val="both"/>
        <w:outlineLvl w:val="3"/>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持续运维服务承诺报价（按需采购）</w:t>
      </w:r>
    </w:p>
    <w:p w14:paraId="541A4597">
      <w:pPr>
        <w:pageBreakBefore w:val="0"/>
        <w:kinsoku/>
        <w:wordWrap/>
        <w:overflowPunct/>
        <w:topLinePunct w:val="0"/>
        <w:autoSpaceDE/>
        <w:autoSpaceDN/>
        <w:bidi w:val="0"/>
        <w:adjustRightInd w:val="0"/>
        <w:snapToGrid w:val="0"/>
        <w:spacing w:line="572" w:lineRule="exact"/>
        <w:ind w:left="0" w:leftChars="0" w:firstLine="496" w:firstLineChars="200"/>
        <w:rPr>
          <w:rFonts w:hint="eastAsia" w:ascii="宋体" w:hAnsi="宋体" w:eastAsia="宋体" w:cs="宋体"/>
          <w:color w:val="auto"/>
          <w:spacing w:val="4"/>
          <w:sz w:val="24"/>
          <w:szCs w:val="24"/>
          <w:highlight w:val="none"/>
        </w:rPr>
      </w:pPr>
      <w:r>
        <w:rPr>
          <w:rFonts w:hint="eastAsia" w:ascii="宋体" w:hAnsi="宋体" w:eastAsia="宋体" w:cs="宋体"/>
          <w:color w:val="auto"/>
          <w:spacing w:val="4"/>
          <w:sz w:val="24"/>
          <w:szCs w:val="24"/>
          <w:highlight w:val="none"/>
        </w:rPr>
        <w:t>投标人对免费质保服务期结束之后的持续运维服务进行具体的报价承诺，报价有效期从合同签订日起，于免费质保服务期结束后满3年止。持续运维服务的报价承诺是重要评标参数，会有明确的正向激励。需要进行承诺报价的服务内容如下：</w:t>
      </w:r>
    </w:p>
    <w:p w14:paraId="599FEDD3">
      <w:pPr>
        <w:pageBreakBefore w:val="0"/>
        <w:kinsoku/>
        <w:wordWrap/>
        <w:overflowPunct/>
        <w:topLinePunct w:val="0"/>
        <w:autoSpaceDE/>
        <w:autoSpaceDN/>
        <w:bidi w:val="0"/>
        <w:adjustRightInd w:val="0"/>
        <w:snapToGrid w:val="0"/>
        <w:spacing w:line="572" w:lineRule="exact"/>
        <w:ind w:left="0" w:leftChars="0" w:firstLine="496" w:firstLineChars="200"/>
        <w:rPr>
          <w:rFonts w:hint="eastAsia" w:ascii="宋体" w:hAnsi="宋体" w:eastAsia="宋体" w:cs="宋体"/>
          <w:color w:val="auto"/>
          <w:spacing w:val="4"/>
          <w:sz w:val="24"/>
          <w:szCs w:val="24"/>
          <w:highlight w:val="none"/>
        </w:rPr>
      </w:pPr>
      <w:r>
        <w:rPr>
          <w:rFonts w:hint="eastAsia" w:ascii="宋体" w:hAnsi="宋体" w:eastAsia="宋体" w:cs="宋体"/>
          <w:color w:val="auto"/>
          <w:spacing w:val="4"/>
          <w:sz w:val="24"/>
          <w:szCs w:val="24"/>
          <w:highlight w:val="none"/>
        </w:rPr>
        <w:t>（1）对每年的基础质保服务价格进行具体承诺报价，不可超过合同总金额的10%，基础质保服务的服务内容和要求与免费质保服务相同。</w:t>
      </w:r>
    </w:p>
    <w:p w14:paraId="6B7C88ED">
      <w:pPr>
        <w:pStyle w:val="18"/>
        <w:pageBreakBefore w:val="0"/>
        <w:kinsoku/>
        <w:wordWrap/>
        <w:overflowPunct/>
        <w:topLinePunct w:val="0"/>
        <w:autoSpaceDE/>
        <w:autoSpaceDN/>
        <w:bidi w:val="0"/>
        <w:spacing w:line="572" w:lineRule="exact"/>
        <w:ind w:left="0" w:leftChars="0" w:firstLine="496"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rPr>
        <w:t>（2）对驻场运维服务的人年单价进行具体承诺报价，不可超过35万元。驻场服务人员为所投软件或硬件原厂服务人员，驻场运维服务人员应为计算机相关专业本科毕业生，至少有2年以上的相关工作经验且具备相应资格证书。投标人须承诺如若中标，在项目驻场前提供投标人与原厂商的服务协议或合同，或提供拟派驻场运维人员不少于12个月的社保证明。</w:t>
      </w:r>
    </w:p>
    <w:p w14:paraId="6BE2990B">
      <w:pPr>
        <w:pStyle w:val="18"/>
        <w:pageBreakBefore w:val="0"/>
        <w:kinsoku/>
        <w:wordWrap/>
        <w:overflowPunct/>
        <w:topLinePunct w:val="0"/>
        <w:autoSpaceDE/>
        <w:autoSpaceDN/>
        <w:bidi w:val="0"/>
        <w:spacing w:line="572" w:lineRule="exact"/>
        <w:ind w:left="0" w:leftChars="0" w:firstLine="496" w:firstLineChars="200"/>
        <w:rPr>
          <w:rFonts w:hint="eastAsia" w:ascii="宋体" w:hAnsi="宋体" w:eastAsia="宋体" w:cs="宋体"/>
          <w:color w:val="auto"/>
          <w:sz w:val="24"/>
          <w:szCs w:val="24"/>
          <w:highlight w:val="none"/>
          <w:lang w:val="en-US"/>
        </w:rPr>
      </w:pPr>
      <w:r>
        <w:rPr>
          <w:rFonts w:hint="eastAsia" w:ascii="宋体" w:hAnsi="宋体" w:eastAsia="宋体" w:cs="宋体"/>
          <w:color w:val="auto"/>
          <w:sz w:val="24"/>
          <w:szCs w:val="24"/>
          <w:highlight w:val="none"/>
          <w:lang w:val="en-US"/>
        </w:rPr>
        <w:t>持续运维服务承诺报价有效期之后的服务价格可通过双方协商确定。</w:t>
      </w:r>
    </w:p>
    <w:p w14:paraId="700343FF">
      <w:pPr>
        <w:pStyle w:val="6"/>
        <w:pageBreakBefore w:val="0"/>
        <w:numPr>
          <w:ilvl w:val="2"/>
          <w:numId w:val="4"/>
        </w:numPr>
        <w:tabs>
          <w:tab w:val="clear" w:pos="0"/>
        </w:tabs>
        <w:kinsoku/>
        <w:wordWrap/>
        <w:overflowPunct/>
        <w:topLinePunct w:val="0"/>
        <w:autoSpaceDE/>
        <w:autoSpaceDN/>
        <w:bidi w:val="0"/>
        <w:spacing w:before="0" w:after="0" w:line="572" w:lineRule="exact"/>
        <w:ind w:left="709" w:leftChars="0" w:hanging="709" w:firstLineChars="0"/>
        <w:jc w:val="both"/>
        <w:outlineLvl w:val="3"/>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持续开发服务承诺报价（按需采购）</w:t>
      </w:r>
    </w:p>
    <w:p w14:paraId="4F3F7E13">
      <w:pPr>
        <w:pageBreakBefore w:val="0"/>
        <w:kinsoku/>
        <w:wordWrap/>
        <w:overflowPunct/>
        <w:topLinePunct w:val="0"/>
        <w:autoSpaceDE/>
        <w:autoSpaceDN/>
        <w:bidi w:val="0"/>
        <w:adjustRightInd w:val="0"/>
        <w:snapToGrid w:val="0"/>
        <w:spacing w:line="572" w:lineRule="exact"/>
        <w:ind w:left="0" w:leftChars="0" w:firstLine="496" w:firstLineChars="200"/>
        <w:rPr>
          <w:rFonts w:hint="eastAsia" w:ascii="宋体" w:hAnsi="宋体" w:eastAsia="宋体" w:cs="宋体"/>
          <w:color w:val="auto"/>
          <w:sz w:val="24"/>
          <w:szCs w:val="24"/>
          <w:highlight w:val="none"/>
        </w:rPr>
      </w:pPr>
      <w:r>
        <w:rPr>
          <w:rFonts w:hint="eastAsia" w:ascii="宋体" w:hAnsi="宋体" w:eastAsia="宋体" w:cs="宋体"/>
          <w:color w:val="auto"/>
          <w:spacing w:val="4"/>
          <w:sz w:val="24"/>
          <w:szCs w:val="24"/>
          <w:highlight w:val="none"/>
        </w:rPr>
        <w:t>投标人对本项目持续开发服务进行具体的报价承诺。报价有效期从合同签订日起，于免费质保服务期结束后满3年止。持续开发服务的报价承诺是重要评标参数，会有明确的正向激励。需要进行承诺报价内容：对持续开发服务人天单价进行具体承诺报价，不可超过1630元。</w:t>
      </w:r>
    </w:p>
    <w:p w14:paraId="0C4753AF">
      <w:pPr>
        <w:pStyle w:val="6"/>
        <w:pageBreakBefore w:val="0"/>
        <w:numPr>
          <w:ilvl w:val="2"/>
          <w:numId w:val="4"/>
        </w:numPr>
        <w:tabs>
          <w:tab w:val="clear" w:pos="0"/>
        </w:tabs>
        <w:kinsoku/>
        <w:wordWrap/>
        <w:overflowPunct/>
        <w:topLinePunct w:val="0"/>
        <w:autoSpaceDE/>
        <w:autoSpaceDN/>
        <w:bidi w:val="0"/>
        <w:spacing w:before="0" w:after="0" w:line="572" w:lineRule="exact"/>
        <w:ind w:left="709" w:leftChars="0" w:hanging="709" w:firstLineChars="0"/>
        <w:jc w:val="both"/>
        <w:outlineLvl w:val="3"/>
        <w:rPr>
          <w:rFonts w:hint="eastAsia" w:ascii="黑体" w:hAnsi="黑体" w:eastAsia="黑体" w:cs="黑体"/>
          <w:b w:val="0"/>
          <w:bCs/>
          <w:color w:val="auto"/>
          <w:sz w:val="24"/>
          <w:szCs w:val="24"/>
          <w:highlight w:val="none"/>
          <w:lang w:val="en"/>
        </w:rPr>
      </w:pPr>
      <w:r>
        <w:rPr>
          <w:rFonts w:hint="eastAsia" w:ascii="黑体" w:hAnsi="黑体" w:eastAsia="黑体" w:cs="黑体"/>
          <w:b w:val="0"/>
          <w:bCs/>
          <w:color w:val="auto"/>
          <w:sz w:val="24"/>
          <w:szCs w:val="24"/>
          <w:highlight w:val="none"/>
          <w:lang w:val="en"/>
        </w:rPr>
        <w:t>持续产品提供承诺报价（按需采购）</w:t>
      </w:r>
    </w:p>
    <w:p w14:paraId="28BEF0B5">
      <w:pPr>
        <w:pageBreakBefore w:val="0"/>
        <w:kinsoku/>
        <w:wordWrap/>
        <w:overflowPunct/>
        <w:topLinePunct w:val="0"/>
        <w:autoSpaceDE/>
        <w:autoSpaceDN/>
        <w:bidi w:val="0"/>
        <w:adjustRightInd w:val="0"/>
        <w:snapToGrid w:val="0"/>
        <w:spacing w:line="572" w:lineRule="exact"/>
        <w:ind w:left="0" w:leftChars="0" w:firstLine="496" w:firstLineChars="200"/>
        <w:rPr>
          <w:rFonts w:hint="eastAsia" w:ascii="宋体" w:hAnsi="宋体" w:eastAsia="宋体" w:cs="宋体"/>
          <w:color w:val="auto"/>
          <w:sz w:val="24"/>
          <w:szCs w:val="24"/>
          <w:highlight w:val="none"/>
        </w:rPr>
      </w:pPr>
      <w:r>
        <w:rPr>
          <w:rFonts w:hint="eastAsia" w:ascii="宋体" w:hAnsi="宋体" w:eastAsia="宋体" w:cs="宋体"/>
          <w:color w:val="auto"/>
          <w:spacing w:val="4"/>
          <w:sz w:val="24"/>
          <w:szCs w:val="24"/>
          <w:highlight w:val="none"/>
        </w:rPr>
        <w:t>投标人承诺以不高于本次报价的水平持续提供本项目所采购的硬件设备及软件系统（具体详见分项报价表）。报价有效期从合同签订日起，于免费质保服务期结束后满3年止。</w:t>
      </w:r>
    </w:p>
    <w:p w14:paraId="331F1DDF">
      <w:pPr>
        <w:pStyle w:val="5"/>
        <w:pageBreakBefore w:val="0"/>
        <w:numPr>
          <w:ilvl w:val="1"/>
          <w:numId w:val="4"/>
        </w:numPr>
        <w:tabs>
          <w:tab w:val="clear" w:pos="0"/>
        </w:tabs>
        <w:kinsoku/>
        <w:wordWrap/>
        <w:overflowPunct/>
        <w:topLinePunct w:val="0"/>
        <w:autoSpaceDE/>
        <w:autoSpaceDN/>
        <w:bidi w:val="0"/>
        <w:spacing w:before="0" w:after="0" w:line="572" w:lineRule="exact"/>
        <w:ind w:left="567" w:leftChars="0" w:hanging="567" w:firstLineChars="0"/>
        <w:jc w:val="both"/>
        <w:outlineLvl w:val="2"/>
        <w:rPr>
          <w:rFonts w:hint="eastAsia" w:ascii="黑体" w:hAnsi="黑体" w:eastAsia="黑体" w:cs="黑体"/>
          <w:b w:val="0"/>
          <w:bCs/>
          <w:color w:val="auto"/>
          <w:sz w:val="24"/>
          <w:szCs w:val="24"/>
          <w:highlight w:val="none"/>
          <w:lang w:val="en"/>
        </w:rPr>
      </w:pPr>
      <w:bookmarkStart w:id="82" w:name="_Toc151969766"/>
      <w:bookmarkStart w:id="83" w:name="_Toc151972478"/>
      <w:bookmarkStart w:id="84" w:name="_Toc25512"/>
      <w:r>
        <w:rPr>
          <w:rFonts w:hint="eastAsia" w:ascii="黑体" w:hAnsi="黑体" w:eastAsia="黑体" w:cs="黑体"/>
          <w:b w:val="0"/>
          <w:bCs/>
          <w:color w:val="auto"/>
          <w:sz w:val="24"/>
          <w:szCs w:val="24"/>
          <w:highlight w:val="none"/>
          <w:lang w:val="en"/>
        </w:rPr>
        <w:t>时间进度要求</w:t>
      </w:r>
      <w:bookmarkEnd w:id="82"/>
      <w:bookmarkEnd w:id="83"/>
      <w:bookmarkEnd w:id="84"/>
    </w:p>
    <w:p w14:paraId="731A3AC7">
      <w:pPr>
        <w:pageBreakBefore w:val="0"/>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严格控制项目中各项工作的开展顺序、开始时间、完成时间及相互依赖衔接关系的计划。通过进度计划的编制，使项目实施形成一个有机的整体。</w:t>
      </w:r>
    </w:p>
    <w:p w14:paraId="3599F12E">
      <w:pPr>
        <w:pageBreakBefore w:val="0"/>
        <w:kinsoku/>
        <w:wordWrap/>
        <w:overflowPunct/>
        <w:topLinePunct w:val="0"/>
        <w:autoSpaceDE/>
        <w:autoSpaceDN/>
        <w:bidi w:val="0"/>
        <w:spacing w:line="572" w:lineRule="exact"/>
        <w:ind w:left="0" w:leftChars="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根据项目任务分解情况，通过进一步细分，制定出精确的时间表，保证项目的顺利实施。</w:t>
      </w:r>
    </w:p>
    <w:p w14:paraId="72A4B6A2">
      <w:pPr>
        <w:pStyle w:val="19"/>
        <w:keepNext w:val="0"/>
        <w:keepLines w:val="0"/>
        <w:pageBreakBefore w:val="0"/>
        <w:widowControl/>
        <w:numPr>
          <w:ilvl w:val="0"/>
          <w:numId w:val="0"/>
        </w:numPr>
        <w:kinsoku/>
        <w:wordWrap/>
        <w:overflowPunct/>
        <w:topLinePunct w:val="0"/>
        <w:autoSpaceDE/>
        <w:autoSpaceDN/>
        <w:bidi w:val="0"/>
        <w:adjustRightInd/>
        <w:snapToGrid/>
        <w:spacing w:before="0" w:beforeLines="0" w:after="0" w:afterLines="0" w:line="572" w:lineRule="atLeast"/>
        <w:ind w:firstLine="480" w:firstLineChars="200"/>
        <w:textAlignment w:val="auto"/>
        <w:outlineLvl w:val="9"/>
        <w:rPr>
          <w:rFonts w:hint="eastAsia" w:ascii="宋体" w:hAnsi="宋体" w:eastAsia="宋体" w:cs="宋体"/>
          <w:color w:val="auto"/>
          <w:sz w:val="24"/>
          <w:szCs w:val="24"/>
          <w:highlight w:val="none"/>
        </w:rPr>
      </w:pPr>
      <w:r>
        <w:rPr>
          <w:rFonts w:hint="eastAsia" w:ascii="宋体" w:hAnsi="宋体" w:eastAsia="宋体" w:cs="Times New Roman"/>
          <w:b w:val="0"/>
          <w:bCs/>
          <w:color w:val="auto"/>
          <w:spacing w:val="0"/>
          <w:sz w:val="24"/>
          <w:szCs w:val="20"/>
          <w:highlight w:val="none"/>
          <w:lang w:val="en-US"/>
        </w:rPr>
        <w:t>自合同签订之日起启动建设，</w:t>
      </w:r>
      <w:r>
        <w:rPr>
          <w:rFonts w:hint="eastAsia" w:ascii="宋体" w:hAnsi="宋体" w:eastAsia="宋体" w:cs="Times New Roman"/>
          <w:bCs/>
          <w:i w:val="0"/>
          <w:iCs w:val="0"/>
          <w:caps w:val="0"/>
          <w:color w:val="auto"/>
          <w:spacing w:val="0"/>
          <w:kern w:val="2"/>
          <w:sz w:val="24"/>
          <w:szCs w:val="20"/>
          <w:highlight w:val="none"/>
          <w:lang w:val="en-US" w:eastAsia="zh-CN" w:bidi="ar"/>
        </w:rPr>
        <w:t>合同签订后一个月内完成系统上线</w:t>
      </w:r>
      <w:r>
        <w:rPr>
          <w:rFonts w:hint="eastAsia" w:ascii="宋体" w:hAnsi="宋体" w:eastAsia="宋体" w:cs="Times New Roman"/>
          <w:b w:val="0"/>
          <w:bCs/>
          <w:color w:val="auto"/>
          <w:spacing w:val="0"/>
          <w:sz w:val="24"/>
          <w:szCs w:val="20"/>
          <w:highlight w:val="none"/>
          <w:lang w:val="en-US"/>
        </w:rPr>
        <w:t>，2</w:t>
      </w:r>
      <w:r>
        <w:rPr>
          <w:rFonts w:hint="eastAsia" w:ascii="宋体" w:hAnsi="宋体" w:eastAsia="宋体" w:cs="Times New Roman"/>
          <w:b w:val="0"/>
          <w:bCs/>
          <w:color w:val="auto"/>
          <w:spacing w:val="0"/>
          <w:sz w:val="24"/>
          <w:szCs w:val="20"/>
          <w:highlight w:val="none"/>
          <w:lang w:val="en-US" w:eastAsia="zh-CN"/>
        </w:rPr>
        <w:t>0</w:t>
      </w:r>
      <w:r>
        <w:rPr>
          <w:rFonts w:hint="eastAsia" w:ascii="宋体" w:hAnsi="宋体"/>
          <w:b w:val="0"/>
          <w:bCs/>
          <w:color w:val="auto"/>
          <w:spacing w:val="0"/>
          <w:sz w:val="24"/>
          <w:szCs w:val="20"/>
          <w:highlight w:val="none"/>
          <w:lang w:val="en-US"/>
        </w:rPr>
        <w:t>25年12月31日前</w:t>
      </w:r>
      <w:r>
        <w:rPr>
          <w:rFonts w:hint="eastAsia" w:ascii="宋体" w:hAnsi="宋体"/>
          <w:b w:val="0"/>
          <w:bCs/>
          <w:color w:val="auto"/>
          <w:spacing w:val="0"/>
          <w:sz w:val="24"/>
          <w:szCs w:val="20"/>
          <w:highlight w:val="none"/>
          <w:lang w:val="en-US" w:eastAsia="zh-CN"/>
        </w:rPr>
        <w:t>具备</w:t>
      </w:r>
      <w:r>
        <w:rPr>
          <w:rFonts w:hint="eastAsia" w:ascii="宋体" w:hAnsi="宋体"/>
          <w:b w:val="0"/>
          <w:bCs/>
          <w:color w:val="auto"/>
          <w:spacing w:val="0"/>
          <w:sz w:val="24"/>
          <w:szCs w:val="20"/>
          <w:highlight w:val="none"/>
          <w:lang w:val="en-US"/>
        </w:rPr>
        <w:t>整体验收</w:t>
      </w:r>
      <w:r>
        <w:rPr>
          <w:rFonts w:hint="eastAsia" w:ascii="宋体" w:hAnsi="宋体"/>
          <w:b w:val="0"/>
          <w:bCs/>
          <w:color w:val="auto"/>
          <w:spacing w:val="0"/>
          <w:sz w:val="24"/>
          <w:szCs w:val="20"/>
          <w:highlight w:val="none"/>
          <w:lang w:val="en-US" w:eastAsia="zh-CN"/>
        </w:rPr>
        <w:t>条件</w:t>
      </w:r>
      <w:r>
        <w:rPr>
          <w:rFonts w:hint="eastAsia" w:ascii="宋体" w:hAnsi="宋体"/>
          <w:b w:val="0"/>
          <w:bCs/>
          <w:color w:val="auto"/>
          <w:spacing w:val="0"/>
          <w:sz w:val="24"/>
          <w:szCs w:val="20"/>
          <w:highlight w:val="none"/>
          <w:lang w:val="en-US"/>
        </w:rPr>
        <w:t>。</w:t>
      </w:r>
    </w:p>
    <w:p w14:paraId="35566E30">
      <w:pPr>
        <w:pageBreakBefore w:val="0"/>
        <w:kinsoku/>
        <w:wordWrap/>
        <w:overflowPunct/>
        <w:topLinePunct w:val="0"/>
        <w:autoSpaceDE/>
        <w:autoSpaceDN/>
        <w:bidi w:val="0"/>
        <w:spacing w:line="572" w:lineRule="exact"/>
        <w:ind w:left="0" w:leftChars="0" w:firstLine="480" w:firstLineChars="200"/>
        <w:rPr>
          <w:color w:val="auto"/>
          <w:highlight w:val="none"/>
        </w:rPr>
      </w:pPr>
      <w:r>
        <w:rPr>
          <w:rFonts w:hint="eastAsia" w:ascii="宋体" w:hAnsi="宋体" w:eastAsia="宋体" w:cs="宋体"/>
          <w:color w:val="auto"/>
          <w:sz w:val="24"/>
          <w:szCs w:val="24"/>
          <w:highlight w:val="none"/>
        </w:rPr>
        <w:t>项目建设完成后，中标人有义务无条件配合招标人完成整体项目验收相关工作。</w:t>
      </w:r>
    </w:p>
    <w:p w14:paraId="371005E7">
      <w:pPr>
        <w:pStyle w:val="5"/>
        <w:keepNext w:val="0"/>
        <w:keepLines w:val="0"/>
        <w:pageBreakBefore w:val="0"/>
        <w:widowControl/>
        <w:numPr>
          <w:ilvl w:val="1"/>
          <w:numId w:val="4"/>
        </w:numPr>
        <w:tabs>
          <w:tab w:val="clear" w:pos="0"/>
        </w:tabs>
        <w:kinsoku/>
        <w:wordWrap/>
        <w:overflowPunct/>
        <w:topLinePunct w:val="0"/>
        <w:autoSpaceDE/>
        <w:autoSpaceDN/>
        <w:bidi w:val="0"/>
        <w:adjustRightInd/>
        <w:snapToGrid/>
        <w:spacing w:before="0" w:beforeLines="-2147483648" w:after="0" w:afterLines="-2147483648" w:line="572" w:lineRule="exact"/>
        <w:ind w:left="567" w:leftChars="0" w:hanging="567" w:firstLineChars="0"/>
        <w:jc w:val="both"/>
        <w:textAlignment w:val="auto"/>
        <w:outlineLvl w:val="2"/>
        <w:rPr>
          <w:rFonts w:hint="eastAsia" w:ascii="黑体" w:hAnsi="黑体" w:eastAsia="黑体" w:cs="黑体"/>
          <w:b w:val="0"/>
          <w:bCs/>
          <w:color w:val="auto"/>
          <w:sz w:val="24"/>
          <w:szCs w:val="24"/>
          <w:highlight w:val="none"/>
          <w:lang w:val="en"/>
        </w:rPr>
      </w:pPr>
      <w:bookmarkStart w:id="85" w:name="_Toc14811"/>
      <w:r>
        <w:rPr>
          <w:rFonts w:hint="eastAsia" w:ascii="黑体" w:hAnsi="黑体" w:eastAsia="黑体" w:cs="黑体"/>
          <w:b w:val="0"/>
          <w:bCs/>
          <w:color w:val="auto"/>
          <w:sz w:val="24"/>
          <w:szCs w:val="24"/>
          <w:highlight w:val="none"/>
          <w:lang w:val="en" w:eastAsia="zh-CN"/>
        </w:rPr>
        <w:t>其他</w:t>
      </w:r>
      <w:r>
        <w:rPr>
          <w:rFonts w:hint="eastAsia" w:ascii="黑体" w:hAnsi="黑体" w:eastAsia="黑体" w:cs="黑体"/>
          <w:b w:val="0"/>
          <w:bCs/>
          <w:color w:val="auto"/>
          <w:sz w:val="24"/>
          <w:szCs w:val="24"/>
          <w:highlight w:val="none"/>
          <w:lang w:val="en"/>
        </w:rPr>
        <w:t>要求</w:t>
      </w:r>
      <w:bookmarkEnd w:id="85"/>
    </w:p>
    <w:p w14:paraId="1A830AAF">
      <w:pPr>
        <w:pStyle w:val="18"/>
        <w:spacing w:line="572" w:lineRule="exact"/>
        <w:rPr>
          <w:rFonts w:hint="eastAsia" w:ascii="宋体" w:hAnsi="宋体" w:eastAsia="宋体" w:cs="Times New Roman"/>
          <w:bCs/>
          <w:color w:val="auto"/>
          <w:spacing w:val="0"/>
          <w:sz w:val="24"/>
          <w:szCs w:val="20"/>
          <w:highlight w:val="none"/>
          <w:lang w:val="en-US"/>
        </w:rPr>
      </w:pPr>
      <w:r>
        <w:rPr>
          <w:rFonts w:hint="eastAsia" w:ascii="宋体" w:hAnsi="宋体" w:eastAsia="宋体"/>
          <w:bCs/>
          <w:color w:val="auto"/>
          <w:spacing w:val="0"/>
          <w:sz w:val="24"/>
          <w:szCs w:val="20"/>
          <w:highlight w:val="none"/>
          <w:lang w:val="en-US"/>
        </w:rPr>
        <w:t>本项目不允许</w:t>
      </w:r>
      <w:r>
        <w:rPr>
          <w:rFonts w:hint="eastAsia" w:ascii="宋体" w:hAnsi="宋体" w:eastAsia="宋体"/>
          <w:bCs/>
          <w:color w:val="auto"/>
          <w:spacing w:val="0"/>
          <w:sz w:val="24"/>
          <w:szCs w:val="20"/>
          <w:highlight w:val="none"/>
          <w:lang w:val="en-US" w:eastAsia="zh-CN"/>
        </w:rPr>
        <w:t>违法</w:t>
      </w:r>
      <w:r>
        <w:rPr>
          <w:rFonts w:hint="eastAsia" w:ascii="宋体" w:hAnsi="宋体" w:eastAsia="宋体"/>
          <w:bCs/>
          <w:color w:val="auto"/>
          <w:spacing w:val="0"/>
          <w:sz w:val="24"/>
          <w:szCs w:val="20"/>
          <w:highlight w:val="none"/>
          <w:lang w:val="en-US"/>
        </w:rPr>
        <w:t>分包</w:t>
      </w:r>
      <w:r>
        <w:rPr>
          <w:rFonts w:hint="eastAsia" w:ascii="宋体" w:hAnsi="宋体" w:eastAsia="宋体"/>
          <w:bCs/>
          <w:color w:val="auto"/>
          <w:spacing w:val="0"/>
          <w:sz w:val="24"/>
          <w:szCs w:val="20"/>
          <w:highlight w:val="none"/>
          <w:lang w:val="en-US" w:eastAsia="zh-CN"/>
        </w:rPr>
        <w:t>，不允许</w:t>
      </w:r>
      <w:r>
        <w:rPr>
          <w:rFonts w:hint="eastAsia" w:ascii="宋体" w:hAnsi="宋体" w:eastAsia="宋体"/>
          <w:bCs/>
          <w:color w:val="auto"/>
          <w:spacing w:val="0"/>
          <w:sz w:val="24"/>
          <w:szCs w:val="20"/>
          <w:highlight w:val="none"/>
          <w:lang w:val="en-US"/>
        </w:rPr>
        <w:t>转包</w:t>
      </w:r>
      <w:r>
        <w:rPr>
          <w:rFonts w:hint="eastAsia" w:ascii="宋体" w:hAnsi="宋体"/>
          <w:b w:val="0"/>
          <w:bCs/>
          <w:color w:val="auto"/>
          <w:spacing w:val="0"/>
          <w:sz w:val="24"/>
          <w:szCs w:val="20"/>
          <w:highlight w:val="none"/>
          <w:lang w:val="en-US" w:eastAsia="zh-CN"/>
        </w:rPr>
        <w:t>。</w:t>
      </w:r>
      <w:r>
        <w:rPr>
          <w:rFonts w:hint="eastAsia" w:ascii="宋体" w:hAnsi="宋体" w:eastAsia="宋体" w:cs="Times New Roman"/>
          <w:bCs/>
          <w:color w:val="auto"/>
          <w:spacing w:val="0"/>
          <w:sz w:val="24"/>
          <w:szCs w:val="20"/>
          <w:highlight w:val="none"/>
          <w:lang w:val="en-US"/>
        </w:rPr>
        <w:t>投标人根据招标文件载明的项目实际情况，拟在中标后将项目进行分包的，应当</w:t>
      </w:r>
      <w:r>
        <w:rPr>
          <w:rFonts w:hint="eastAsia" w:ascii="宋体" w:hAnsi="宋体" w:cs="Times New Roman"/>
          <w:bCs/>
          <w:color w:val="auto"/>
          <w:spacing w:val="0"/>
          <w:sz w:val="24"/>
          <w:szCs w:val="20"/>
          <w:highlight w:val="none"/>
          <w:lang w:val="en-US" w:eastAsia="zh-CN"/>
        </w:rPr>
        <w:t>符合国家有关法律法规的规定，并</w:t>
      </w:r>
      <w:r>
        <w:rPr>
          <w:rFonts w:hint="eastAsia" w:ascii="宋体" w:hAnsi="宋体" w:eastAsia="宋体" w:cs="Times New Roman"/>
          <w:bCs/>
          <w:color w:val="auto"/>
          <w:spacing w:val="0"/>
          <w:sz w:val="24"/>
          <w:szCs w:val="20"/>
          <w:highlight w:val="none"/>
          <w:lang w:val="en-US"/>
        </w:rPr>
        <w:t>在投标文件中载明。接受分包的人应当具备相应的资格条件，并不得再次分包。中标人应当就分包项目向招标人负责，接受分包的人就分包项目承担连带责任。</w:t>
      </w:r>
    </w:p>
    <w:p w14:paraId="250C9CB0">
      <w:pPr>
        <w:rPr>
          <w:b/>
          <w:bCs/>
        </w:rPr>
      </w:pPr>
      <w:bookmarkStart w:id="86" w:name="_GoBack"/>
      <w:bookmarkEnd w:id="86"/>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norHAns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154387"/>
    <w:multiLevelType w:val="singleLevel"/>
    <w:tmpl w:val="89154387"/>
    <w:lvl w:ilvl="0" w:tentative="0">
      <w:start w:val="1"/>
      <w:numFmt w:val="decimal"/>
      <w:suff w:val="nothing"/>
      <w:lvlText w:val="%1．"/>
      <w:lvlJc w:val="left"/>
      <w:pPr>
        <w:ind w:left="0" w:firstLine="400"/>
      </w:pPr>
      <w:rPr>
        <w:rFonts w:hint="default"/>
      </w:rPr>
    </w:lvl>
  </w:abstractNum>
  <w:abstractNum w:abstractNumId="1">
    <w:nsid w:val="8D96D1D8"/>
    <w:multiLevelType w:val="singleLevel"/>
    <w:tmpl w:val="8D96D1D8"/>
    <w:lvl w:ilvl="0" w:tentative="0">
      <w:start w:val="1"/>
      <w:numFmt w:val="decimal"/>
      <w:suff w:val="nothing"/>
      <w:lvlText w:val="%1．"/>
      <w:lvlJc w:val="left"/>
      <w:pPr>
        <w:ind w:left="0" w:firstLine="400"/>
      </w:pPr>
      <w:rPr>
        <w:rFonts w:hint="default"/>
      </w:rPr>
    </w:lvl>
  </w:abstractNum>
  <w:abstractNum w:abstractNumId="2">
    <w:nsid w:val="8DBD25FC"/>
    <w:multiLevelType w:val="singleLevel"/>
    <w:tmpl w:val="8DBD25FC"/>
    <w:lvl w:ilvl="0" w:tentative="0">
      <w:start w:val="1"/>
      <w:numFmt w:val="decimal"/>
      <w:suff w:val="nothing"/>
      <w:lvlText w:val="%1．"/>
      <w:lvlJc w:val="left"/>
      <w:pPr>
        <w:ind w:left="0" w:firstLine="400"/>
      </w:pPr>
      <w:rPr>
        <w:rFonts w:hint="default"/>
      </w:rPr>
    </w:lvl>
  </w:abstractNum>
  <w:abstractNum w:abstractNumId="3">
    <w:nsid w:val="8F164498"/>
    <w:multiLevelType w:val="singleLevel"/>
    <w:tmpl w:val="8F164498"/>
    <w:lvl w:ilvl="0" w:tentative="0">
      <w:start w:val="1"/>
      <w:numFmt w:val="decimal"/>
      <w:suff w:val="nothing"/>
      <w:lvlText w:val="%1．"/>
      <w:lvlJc w:val="left"/>
      <w:pPr>
        <w:ind w:left="0" w:firstLine="400"/>
      </w:pPr>
      <w:rPr>
        <w:rFonts w:hint="default"/>
      </w:rPr>
    </w:lvl>
  </w:abstractNum>
  <w:abstractNum w:abstractNumId="4">
    <w:nsid w:val="903965CF"/>
    <w:multiLevelType w:val="singleLevel"/>
    <w:tmpl w:val="903965CF"/>
    <w:lvl w:ilvl="0" w:tentative="0">
      <w:start w:val="1"/>
      <w:numFmt w:val="decimal"/>
      <w:suff w:val="nothing"/>
      <w:lvlText w:val="%1．"/>
      <w:lvlJc w:val="left"/>
      <w:pPr>
        <w:ind w:left="0" w:firstLine="400"/>
      </w:pPr>
      <w:rPr>
        <w:rFonts w:hint="default"/>
      </w:rPr>
    </w:lvl>
  </w:abstractNum>
  <w:abstractNum w:abstractNumId="5">
    <w:nsid w:val="97B389A5"/>
    <w:multiLevelType w:val="singleLevel"/>
    <w:tmpl w:val="97B389A5"/>
    <w:lvl w:ilvl="0" w:tentative="0">
      <w:start w:val="1"/>
      <w:numFmt w:val="decimal"/>
      <w:suff w:val="nothing"/>
      <w:lvlText w:val="%1．"/>
      <w:lvlJc w:val="left"/>
      <w:pPr>
        <w:ind w:left="0" w:firstLine="400"/>
      </w:pPr>
      <w:rPr>
        <w:rFonts w:hint="default"/>
      </w:rPr>
    </w:lvl>
  </w:abstractNum>
  <w:abstractNum w:abstractNumId="6">
    <w:nsid w:val="98E49F26"/>
    <w:multiLevelType w:val="singleLevel"/>
    <w:tmpl w:val="98E49F26"/>
    <w:lvl w:ilvl="0" w:tentative="0">
      <w:start w:val="1"/>
      <w:numFmt w:val="decimal"/>
      <w:suff w:val="nothing"/>
      <w:lvlText w:val="%1．"/>
      <w:lvlJc w:val="left"/>
      <w:pPr>
        <w:ind w:left="0" w:firstLine="400"/>
      </w:pPr>
      <w:rPr>
        <w:rFonts w:hint="default"/>
      </w:rPr>
    </w:lvl>
  </w:abstractNum>
  <w:abstractNum w:abstractNumId="7">
    <w:nsid w:val="9CD77B02"/>
    <w:multiLevelType w:val="singleLevel"/>
    <w:tmpl w:val="9CD77B02"/>
    <w:lvl w:ilvl="0" w:tentative="0">
      <w:start w:val="1"/>
      <w:numFmt w:val="decimal"/>
      <w:suff w:val="nothing"/>
      <w:lvlText w:val="%1．"/>
      <w:lvlJc w:val="left"/>
      <w:pPr>
        <w:ind w:left="0" w:firstLine="400"/>
      </w:pPr>
      <w:rPr>
        <w:rFonts w:hint="default"/>
      </w:rPr>
    </w:lvl>
  </w:abstractNum>
  <w:abstractNum w:abstractNumId="8">
    <w:nsid w:val="A0E01FB2"/>
    <w:multiLevelType w:val="singleLevel"/>
    <w:tmpl w:val="A0E01FB2"/>
    <w:lvl w:ilvl="0" w:tentative="0">
      <w:start w:val="1"/>
      <w:numFmt w:val="decimal"/>
      <w:suff w:val="nothing"/>
      <w:lvlText w:val="%1．"/>
      <w:lvlJc w:val="left"/>
      <w:pPr>
        <w:ind w:left="0" w:firstLine="400"/>
      </w:pPr>
      <w:rPr>
        <w:rFonts w:hint="default"/>
      </w:rPr>
    </w:lvl>
  </w:abstractNum>
  <w:abstractNum w:abstractNumId="9">
    <w:nsid w:val="A46AFB3B"/>
    <w:multiLevelType w:val="singleLevel"/>
    <w:tmpl w:val="A46AFB3B"/>
    <w:lvl w:ilvl="0" w:tentative="0">
      <w:start w:val="1"/>
      <w:numFmt w:val="decimal"/>
      <w:suff w:val="nothing"/>
      <w:lvlText w:val="%1．"/>
      <w:lvlJc w:val="left"/>
      <w:pPr>
        <w:ind w:left="0" w:firstLine="400"/>
      </w:pPr>
      <w:rPr>
        <w:rFonts w:hint="default"/>
      </w:rPr>
    </w:lvl>
  </w:abstractNum>
  <w:abstractNum w:abstractNumId="10">
    <w:nsid w:val="AD2AB3B2"/>
    <w:multiLevelType w:val="singleLevel"/>
    <w:tmpl w:val="AD2AB3B2"/>
    <w:lvl w:ilvl="0" w:tentative="0">
      <w:start w:val="1"/>
      <w:numFmt w:val="decimal"/>
      <w:suff w:val="nothing"/>
      <w:lvlText w:val="%1．"/>
      <w:lvlJc w:val="left"/>
      <w:pPr>
        <w:ind w:left="0" w:firstLine="400"/>
      </w:pPr>
      <w:rPr>
        <w:rFonts w:hint="default"/>
      </w:rPr>
    </w:lvl>
  </w:abstractNum>
  <w:abstractNum w:abstractNumId="11">
    <w:nsid w:val="AECAA7D5"/>
    <w:multiLevelType w:val="singleLevel"/>
    <w:tmpl w:val="AECAA7D5"/>
    <w:lvl w:ilvl="0" w:tentative="0">
      <w:start w:val="1"/>
      <w:numFmt w:val="decimal"/>
      <w:suff w:val="nothing"/>
      <w:lvlText w:val="%1．"/>
      <w:lvlJc w:val="left"/>
      <w:pPr>
        <w:ind w:left="0" w:firstLine="400"/>
      </w:pPr>
      <w:rPr>
        <w:rFonts w:hint="default"/>
      </w:rPr>
    </w:lvl>
  </w:abstractNum>
  <w:abstractNum w:abstractNumId="12">
    <w:nsid w:val="B2991797"/>
    <w:multiLevelType w:val="singleLevel"/>
    <w:tmpl w:val="B2991797"/>
    <w:lvl w:ilvl="0" w:tentative="0">
      <w:start w:val="1"/>
      <w:numFmt w:val="decimal"/>
      <w:suff w:val="nothing"/>
      <w:lvlText w:val="%1．"/>
      <w:lvlJc w:val="left"/>
      <w:pPr>
        <w:ind w:left="0" w:firstLine="400"/>
      </w:pPr>
      <w:rPr>
        <w:rFonts w:hint="default"/>
      </w:rPr>
    </w:lvl>
  </w:abstractNum>
  <w:abstractNum w:abstractNumId="13">
    <w:nsid w:val="B42BA119"/>
    <w:multiLevelType w:val="multilevel"/>
    <w:tmpl w:val="B42BA119"/>
    <w:lvl w:ilvl="0" w:tentative="0">
      <w:start w:val="4"/>
      <w:numFmt w:val="decimal"/>
      <w:lvlText w:val="%1."/>
      <w:lvlJc w:val="left"/>
      <w:pPr>
        <w:ind w:left="425" w:hanging="425"/>
      </w:pPr>
      <w:rPr>
        <w:rFonts w:hint="default" w:ascii="宋体" w:hAnsi="宋体" w:eastAsia="宋体" w:cs="宋体"/>
        <w:sz w:val="28"/>
        <w:szCs w:val="28"/>
      </w:rPr>
    </w:lvl>
    <w:lvl w:ilvl="1" w:tentative="0">
      <w:start w:val="1"/>
      <w:numFmt w:val="decimal"/>
      <w:pStyle w:val="4"/>
      <w:lvlText w:val="%1.%2."/>
      <w:lvlJc w:val="left"/>
      <w:pPr>
        <w:ind w:left="567" w:hanging="567"/>
      </w:pPr>
      <w:rPr>
        <w:rFonts w:hint="default" w:ascii="宋体" w:hAnsi="宋体" w:cs="宋体"/>
        <w:sz w:val="30"/>
        <w:szCs w:val="30"/>
      </w:rPr>
    </w:lvl>
    <w:lvl w:ilvl="2" w:tentative="0">
      <w:start w:val="1"/>
      <w:numFmt w:val="decimal"/>
      <w:pStyle w:val="5"/>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4">
    <w:nsid w:val="B4B7B579"/>
    <w:multiLevelType w:val="singleLevel"/>
    <w:tmpl w:val="B4B7B579"/>
    <w:lvl w:ilvl="0" w:tentative="0">
      <w:start w:val="1"/>
      <w:numFmt w:val="decimal"/>
      <w:suff w:val="nothing"/>
      <w:lvlText w:val="%1．"/>
      <w:lvlJc w:val="left"/>
      <w:pPr>
        <w:ind w:left="0" w:firstLine="400"/>
      </w:pPr>
      <w:rPr>
        <w:rFonts w:hint="default"/>
      </w:rPr>
    </w:lvl>
  </w:abstractNum>
  <w:abstractNum w:abstractNumId="15">
    <w:nsid w:val="B6F7E485"/>
    <w:multiLevelType w:val="singleLevel"/>
    <w:tmpl w:val="B6F7E485"/>
    <w:lvl w:ilvl="0" w:tentative="0">
      <w:start w:val="1"/>
      <w:numFmt w:val="decimal"/>
      <w:suff w:val="nothing"/>
      <w:lvlText w:val="%1．"/>
      <w:lvlJc w:val="left"/>
      <w:pPr>
        <w:ind w:left="0" w:firstLine="400"/>
      </w:pPr>
      <w:rPr>
        <w:rFonts w:hint="default"/>
      </w:rPr>
    </w:lvl>
  </w:abstractNum>
  <w:abstractNum w:abstractNumId="16">
    <w:nsid w:val="B99B89A2"/>
    <w:multiLevelType w:val="singleLevel"/>
    <w:tmpl w:val="B99B89A2"/>
    <w:lvl w:ilvl="0" w:tentative="0">
      <w:start w:val="1"/>
      <w:numFmt w:val="decimal"/>
      <w:suff w:val="nothing"/>
      <w:lvlText w:val="%1．"/>
      <w:lvlJc w:val="left"/>
      <w:pPr>
        <w:ind w:left="0" w:firstLine="400"/>
      </w:pPr>
      <w:rPr>
        <w:rFonts w:hint="default"/>
      </w:rPr>
    </w:lvl>
  </w:abstractNum>
  <w:abstractNum w:abstractNumId="17">
    <w:nsid w:val="B9F2ADE9"/>
    <w:multiLevelType w:val="singleLevel"/>
    <w:tmpl w:val="B9F2ADE9"/>
    <w:lvl w:ilvl="0" w:tentative="0">
      <w:start w:val="1"/>
      <w:numFmt w:val="decimal"/>
      <w:suff w:val="nothing"/>
      <w:lvlText w:val="%1．"/>
      <w:lvlJc w:val="left"/>
      <w:pPr>
        <w:ind w:left="0" w:firstLine="400"/>
      </w:pPr>
      <w:rPr>
        <w:rFonts w:hint="default"/>
      </w:rPr>
    </w:lvl>
  </w:abstractNum>
  <w:abstractNum w:abstractNumId="18">
    <w:nsid w:val="BC32EBDE"/>
    <w:multiLevelType w:val="singleLevel"/>
    <w:tmpl w:val="BC32EBDE"/>
    <w:lvl w:ilvl="0" w:tentative="0">
      <w:start w:val="1"/>
      <w:numFmt w:val="decimal"/>
      <w:suff w:val="nothing"/>
      <w:lvlText w:val="%1．"/>
      <w:lvlJc w:val="left"/>
      <w:pPr>
        <w:ind w:left="0" w:firstLine="400"/>
      </w:pPr>
      <w:rPr>
        <w:rFonts w:hint="default"/>
      </w:rPr>
    </w:lvl>
  </w:abstractNum>
  <w:abstractNum w:abstractNumId="19">
    <w:nsid w:val="C4D20381"/>
    <w:multiLevelType w:val="singleLevel"/>
    <w:tmpl w:val="C4D20381"/>
    <w:lvl w:ilvl="0" w:tentative="0">
      <w:start w:val="1"/>
      <w:numFmt w:val="decimal"/>
      <w:suff w:val="nothing"/>
      <w:lvlText w:val="%1．"/>
      <w:lvlJc w:val="left"/>
      <w:pPr>
        <w:ind w:left="0" w:firstLine="400"/>
      </w:pPr>
      <w:rPr>
        <w:rFonts w:hint="default"/>
      </w:rPr>
    </w:lvl>
  </w:abstractNum>
  <w:abstractNum w:abstractNumId="20">
    <w:nsid w:val="D052B6EB"/>
    <w:multiLevelType w:val="singleLevel"/>
    <w:tmpl w:val="D052B6EB"/>
    <w:lvl w:ilvl="0" w:tentative="0">
      <w:start w:val="1"/>
      <w:numFmt w:val="decimal"/>
      <w:suff w:val="nothing"/>
      <w:lvlText w:val="%1．"/>
      <w:lvlJc w:val="left"/>
      <w:pPr>
        <w:ind w:left="0" w:firstLine="400"/>
      </w:pPr>
      <w:rPr>
        <w:rFonts w:hint="default"/>
      </w:rPr>
    </w:lvl>
  </w:abstractNum>
  <w:abstractNum w:abstractNumId="21">
    <w:nsid w:val="D27A6BDB"/>
    <w:multiLevelType w:val="singleLevel"/>
    <w:tmpl w:val="D27A6BDB"/>
    <w:lvl w:ilvl="0" w:tentative="0">
      <w:start w:val="1"/>
      <w:numFmt w:val="decimal"/>
      <w:suff w:val="nothing"/>
      <w:lvlText w:val="%1．"/>
      <w:lvlJc w:val="left"/>
      <w:pPr>
        <w:ind w:left="0" w:firstLine="400"/>
      </w:pPr>
      <w:rPr>
        <w:rFonts w:hint="default"/>
      </w:rPr>
    </w:lvl>
  </w:abstractNum>
  <w:abstractNum w:abstractNumId="22">
    <w:nsid w:val="D4238978"/>
    <w:multiLevelType w:val="singleLevel"/>
    <w:tmpl w:val="D4238978"/>
    <w:lvl w:ilvl="0" w:tentative="0">
      <w:start w:val="1"/>
      <w:numFmt w:val="decimal"/>
      <w:suff w:val="nothing"/>
      <w:lvlText w:val="%1．"/>
      <w:lvlJc w:val="left"/>
      <w:pPr>
        <w:ind w:left="0" w:firstLine="400"/>
      </w:pPr>
      <w:rPr>
        <w:rFonts w:hint="default"/>
      </w:rPr>
    </w:lvl>
  </w:abstractNum>
  <w:abstractNum w:abstractNumId="23">
    <w:nsid w:val="D5A08254"/>
    <w:multiLevelType w:val="singleLevel"/>
    <w:tmpl w:val="D5A08254"/>
    <w:lvl w:ilvl="0" w:tentative="0">
      <w:start w:val="1"/>
      <w:numFmt w:val="decimal"/>
      <w:suff w:val="nothing"/>
      <w:lvlText w:val="%1．"/>
      <w:lvlJc w:val="left"/>
      <w:pPr>
        <w:ind w:left="0" w:firstLine="400"/>
      </w:pPr>
      <w:rPr>
        <w:rFonts w:hint="default"/>
      </w:rPr>
    </w:lvl>
  </w:abstractNum>
  <w:abstractNum w:abstractNumId="24">
    <w:nsid w:val="D9BFD28F"/>
    <w:multiLevelType w:val="multilevel"/>
    <w:tmpl w:val="D9BFD28F"/>
    <w:lvl w:ilvl="0" w:tentative="0">
      <w:start w:val="1"/>
      <w:numFmt w:val="decimal"/>
      <w:pStyle w:val="2"/>
      <w:isLgl/>
      <w:lvlText w:val="%1."/>
      <w:lvlJc w:val="left"/>
      <w:pPr>
        <w:ind w:left="425" w:hanging="425"/>
      </w:pPr>
      <w:rPr>
        <w:rFonts w:hint="default" w:ascii="宋体" w:hAnsi="宋体" w:eastAsia="宋体" w:cs="宋体"/>
        <w:sz w:val="28"/>
        <w:szCs w:val="28"/>
      </w:rPr>
    </w:lvl>
    <w:lvl w:ilvl="1" w:tentative="0">
      <w:start w:val="1"/>
      <w:numFmt w:val="decimal"/>
      <w:lvlText w:val="%1.%2."/>
      <w:lvlJc w:val="left"/>
      <w:pPr>
        <w:ind w:left="567" w:hanging="567"/>
      </w:pPr>
      <w:rPr>
        <w:rFonts w:hint="default"/>
        <w:sz w:val="24"/>
        <w:szCs w:val="24"/>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5">
    <w:nsid w:val="DACF0714"/>
    <w:multiLevelType w:val="singleLevel"/>
    <w:tmpl w:val="DACF0714"/>
    <w:lvl w:ilvl="0" w:tentative="0">
      <w:start w:val="1"/>
      <w:numFmt w:val="decimal"/>
      <w:suff w:val="nothing"/>
      <w:lvlText w:val="%1．"/>
      <w:lvlJc w:val="left"/>
      <w:pPr>
        <w:ind w:left="0" w:firstLine="400"/>
      </w:pPr>
      <w:rPr>
        <w:rFonts w:hint="default"/>
      </w:rPr>
    </w:lvl>
  </w:abstractNum>
  <w:abstractNum w:abstractNumId="26">
    <w:nsid w:val="DC71F3A3"/>
    <w:multiLevelType w:val="singleLevel"/>
    <w:tmpl w:val="DC71F3A3"/>
    <w:lvl w:ilvl="0" w:tentative="0">
      <w:start w:val="1"/>
      <w:numFmt w:val="decimal"/>
      <w:suff w:val="nothing"/>
      <w:lvlText w:val="%1．"/>
      <w:lvlJc w:val="left"/>
      <w:pPr>
        <w:ind w:left="0" w:firstLine="400"/>
      </w:pPr>
      <w:rPr>
        <w:rFonts w:hint="default"/>
      </w:rPr>
    </w:lvl>
  </w:abstractNum>
  <w:abstractNum w:abstractNumId="27">
    <w:nsid w:val="DC919363"/>
    <w:multiLevelType w:val="multilevel"/>
    <w:tmpl w:val="DC919363"/>
    <w:lvl w:ilvl="0" w:tentative="0">
      <w:start w:val="1"/>
      <w:numFmt w:val="decimal"/>
      <w:suff w:val="nothing"/>
      <w:lvlText w:val="第%1章 "/>
      <w:lvlJc w:val="left"/>
      <w:pPr>
        <w:ind w:left="0" w:firstLine="0"/>
      </w:pPr>
    </w:lvl>
    <w:lvl w:ilvl="1" w:tentative="0">
      <w:start w:val="1"/>
      <w:numFmt w:val="decimal"/>
      <w:suff w:val="nothing"/>
      <w:lvlText w:val="%1.%2 "/>
      <w:lvlJc w:val="left"/>
      <w:pPr>
        <w:ind w:left="2694" w:firstLine="0"/>
      </w:pPr>
      <w:rPr>
        <w:lang w:val="en-US"/>
      </w:r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rPr>
        <w:rFonts w:hint="default" w:ascii="Arial" w:hAnsi="Arial" w:cs="Arial"/>
      </w:rPr>
    </w:lvl>
    <w:lvl w:ilvl="4" w:tentative="0">
      <w:start w:val="1"/>
      <w:numFmt w:val="decimal"/>
      <w:pStyle w:val="7"/>
      <w:lvlText w:val="%5."/>
      <w:lvlJc w:val="left"/>
      <w:pPr>
        <w:ind w:left="0" w:firstLine="0"/>
      </w:pPr>
      <w:rPr>
        <w:rFonts w:ascii="宋体" w:hAnsi="宋体" w:eastAsia="宋体" w:cs="宋体"/>
      </w:rPr>
    </w:lvl>
    <w:lvl w:ilvl="5" w:tentative="0">
      <w:start w:val="1"/>
      <w:numFmt w:val="decimal"/>
      <w:suff w:val="nothing"/>
      <w:lvlText w:val="%1.%2.%3.%4.%5.%6 "/>
      <w:lvlJc w:val="left"/>
      <w:pPr>
        <w:ind w:left="0" w:firstLine="0"/>
      </w:pPr>
    </w:lvl>
    <w:lvl w:ilvl="6" w:tentative="0">
      <w:start w:val="1"/>
      <w:numFmt w:val="decimal"/>
      <w:suff w:val="nothing"/>
      <w:lvlText w:val="%7. "/>
      <w:lvlJc w:val="left"/>
      <w:pPr>
        <w:ind w:left="0" w:firstLine="0"/>
      </w:pPr>
    </w:lvl>
    <w:lvl w:ilvl="7" w:tentative="0">
      <w:start w:val="1"/>
      <w:numFmt w:val="decimal"/>
      <w:suff w:val="nothing"/>
      <w:lvlText w:val="%8). "/>
      <w:lvlJc w:val="left"/>
      <w:pPr>
        <w:ind w:left="0" w:firstLine="0"/>
      </w:pPr>
    </w:lvl>
    <w:lvl w:ilvl="8" w:tentative="0">
      <w:start w:val="1"/>
      <w:numFmt w:val="upperLetter"/>
      <w:suff w:val="nothing"/>
      <w:lvlText w:val="%9. "/>
      <w:lvlJc w:val="left"/>
      <w:pPr>
        <w:ind w:left="0" w:firstLine="0"/>
      </w:pPr>
    </w:lvl>
  </w:abstractNum>
  <w:abstractNum w:abstractNumId="28">
    <w:nsid w:val="DEC5A430"/>
    <w:multiLevelType w:val="singleLevel"/>
    <w:tmpl w:val="DEC5A430"/>
    <w:lvl w:ilvl="0" w:tentative="0">
      <w:start w:val="1"/>
      <w:numFmt w:val="decimal"/>
      <w:suff w:val="nothing"/>
      <w:lvlText w:val="%1．"/>
      <w:lvlJc w:val="left"/>
      <w:pPr>
        <w:ind w:left="0" w:firstLine="400"/>
      </w:pPr>
      <w:rPr>
        <w:rFonts w:hint="default"/>
      </w:rPr>
    </w:lvl>
  </w:abstractNum>
  <w:abstractNum w:abstractNumId="29">
    <w:nsid w:val="E003B642"/>
    <w:multiLevelType w:val="singleLevel"/>
    <w:tmpl w:val="E003B642"/>
    <w:lvl w:ilvl="0" w:tentative="0">
      <w:start w:val="1"/>
      <w:numFmt w:val="decimal"/>
      <w:suff w:val="nothing"/>
      <w:lvlText w:val="%1．"/>
      <w:lvlJc w:val="left"/>
      <w:pPr>
        <w:ind w:left="0" w:firstLine="400"/>
      </w:pPr>
      <w:rPr>
        <w:rFonts w:hint="default"/>
      </w:rPr>
    </w:lvl>
  </w:abstractNum>
  <w:abstractNum w:abstractNumId="30">
    <w:nsid w:val="E2F52E00"/>
    <w:multiLevelType w:val="singleLevel"/>
    <w:tmpl w:val="E2F52E00"/>
    <w:lvl w:ilvl="0" w:tentative="0">
      <w:start w:val="1"/>
      <w:numFmt w:val="decimal"/>
      <w:suff w:val="nothing"/>
      <w:lvlText w:val="%1．"/>
      <w:lvlJc w:val="left"/>
      <w:pPr>
        <w:ind w:left="0" w:firstLine="400"/>
      </w:pPr>
      <w:rPr>
        <w:rFonts w:hint="default"/>
      </w:rPr>
    </w:lvl>
  </w:abstractNum>
  <w:abstractNum w:abstractNumId="31">
    <w:nsid w:val="EF29A7F4"/>
    <w:multiLevelType w:val="singleLevel"/>
    <w:tmpl w:val="EF29A7F4"/>
    <w:lvl w:ilvl="0" w:tentative="0">
      <w:start w:val="1"/>
      <w:numFmt w:val="decimal"/>
      <w:suff w:val="nothing"/>
      <w:lvlText w:val="%1．"/>
      <w:lvlJc w:val="left"/>
      <w:pPr>
        <w:ind w:left="0" w:firstLine="400"/>
      </w:pPr>
      <w:rPr>
        <w:rFonts w:hint="default"/>
      </w:rPr>
    </w:lvl>
  </w:abstractNum>
  <w:abstractNum w:abstractNumId="32">
    <w:nsid w:val="EF729CDA"/>
    <w:multiLevelType w:val="multilevel"/>
    <w:tmpl w:val="EF729CDA"/>
    <w:lvl w:ilvl="0" w:tentative="0">
      <w:start w:val="1"/>
      <w:numFmt w:val="decimal"/>
      <w:suff w:val="space"/>
      <w:lvlText w:val="%1."/>
      <w:lvlJc w:val="left"/>
      <w:pPr>
        <w:ind w:left="425" w:hanging="425"/>
      </w:pPr>
      <w:rPr>
        <w:rFonts w:hint="default"/>
      </w:rPr>
    </w:lvl>
    <w:lvl w:ilvl="1" w:tentative="0">
      <w:start w:val="1"/>
      <w:numFmt w:val="decimal"/>
      <w:suff w:val="space"/>
      <w:lvlText w:val="%1.%2"/>
      <w:lvlJc w:val="left"/>
      <w:pPr>
        <w:tabs>
          <w:tab w:val="left" w:pos="0"/>
        </w:tabs>
        <w:ind w:left="567" w:hanging="567"/>
      </w:pPr>
      <w:rPr>
        <w:rFonts w:hint="default"/>
      </w:rPr>
    </w:lvl>
    <w:lvl w:ilvl="2" w:tentative="0">
      <w:start w:val="1"/>
      <w:numFmt w:val="decimal"/>
      <w:suff w:val="space"/>
      <w:lvlText w:val="%1.%2.%3"/>
      <w:lvlJc w:val="left"/>
      <w:pPr>
        <w:tabs>
          <w:tab w:val="left" w:pos="0"/>
        </w:tabs>
        <w:ind w:left="709" w:hanging="709"/>
      </w:pPr>
      <w:rPr>
        <w:rFonts w:hint="default"/>
      </w:rPr>
    </w:lvl>
    <w:lvl w:ilvl="3" w:tentative="0">
      <w:start w:val="1"/>
      <w:numFmt w:val="decimal"/>
      <w:suff w:val="space"/>
      <w:lvlText w:val="%1.%2.%3.%4"/>
      <w:lvlJc w:val="left"/>
      <w:pPr>
        <w:tabs>
          <w:tab w:val="left" w:pos="0"/>
        </w:tabs>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3">
    <w:nsid w:val="F19804C2"/>
    <w:multiLevelType w:val="singleLevel"/>
    <w:tmpl w:val="F19804C2"/>
    <w:lvl w:ilvl="0" w:tentative="0">
      <w:start w:val="1"/>
      <w:numFmt w:val="decimal"/>
      <w:suff w:val="nothing"/>
      <w:lvlText w:val="%1．"/>
      <w:lvlJc w:val="left"/>
      <w:pPr>
        <w:ind w:left="0" w:firstLine="400"/>
      </w:pPr>
      <w:rPr>
        <w:rFonts w:hint="default"/>
      </w:rPr>
    </w:lvl>
  </w:abstractNum>
  <w:abstractNum w:abstractNumId="34">
    <w:nsid w:val="F253784E"/>
    <w:multiLevelType w:val="singleLevel"/>
    <w:tmpl w:val="F253784E"/>
    <w:lvl w:ilvl="0" w:tentative="0">
      <w:start w:val="1"/>
      <w:numFmt w:val="decimal"/>
      <w:suff w:val="nothing"/>
      <w:lvlText w:val="%1．"/>
      <w:lvlJc w:val="left"/>
      <w:pPr>
        <w:ind w:left="0" w:firstLine="400"/>
      </w:pPr>
      <w:rPr>
        <w:rFonts w:hint="default"/>
      </w:rPr>
    </w:lvl>
  </w:abstractNum>
  <w:abstractNum w:abstractNumId="35">
    <w:nsid w:val="F2E3F7A0"/>
    <w:multiLevelType w:val="singleLevel"/>
    <w:tmpl w:val="F2E3F7A0"/>
    <w:lvl w:ilvl="0" w:tentative="0">
      <w:start w:val="1"/>
      <w:numFmt w:val="decimal"/>
      <w:suff w:val="nothing"/>
      <w:lvlText w:val="%1．"/>
      <w:lvlJc w:val="left"/>
      <w:pPr>
        <w:ind w:left="0" w:firstLine="400"/>
      </w:pPr>
      <w:rPr>
        <w:rFonts w:hint="default"/>
      </w:rPr>
    </w:lvl>
  </w:abstractNum>
  <w:abstractNum w:abstractNumId="36">
    <w:nsid w:val="F49858FA"/>
    <w:multiLevelType w:val="singleLevel"/>
    <w:tmpl w:val="F49858FA"/>
    <w:lvl w:ilvl="0" w:tentative="0">
      <w:start w:val="1"/>
      <w:numFmt w:val="decimal"/>
      <w:suff w:val="nothing"/>
      <w:lvlText w:val="%1．"/>
      <w:lvlJc w:val="left"/>
      <w:pPr>
        <w:ind w:left="0" w:firstLine="400"/>
      </w:pPr>
      <w:rPr>
        <w:rFonts w:hint="default"/>
      </w:rPr>
    </w:lvl>
  </w:abstractNum>
  <w:abstractNum w:abstractNumId="37">
    <w:nsid w:val="F6C7FB3B"/>
    <w:multiLevelType w:val="singleLevel"/>
    <w:tmpl w:val="F6C7FB3B"/>
    <w:lvl w:ilvl="0" w:tentative="0">
      <w:start w:val="1"/>
      <w:numFmt w:val="decimal"/>
      <w:suff w:val="nothing"/>
      <w:lvlText w:val="%1．"/>
      <w:lvlJc w:val="left"/>
      <w:pPr>
        <w:ind w:left="0" w:firstLine="400"/>
      </w:pPr>
      <w:rPr>
        <w:rFonts w:hint="default"/>
      </w:rPr>
    </w:lvl>
  </w:abstractNum>
  <w:abstractNum w:abstractNumId="38">
    <w:nsid w:val="F91F72CC"/>
    <w:multiLevelType w:val="singleLevel"/>
    <w:tmpl w:val="F91F72CC"/>
    <w:lvl w:ilvl="0" w:tentative="0">
      <w:start w:val="1"/>
      <w:numFmt w:val="decimal"/>
      <w:suff w:val="nothing"/>
      <w:lvlText w:val="%1．"/>
      <w:lvlJc w:val="left"/>
      <w:pPr>
        <w:ind w:left="0" w:firstLine="400"/>
      </w:pPr>
      <w:rPr>
        <w:rFonts w:hint="default"/>
      </w:rPr>
    </w:lvl>
  </w:abstractNum>
  <w:abstractNum w:abstractNumId="39">
    <w:nsid w:val="F96CC365"/>
    <w:multiLevelType w:val="singleLevel"/>
    <w:tmpl w:val="F96CC365"/>
    <w:lvl w:ilvl="0" w:tentative="0">
      <w:start w:val="1"/>
      <w:numFmt w:val="decimal"/>
      <w:suff w:val="nothing"/>
      <w:lvlText w:val="%1．"/>
      <w:lvlJc w:val="left"/>
      <w:pPr>
        <w:ind w:left="0" w:firstLine="400"/>
      </w:pPr>
      <w:rPr>
        <w:rFonts w:hint="default"/>
      </w:rPr>
    </w:lvl>
  </w:abstractNum>
  <w:abstractNum w:abstractNumId="40">
    <w:nsid w:val="FF920DFC"/>
    <w:multiLevelType w:val="singleLevel"/>
    <w:tmpl w:val="FF920DFC"/>
    <w:lvl w:ilvl="0" w:tentative="0">
      <w:start w:val="1"/>
      <w:numFmt w:val="decimal"/>
      <w:suff w:val="nothing"/>
      <w:lvlText w:val="%1．"/>
      <w:lvlJc w:val="left"/>
      <w:pPr>
        <w:ind w:left="0" w:firstLine="400"/>
      </w:pPr>
      <w:rPr>
        <w:rFonts w:hint="default"/>
      </w:rPr>
    </w:lvl>
  </w:abstractNum>
  <w:abstractNum w:abstractNumId="41">
    <w:nsid w:val="01633D04"/>
    <w:multiLevelType w:val="singleLevel"/>
    <w:tmpl w:val="01633D04"/>
    <w:lvl w:ilvl="0" w:tentative="0">
      <w:start w:val="1"/>
      <w:numFmt w:val="decimal"/>
      <w:suff w:val="nothing"/>
      <w:lvlText w:val="%1．"/>
      <w:lvlJc w:val="left"/>
      <w:pPr>
        <w:ind w:left="0" w:firstLine="400"/>
      </w:pPr>
      <w:rPr>
        <w:rFonts w:hint="default"/>
      </w:rPr>
    </w:lvl>
  </w:abstractNum>
  <w:abstractNum w:abstractNumId="42">
    <w:nsid w:val="02B6F931"/>
    <w:multiLevelType w:val="singleLevel"/>
    <w:tmpl w:val="02B6F931"/>
    <w:lvl w:ilvl="0" w:tentative="0">
      <w:start w:val="1"/>
      <w:numFmt w:val="decimal"/>
      <w:suff w:val="nothing"/>
      <w:lvlText w:val="%1．"/>
      <w:lvlJc w:val="left"/>
      <w:pPr>
        <w:ind w:left="0" w:firstLine="400"/>
      </w:pPr>
      <w:rPr>
        <w:rFonts w:hint="default"/>
      </w:rPr>
    </w:lvl>
  </w:abstractNum>
  <w:abstractNum w:abstractNumId="43">
    <w:nsid w:val="06A37253"/>
    <w:multiLevelType w:val="singleLevel"/>
    <w:tmpl w:val="06A37253"/>
    <w:lvl w:ilvl="0" w:tentative="0">
      <w:start w:val="1"/>
      <w:numFmt w:val="decimal"/>
      <w:suff w:val="nothing"/>
      <w:lvlText w:val="%1．"/>
      <w:lvlJc w:val="left"/>
      <w:pPr>
        <w:ind w:left="0" w:firstLine="400"/>
      </w:pPr>
      <w:rPr>
        <w:rFonts w:hint="default"/>
      </w:rPr>
    </w:lvl>
  </w:abstractNum>
  <w:abstractNum w:abstractNumId="44">
    <w:nsid w:val="0EFA413A"/>
    <w:multiLevelType w:val="singleLevel"/>
    <w:tmpl w:val="0EFA413A"/>
    <w:lvl w:ilvl="0" w:tentative="0">
      <w:start w:val="1"/>
      <w:numFmt w:val="decimal"/>
      <w:suff w:val="nothing"/>
      <w:lvlText w:val="%1．"/>
      <w:lvlJc w:val="left"/>
      <w:pPr>
        <w:ind w:left="0" w:firstLine="400"/>
      </w:pPr>
      <w:rPr>
        <w:rFonts w:hint="default"/>
      </w:rPr>
    </w:lvl>
  </w:abstractNum>
  <w:abstractNum w:abstractNumId="45">
    <w:nsid w:val="100E1A2B"/>
    <w:multiLevelType w:val="singleLevel"/>
    <w:tmpl w:val="100E1A2B"/>
    <w:lvl w:ilvl="0" w:tentative="0">
      <w:start w:val="1"/>
      <w:numFmt w:val="decimal"/>
      <w:suff w:val="nothing"/>
      <w:lvlText w:val="%1．"/>
      <w:lvlJc w:val="left"/>
      <w:pPr>
        <w:ind w:left="0" w:firstLine="400"/>
      </w:pPr>
      <w:rPr>
        <w:rFonts w:hint="default"/>
      </w:rPr>
    </w:lvl>
  </w:abstractNum>
  <w:abstractNum w:abstractNumId="46">
    <w:nsid w:val="15ED8A21"/>
    <w:multiLevelType w:val="singleLevel"/>
    <w:tmpl w:val="15ED8A21"/>
    <w:lvl w:ilvl="0" w:tentative="0">
      <w:start w:val="1"/>
      <w:numFmt w:val="decimal"/>
      <w:suff w:val="nothing"/>
      <w:lvlText w:val="%1．"/>
      <w:lvlJc w:val="left"/>
      <w:pPr>
        <w:ind w:left="0" w:firstLine="400"/>
      </w:pPr>
      <w:rPr>
        <w:rFonts w:hint="default"/>
      </w:rPr>
    </w:lvl>
  </w:abstractNum>
  <w:abstractNum w:abstractNumId="47">
    <w:nsid w:val="2206EDA2"/>
    <w:multiLevelType w:val="singleLevel"/>
    <w:tmpl w:val="2206EDA2"/>
    <w:lvl w:ilvl="0" w:tentative="0">
      <w:start w:val="1"/>
      <w:numFmt w:val="decimal"/>
      <w:suff w:val="nothing"/>
      <w:lvlText w:val="%1．"/>
      <w:lvlJc w:val="left"/>
      <w:pPr>
        <w:ind w:left="0" w:firstLine="400"/>
      </w:pPr>
      <w:rPr>
        <w:rFonts w:hint="default"/>
      </w:rPr>
    </w:lvl>
  </w:abstractNum>
  <w:abstractNum w:abstractNumId="48">
    <w:nsid w:val="242A4E7B"/>
    <w:multiLevelType w:val="singleLevel"/>
    <w:tmpl w:val="242A4E7B"/>
    <w:lvl w:ilvl="0" w:tentative="0">
      <w:start w:val="1"/>
      <w:numFmt w:val="decimal"/>
      <w:suff w:val="nothing"/>
      <w:lvlText w:val="%1．"/>
      <w:lvlJc w:val="left"/>
      <w:pPr>
        <w:ind w:left="0" w:firstLine="400"/>
      </w:pPr>
      <w:rPr>
        <w:rFonts w:hint="default"/>
      </w:rPr>
    </w:lvl>
  </w:abstractNum>
  <w:abstractNum w:abstractNumId="49">
    <w:nsid w:val="270B42A4"/>
    <w:multiLevelType w:val="singleLevel"/>
    <w:tmpl w:val="270B42A4"/>
    <w:lvl w:ilvl="0" w:tentative="0">
      <w:start w:val="1"/>
      <w:numFmt w:val="decimal"/>
      <w:suff w:val="nothing"/>
      <w:lvlText w:val="%1．"/>
      <w:lvlJc w:val="left"/>
      <w:pPr>
        <w:ind w:left="0" w:firstLine="400"/>
      </w:pPr>
      <w:rPr>
        <w:rFonts w:hint="default"/>
      </w:rPr>
    </w:lvl>
  </w:abstractNum>
  <w:abstractNum w:abstractNumId="50">
    <w:nsid w:val="2C5C4833"/>
    <w:multiLevelType w:val="singleLevel"/>
    <w:tmpl w:val="2C5C4833"/>
    <w:lvl w:ilvl="0" w:tentative="0">
      <w:start w:val="1"/>
      <w:numFmt w:val="decimal"/>
      <w:suff w:val="nothing"/>
      <w:lvlText w:val="%1．"/>
      <w:lvlJc w:val="left"/>
      <w:pPr>
        <w:ind w:left="0" w:firstLine="400"/>
      </w:pPr>
      <w:rPr>
        <w:rFonts w:hint="default"/>
      </w:rPr>
    </w:lvl>
  </w:abstractNum>
  <w:abstractNum w:abstractNumId="51">
    <w:nsid w:val="2FC94459"/>
    <w:multiLevelType w:val="singleLevel"/>
    <w:tmpl w:val="2FC94459"/>
    <w:lvl w:ilvl="0" w:tentative="0">
      <w:start w:val="1"/>
      <w:numFmt w:val="decimal"/>
      <w:suff w:val="nothing"/>
      <w:lvlText w:val="%1．"/>
      <w:lvlJc w:val="left"/>
      <w:pPr>
        <w:ind w:left="0" w:firstLine="400"/>
      </w:pPr>
      <w:rPr>
        <w:rFonts w:hint="default"/>
      </w:rPr>
    </w:lvl>
  </w:abstractNum>
  <w:abstractNum w:abstractNumId="52">
    <w:nsid w:val="30EE253E"/>
    <w:multiLevelType w:val="singleLevel"/>
    <w:tmpl w:val="30EE253E"/>
    <w:lvl w:ilvl="0" w:tentative="0">
      <w:start w:val="1"/>
      <w:numFmt w:val="decimal"/>
      <w:suff w:val="nothing"/>
      <w:lvlText w:val="%1．"/>
      <w:lvlJc w:val="left"/>
      <w:pPr>
        <w:ind w:left="0" w:firstLine="400"/>
      </w:pPr>
      <w:rPr>
        <w:rFonts w:hint="default"/>
      </w:rPr>
    </w:lvl>
  </w:abstractNum>
  <w:abstractNum w:abstractNumId="53">
    <w:nsid w:val="31C8B455"/>
    <w:multiLevelType w:val="singleLevel"/>
    <w:tmpl w:val="31C8B455"/>
    <w:lvl w:ilvl="0" w:tentative="0">
      <w:start w:val="1"/>
      <w:numFmt w:val="decimal"/>
      <w:suff w:val="nothing"/>
      <w:lvlText w:val="%1．"/>
      <w:lvlJc w:val="left"/>
      <w:pPr>
        <w:ind w:left="0" w:firstLine="400"/>
      </w:pPr>
      <w:rPr>
        <w:rFonts w:hint="default"/>
      </w:rPr>
    </w:lvl>
  </w:abstractNum>
  <w:abstractNum w:abstractNumId="54">
    <w:nsid w:val="36DEAC48"/>
    <w:multiLevelType w:val="singleLevel"/>
    <w:tmpl w:val="36DEAC48"/>
    <w:lvl w:ilvl="0" w:tentative="0">
      <w:start w:val="1"/>
      <w:numFmt w:val="decimal"/>
      <w:suff w:val="nothing"/>
      <w:lvlText w:val="%1．"/>
      <w:lvlJc w:val="left"/>
      <w:pPr>
        <w:ind w:left="0" w:firstLine="400"/>
      </w:pPr>
      <w:rPr>
        <w:rFonts w:hint="default"/>
      </w:rPr>
    </w:lvl>
  </w:abstractNum>
  <w:abstractNum w:abstractNumId="55">
    <w:nsid w:val="3A1B8DBE"/>
    <w:multiLevelType w:val="singleLevel"/>
    <w:tmpl w:val="3A1B8DBE"/>
    <w:lvl w:ilvl="0" w:tentative="0">
      <w:start w:val="1"/>
      <w:numFmt w:val="decimal"/>
      <w:suff w:val="nothing"/>
      <w:lvlText w:val="%1．"/>
      <w:lvlJc w:val="left"/>
      <w:pPr>
        <w:ind w:left="0" w:firstLine="400"/>
      </w:pPr>
      <w:rPr>
        <w:rFonts w:hint="default"/>
      </w:rPr>
    </w:lvl>
  </w:abstractNum>
  <w:abstractNum w:abstractNumId="56">
    <w:nsid w:val="423D6F8E"/>
    <w:multiLevelType w:val="singleLevel"/>
    <w:tmpl w:val="423D6F8E"/>
    <w:lvl w:ilvl="0" w:tentative="0">
      <w:start w:val="1"/>
      <w:numFmt w:val="decimal"/>
      <w:suff w:val="nothing"/>
      <w:lvlText w:val="%1．"/>
      <w:lvlJc w:val="left"/>
      <w:pPr>
        <w:ind w:left="0" w:firstLine="400"/>
      </w:pPr>
      <w:rPr>
        <w:rFonts w:hint="default"/>
      </w:rPr>
    </w:lvl>
  </w:abstractNum>
  <w:abstractNum w:abstractNumId="57">
    <w:nsid w:val="43F39ADC"/>
    <w:multiLevelType w:val="singleLevel"/>
    <w:tmpl w:val="43F39ADC"/>
    <w:lvl w:ilvl="0" w:tentative="0">
      <w:start w:val="1"/>
      <w:numFmt w:val="decimal"/>
      <w:suff w:val="nothing"/>
      <w:lvlText w:val="%1．"/>
      <w:lvlJc w:val="left"/>
      <w:pPr>
        <w:ind w:left="0" w:firstLine="400"/>
      </w:pPr>
      <w:rPr>
        <w:rFonts w:hint="default"/>
      </w:rPr>
    </w:lvl>
  </w:abstractNum>
  <w:abstractNum w:abstractNumId="58">
    <w:nsid w:val="4533AACA"/>
    <w:multiLevelType w:val="singleLevel"/>
    <w:tmpl w:val="4533AACA"/>
    <w:lvl w:ilvl="0" w:tentative="0">
      <w:start w:val="1"/>
      <w:numFmt w:val="decimal"/>
      <w:suff w:val="nothing"/>
      <w:lvlText w:val="%1．"/>
      <w:lvlJc w:val="left"/>
      <w:pPr>
        <w:ind w:left="0" w:firstLine="400"/>
      </w:pPr>
      <w:rPr>
        <w:rFonts w:hint="default"/>
      </w:rPr>
    </w:lvl>
  </w:abstractNum>
  <w:abstractNum w:abstractNumId="59">
    <w:nsid w:val="47C4DEBE"/>
    <w:multiLevelType w:val="singleLevel"/>
    <w:tmpl w:val="47C4DEBE"/>
    <w:lvl w:ilvl="0" w:tentative="0">
      <w:start w:val="1"/>
      <w:numFmt w:val="decimal"/>
      <w:suff w:val="nothing"/>
      <w:lvlText w:val="%1．"/>
      <w:lvlJc w:val="left"/>
      <w:pPr>
        <w:ind w:left="0" w:firstLine="400"/>
      </w:pPr>
      <w:rPr>
        <w:rFonts w:hint="default"/>
      </w:rPr>
    </w:lvl>
  </w:abstractNum>
  <w:abstractNum w:abstractNumId="60">
    <w:nsid w:val="48678A97"/>
    <w:multiLevelType w:val="singleLevel"/>
    <w:tmpl w:val="48678A97"/>
    <w:lvl w:ilvl="0" w:tentative="0">
      <w:start w:val="1"/>
      <w:numFmt w:val="decimal"/>
      <w:suff w:val="nothing"/>
      <w:lvlText w:val="%1．"/>
      <w:lvlJc w:val="left"/>
      <w:pPr>
        <w:ind w:left="0" w:firstLine="400"/>
      </w:pPr>
      <w:rPr>
        <w:rFonts w:hint="default"/>
      </w:rPr>
    </w:lvl>
  </w:abstractNum>
  <w:abstractNum w:abstractNumId="61">
    <w:nsid w:val="4DF2D3DE"/>
    <w:multiLevelType w:val="singleLevel"/>
    <w:tmpl w:val="4DF2D3DE"/>
    <w:lvl w:ilvl="0" w:tentative="0">
      <w:start w:val="1"/>
      <w:numFmt w:val="decimal"/>
      <w:suff w:val="nothing"/>
      <w:lvlText w:val="%1．"/>
      <w:lvlJc w:val="left"/>
      <w:pPr>
        <w:ind w:left="0" w:firstLine="400"/>
      </w:pPr>
      <w:rPr>
        <w:rFonts w:hint="default"/>
      </w:rPr>
    </w:lvl>
  </w:abstractNum>
  <w:abstractNum w:abstractNumId="62">
    <w:nsid w:val="4E5D1A4B"/>
    <w:multiLevelType w:val="singleLevel"/>
    <w:tmpl w:val="4E5D1A4B"/>
    <w:lvl w:ilvl="0" w:tentative="0">
      <w:start w:val="1"/>
      <w:numFmt w:val="decimal"/>
      <w:suff w:val="nothing"/>
      <w:lvlText w:val="%1．"/>
      <w:lvlJc w:val="left"/>
      <w:pPr>
        <w:ind w:left="0" w:firstLine="400"/>
      </w:pPr>
      <w:rPr>
        <w:rFonts w:hint="default"/>
      </w:rPr>
    </w:lvl>
  </w:abstractNum>
  <w:abstractNum w:abstractNumId="63">
    <w:nsid w:val="5203D424"/>
    <w:multiLevelType w:val="singleLevel"/>
    <w:tmpl w:val="5203D424"/>
    <w:lvl w:ilvl="0" w:tentative="0">
      <w:start w:val="1"/>
      <w:numFmt w:val="decimal"/>
      <w:suff w:val="nothing"/>
      <w:lvlText w:val="%1．"/>
      <w:lvlJc w:val="left"/>
      <w:pPr>
        <w:ind w:left="0" w:firstLine="400"/>
      </w:pPr>
      <w:rPr>
        <w:rFonts w:hint="default"/>
      </w:rPr>
    </w:lvl>
  </w:abstractNum>
  <w:abstractNum w:abstractNumId="64">
    <w:nsid w:val="56EE8B3C"/>
    <w:multiLevelType w:val="singleLevel"/>
    <w:tmpl w:val="56EE8B3C"/>
    <w:lvl w:ilvl="0" w:tentative="0">
      <w:start w:val="1"/>
      <w:numFmt w:val="decimal"/>
      <w:suff w:val="nothing"/>
      <w:lvlText w:val="%1．"/>
      <w:lvlJc w:val="left"/>
      <w:pPr>
        <w:ind w:left="0" w:firstLine="400"/>
      </w:pPr>
      <w:rPr>
        <w:rFonts w:hint="default"/>
      </w:rPr>
    </w:lvl>
  </w:abstractNum>
  <w:abstractNum w:abstractNumId="65">
    <w:nsid w:val="5718F61F"/>
    <w:multiLevelType w:val="singleLevel"/>
    <w:tmpl w:val="5718F61F"/>
    <w:lvl w:ilvl="0" w:tentative="0">
      <w:start w:val="1"/>
      <w:numFmt w:val="decimal"/>
      <w:suff w:val="nothing"/>
      <w:lvlText w:val="%1．"/>
      <w:lvlJc w:val="left"/>
      <w:pPr>
        <w:ind w:left="0" w:firstLine="400"/>
      </w:pPr>
      <w:rPr>
        <w:rFonts w:hint="default"/>
      </w:rPr>
    </w:lvl>
  </w:abstractNum>
  <w:abstractNum w:abstractNumId="66">
    <w:nsid w:val="5CC2F54B"/>
    <w:multiLevelType w:val="singleLevel"/>
    <w:tmpl w:val="5CC2F54B"/>
    <w:lvl w:ilvl="0" w:tentative="0">
      <w:start w:val="1"/>
      <w:numFmt w:val="decimal"/>
      <w:suff w:val="nothing"/>
      <w:lvlText w:val="%1．"/>
      <w:lvlJc w:val="left"/>
      <w:pPr>
        <w:ind w:left="0" w:firstLine="400"/>
      </w:pPr>
      <w:rPr>
        <w:rFonts w:hint="default"/>
      </w:rPr>
    </w:lvl>
  </w:abstractNum>
  <w:abstractNum w:abstractNumId="67">
    <w:nsid w:val="5E246575"/>
    <w:multiLevelType w:val="singleLevel"/>
    <w:tmpl w:val="5E246575"/>
    <w:lvl w:ilvl="0" w:tentative="0">
      <w:start w:val="1"/>
      <w:numFmt w:val="decimal"/>
      <w:suff w:val="nothing"/>
      <w:lvlText w:val="%1．"/>
      <w:lvlJc w:val="left"/>
      <w:pPr>
        <w:ind w:left="0" w:firstLine="400"/>
      </w:pPr>
      <w:rPr>
        <w:rFonts w:hint="default"/>
      </w:rPr>
    </w:lvl>
  </w:abstractNum>
  <w:abstractNum w:abstractNumId="68">
    <w:nsid w:val="623781AC"/>
    <w:multiLevelType w:val="singleLevel"/>
    <w:tmpl w:val="623781AC"/>
    <w:lvl w:ilvl="0" w:tentative="0">
      <w:start w:val="1"/>
      <w:numFmt w:val="decimal"/>
      <w:suff w:val="nothing"/>
      <w:lvlText w:val="%1．"/>
      <w:lvlJc w:val="left"/>
      <w:pPr>
        <w:ind w:left="0" w:firstLine="400"/>
      </w:pPr>
      <w:rPr>
        <w:rFonts w:hint="default"/>
      </w:rPr>
    </w:lvl>
  </w:abstractNum>
  <w:abstractNum w:abstractNumId="69">
    <w:nsid w:val="699B9F56"/>
    <w:multiLevelType w:val="singleLevel"/>
    <w:tmpl w:val="699B9F56"/>
    <w:lvl w:ilvl="0" w:tentative="0">
      <w:start w:val="1"/>
      <w:numFmt w:val="decimal"/>
      <w:suff w:val="nothing"/>
      <w:lvlText w:val="%1．"/>
      <w:lvlJc w:val="left"/>
      <w:pPr>
        <w:ind w:left="0" w:firstLine="400"/>
      </w:pPr>
      <w:rPr>
        <w:rFonts w:hint="default"/>
      </w:rPr>
    </w:lvl>
  </w:abstractNum>
  <w:abstractNum w:abstractNumId="70">
    <w:nsid w:val="6D248C32"/>
    <w:multiLevelType w:val="singleLevel"/>
    <w:tmpl w:val="6D248C32"/>
    <w:lvl w:ilvl="0" w:tentative="0">
      <w:start w:val="1"/>
      <w:numFmt w:val="decimal"/>
      <w:suff w:val="nothing"/>
      <w:lvlText w:val="%1．"/>
      <w:lvlJc w:val="left"/>
      <w:pPr>
        <w:ind w:left="0" w:firstLine="400"/>
      </w:pPr>
      <w:rPr>
        <w:rFonts w:hint="default"/>
      </w:rPr>
    </w:lvl>
  </w:abstractNum>
  <w:abstractNum w:abstractNumId="71">
    <w:nsid w:val="6EB03693"/>
    <w:multiLevelType w:val="singleLevel"/>
    <w:tmpl w:val="6EB03693"/>
    <w:lvl w:ilvl="0" w:tentative="0">
      <w:start w:val="1"/>
      <w:numFmt w:val="decimal"/>
      <w:suff w:val="nothing"/>
      <w:lvlText w:val="%1．"/>
      <w:lvlJc w:val="left"/>
      <w:pPr>
        <w:ind w:left="0" w:firstLine="400"/>
      </w:pPr>
      <w:rPr>
        <w:rFonts w:hint="default"/>
      </w:rPr>
    </w:lvl>
  </w:abstractNum>
  <w:abstractNum w:abstractNumId="72">
    <w:nsid w:val="738EB461"/>
    <w:multiLevelType w:val="singleLevel"/>
    <w:tmpl w:val="738EB461"/>
    <w:lvl w:ilvl="0" w:tentative="0">
      <w:start w:val="1"/>
      <w:numFmt w:val="decimal"/>
      <w:suff w:val="nothing"/>
      <w:lvlText w:val="%1．"/>
      <w:lvlJc w:val="left"/>
      <w:pPr>
        <w:ind w:left="0" w:firstLine="400"/>
      </w:pPr>
      <w:rPr>
        <w:rFonts w:hint="default"/>
      </w:rPr>
    </w:lvl>
  </w:abstractNum>
  <w:abstractNum w:abstractNumId="73">
    <w:nsid w:val="75535798"/>
    <w:multiLevelType w:val="singleLevel"/>
    <w:tmpl w:val="75535798"/>
    <w:lvl w:ilvl="0" w:tentative="0">
      <w:start w:val="1"/>
      <w:numFmt w:val="decimal"/>
      <w:suff w:val="nothing"/>
      <w:lvlText w:val="%1．"/>
      <w:lvlJc w:val="left"/>
      <w:pPr>
        <w:ind w:left="0" w:firstLine="400"/>
      </w:pPr>
      <w:rPr>
        <w:rFonts w:hint="default"/>
      </w:rPr>
    </w:lvl>
  </w:abstractNum>
  <w:abstractNum w:abstractNumId="74">
    <w:nsid w:val="77CCD2FB"/>
    <w:multiLevelType w:val="singleLevel"/>
    <w:tmpl w:val="77CCD2FB"/>
    <w:lvl w:ilvl="0" w:tentative="0">
      <w:start w:val="1"/>
      <w:numFmt w:val="decimal"/>
      <w:suff w:val="nothing"/>
      <w:lvlText w:val="%1．"/>
      <w:lvlJc w:val="left"/>
      <w:pPr>
        <w:ind w:left="0" w:firstLine="400"/>
      </w:pPr>
      <w:rPr>
        <w:rFonts w:hint="default"/>
      </w:rPr>
    </w:lvl>
  </w:abstractNum>
  <w:abstractNum w:abstractNumId="75">
    <w:nsid w:val="7C204BE9"/>
    <w:multiLevelType w:val="singleLevel"/>
    <w:tmpl w:val="7C204BE9"/>
    <w:lvl w:ilvl="0" w:tentative="0">
      <w:start w:val="1"/>
      <w:numFmt w:val="decimal"/>
      <w:suff w:val="nothing"/>
      <w:lvlText w:val="%1．"/>
      <w:lvlJc w:val="left"/>
      <w:pPr>
        <w:ind w:left="0" w:firstLine="400"/>
      </w:pPr>
      <w:rPr>
        <w:rFonts w:hint="default"/>
      </w:rPr>
    </w:lvl>
  </w:abstractNum>
  <w:num w:numId="1">
    <w:abstractNumId w:val="24"/>
  </w:num>
  <w:num w:numId="2">
    <w:abstractNumId w:val="13"/>
  </w:num>
  <w:num w:numId="3">
    <w:abstractNumId w:val="27"/>
  </w:num>
  <w:num w:numId="4">
    <w:abstractNumId w:val="32"/>
  </w:num>
  <w:num w:numId="5">
    <w:abstractNumId w:val="41"/>
  </w:num>
  <w:num w:numId="6">
    <w:abstractNumId w:val="37"/>
  </w:num>
  <w:num w:numId="7">
    <w:abstractNumId w:val="44"/>
  </w:num>
  <w:num w:numId="8">
    <w:abstractNumId w:val="53"/>
  </w:num>
  <w:num w:numId="9">
    <w:abstractNumId w:val="33"/>
  </w:num>
  <w:num w:numId="10">
    <w:abstractNumId w:val="35"/>
  </w:num>
  <w:num w:numId="11">
    <w:abstractNumId w:val="36"/>
  </w:num>
  <w:num w:numId="12">
    <w:abstractNumId w:val="11"/>
  </w:num>
  <w:num w:numId="13">
    <w:abstractNumId w:val="62"/>
  </w:num>
  <w:num w:numId="14">
    <w:abstractNumId w:val="60"/>
  </w:num>
  <w:num w:numId="15">
    <w:abstractNumId w:val="59"/>
  </w:num>
  <w:num w:numId="16">
    <w:abstractNumId w:val="69"/>
  </w:num>
  <w:num w:numId="17">
    <w:abstractNumId w:val="31"/>
  </w:num>
  <w:num w:numId="18">
    <w:abstractNumId w:val="54"/>
  </w:num>
  <w:num w:numId="19">
    <w:abstractNumId w:val="56"/>
  </w:num>
  <w:num w:numId="20">
    <w:abstractNumId w:val="4"/>
  </w:num>
  <w:num w:numId="21">
    <w:abstractNumId w:val="17"/>
  </w:num>
  <w:num w:numId="22">
    <w:abstractNumId w:val="67"/>
  </w:num>
  <w:num w:numId="23">
    <w:abstractNumId w:val="63"/>
  </w:num>
  <w:num w:numId="24">
    <w:abstractNumId w:val="46"/>
  </w:num>
  <w:num w:numId="25">
    <w:abstractNumId w:val="49"/>
  </w:num>
  <w:num w:numId="26">
    <w:abstractNumId w:val="19"/>
  </w:num>
  <w:num w:numId="27">
    <w:abstractNumId w:val="48"/>
  </w:num>
  <w:num w:numId="28">
    <w:abstractNumId w:val="29"/>
  </w:num>
  <w:num w:numId="29">
    <w:abstractNumId w:val="20"/>
  </w:num>
  <w:num w:numId="30">
    <w:abstractNumId w:val="5"/>
  </w:num>
  <w:num w:numId="31">
    <w:abstractNumId w:val="34"/>
  </w:num>
  <w:num w:numId="32">
    <w:abstractNumId w:val="23"/>
  </w:num>
  <w:num w:numId="33">
    <w:abstractNumId w:val="21"/>
  </w:num>
  <w:num w:numId="34">
    <w:abstractNumId w:val="18"/>
  </w:num>
  <w:num w:numId="35">
    <w:abstractNumId w:val="8"/>
  </w:num>
  <w:num w:numId="36">
    <w:abstractNumId w:val="1"/>
  </w:num>
  <w:num w:numId="37">
    <w:abstractNumId w:val="73"/>
  </w:num>
  <w:num w:numId="38">
    <w:abstractNumId w:val="9"/>
  </w:num>
  <w:num w:numId="39">
    <w:abstractNumId w:val="47"/>
  </w:num>
  <w:num w:numId="40">
    <w:abstractNumId w:val="26"/>
  </w:num>
  <w:num w:numId="41">
    <w:abstractNumId w:val="16"/>
  </w:num>
  <w:num w:numId="42">
    <w:abstractNumId w:val="66"/>
  </w:num>
  <w:num w:numId="43">
    <w:abstractNumId w:val="68"/>
  </w:num>
  <w:num w:numId="44">
    <w:abstractNumId w:val="74"/>
  </w:num>
  <w:num w:numId="45">
    <w:abstractNumId w:val="14"/>
  </w:num>
  <w:num w:numId="46">
    <w:abstractNumId w:val="64"/>
  </w:num>
  <w:num w:numId="47">
    <w:abstractNumId w:val="52"/>
  </w:num>
  <w:num w:numId="48">
    <w:abstractNumId w:val="70"/>
  </w:num>
  <w:num w:numId="49">
    <w:abstractNumId w:val="38"/>
  </w:num>
  <w:num w:numId="50">
    <w:abstractNumId w:val="30"/>
  </w:num>
  <w:num w:numId="51">
    <w:abstractNumId w:val="61"/>
  </w:num>
  <w:num w:numId="52">
    <w:abstractNumId w:val="40"/>
  </w:num>
  <w:num w:numId="53">
    <w:abstractNumId w:val="71"/>
  </w:num>
  <w:num w:numId="54">
    <w:abstractNumId w:val="28"/>
  </w:num>
  <w:num w:numId="55">
    <w:abstractNumId w:val="42"/>
  </w:num>
  <w:num w:numId="56">
    <w:abstractNumId w:val="0"/>
  </w:num>
  <w:num w:numId="57">
    <w:abstractNumId w:val="50"/>
  </w:num>
  <w:num w:numId="58">
    <w:abstractNumId w:val="75"/>
  </w:num>
  <w:num w:numId="59">
    <w:abstractNumId w:val="43"/>
  </w:num>
  <w:num w:numId="60">
    <w:abstractNumId w:val="25"/>
  </w:num>
  <w:num w:numId="61">
    <w:abstractNumId w:val="10"/>
  </w:num>
  <w:num w:numId="62">
    <w:abstractNumId w:val="3"/>
  </w:num>
  <w:num w:numId="63">
    <w:abstractNumId w:val="72"/>
  </w:num>
  <w:num w:numId="64">
    <w:abstractNumId w:val="6"/>
  </w:num>
  <w:num w:numId="65">
    <w:abstractNumId w:val="15"/>
  </w:num>
  <w:num w:numId="66">
    <w:abstractNumId w:val="55"/>
  </w:num>
  <w:num w:numId="67">
    <w:abstractNumId w:val="7"/>
  </w:num>
  <w:num w:numId="68">
    <w:abstractNumId w:val="65"/>
  </w:num>
  <w:num w:numId="69">
    <w:abstractNumId w:val="22"/>
  </w:num>
  <w:num w:numId="70">
    <w:abstractNumId w:val="45"/>
  </w:num>
  <w:num w:numId="71">
    <w:abstractNumId w:val="58"/>
  </w:num>
  <w:num w:numId="72">
    <w:abstractNumId w:val="39"/>
  </w:num>
  <w:num w:numId="73">
    <w:abstractNumId w:val="51"/>
  </w:num>
  <w:num w:numId="74">
    <w:abstractNumId w:val="2"/>
  </w:num>
  <w:num w:numId="75">
    <w:abstractNumId w:val="12"/>
  </w:num>
  <w:num w:numId="76">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2B6ECD"/>
    <w:rsid w:val="10AF5D8D"/>
    <w:rsid w:val="288A3E39"/>
    <w:rsid w:val="395E367D"/>
    <w:rsid w:val="3CC329FA"/>
    <w:rsid w:val="4AD329B7"/>
    <w:rsid w:val="531E4CC7"/>
    <w:rsid w:val="542B6E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qFormat="1" w:uiPriority="99"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3"/>
    <w:next w:val="1"/>
    <w:qFormat/>
    <w:uiPriority w:val="0"/>
    <w:pPr>
      <w:pageBreakBefore/>
      <w:numPr>
        <w:ilvl w:val="0"/>
        <w:numId w:val="1"/>
      </w:numPr>
      <w:spacing w:before="240" w:after="120" w:line="360" w:lineRule="auto"/>
      <w:jc w:val="left"/>
      <w:outlineLvl w:val="0"/>
    </w:pPr>
    <w:rPr>
      <w:rFonts w:eastAsia="宋体" w:asciiTheme="minorAscii" w:hAnsiTheme="minorAscii"/>
      <w:bCs/>
      <w:kern w:val="44"/>
      <w:szCs w:val="32"/>
    </w:rPr>
  </w:style>
  <w:style w:type="paragraph" w:styleId="4">
    <w:name w:val="heading 2"/>
    <w:basedOn w:val="1"/>
    <w:next w:val="1"/>
    <w:semiHidden/>
    <w:unhideWhenUsed/>
    <w:qFormat/>
    <w:uiPriority w:val="0"/>
    <w:pPr>
      <w:numPr>
        <w:ilvl w:val="1"/>
        <w:numId w:val="2"/>
      </w:numPr>
      <w:spacing w:before="60" w:after="60" w:line="360" w:lineRule="auto"/>
      <w:ind w:left="567" w:leftChars="0" w:hanging="567" w:firstLineChars="0"/>
      <w:outlineLvl w:val="1"/>
    </w:pPr>
    <w:rPr>
      <w:rFonts w:ascii="宋体" w:hAnsi="宋体" w:eastAsia="宋体"/>
      <w:kern w:val="0"/>
      <w:sz w:val="30"/>
    </w:rPr>
  </w:style>
  <w:style w:type="paragraph" w:styleId="5">
    <w:name w:val="heading 3"/>
    <w:basedOn w:val="1"/>
    <w:next w:val="1"/>
    <w:semiHidden/>
    <w:unhideWhenUsed/>
    <w:qFormat/>
    <w:uiPriority w:val="0"/>
    <w:pPr>
      <w:keepNext/>
      <w:keepLines/>
      <w:numPr>
        <w:ilvl w:val="2"/>
        <w:numId w:val="2"/>
      </w:numPr>
      <w:spacing w:after="120" w:line="360" w:lineRule="auto"/>
      <w:jc w:val="left"/>
      <w:outlineLvl w:val="2"/>
    </w:pPr>
    <w:rPr>
      <w:rFonts w:ascii="宋体" w:hAnsi="宋体" w:eastAsia="宋体" w:cs="宋体"/>
      <w:b/>
      <w:bCs/>
      <w:kern w:val="0"/>
      <w:sz w:val="28"/>
      <w:szCs w:val="28"/>
    </w:rPr>
  </w:style>
  <w:style w:type="paragraph" w:styleId="6">
    <w:name w:val="heading 4"/>
    <w:basedOn w:val="1"/>
    <w:next w:val="1"/>
    <w:unhideWhenUsed/>
    <w:qFormat/>
    <w:uiPriority w:val="0"/>
    <w:pPr>
      <w:keepNext/>
      <w:keepLines/>
      <w:spacing w:before="280" w:after="290" w:line="372" w:lineRule="auto"/>
      <w:outlineLvl w:val="3"/>
    </w:pPr>
    <w:rPr>
      <w:rFonts w:ascii="Arial" w:hAnsi="Arial" w:eastAsia="黑体"/>
      <w:b/>
      <w:sz w:val="28"/>
      <w:szCs w:val="20"/>
    </w:rPr>
  </w:style>
  <w:style w:type="paragraph" w:styleId="7">
    <w:name w:val="heading 5"/>
    <w:basedOn w:val="1"/>
    <w:next w:val="1"/>
    <w:semiHidden/>
    <w:unhideWhenUsed/>
    <w:qFormat/>
    <w:uiPriority w:val="0"/>
    <w:pPr>
      <w:keepNext/>
      <w:keepLines/>
      <w:numPr>
        <w:ilvl w:val="4"/>
        <w:numId w:val="3"/>
      </w:numPr>
      <w:spacing w:before="280" w:beforeLines="0" w:beforeAutospacing="0" w:after="290" w:afterLines="0" w:afterAutospacing="0" w:line="372" w:lineRule="auto"/>
      <w:outlineLvl w:val="4"/>
    </w:pPr>
    <w:rPr>
      <w:b/>
      <w:sz w:val="28"/>
    </w:rPr>
  </w:style>
  <w:style w:type="character" w:default="1" w:styleId="17">
    <w:name w:val="Default Paragraph Font"/>
    <w:semiHidden/>
    <w:qFormat/>
    <w:uiPriority w:val="0"/>
  </w:style>
  <w:style w:type="table" w:default="1" w:styleId="16">
    <w:name w:val="Normal Table"/>
    <w:semiHidden/>
    <w:uiPriority w:val="0"/>
    <w:tblPr>
      <w:tblCellMar>
        <w:top w:w="0" w:type="dxa"/>
        <w:left w:w="108" w:type="dxa"/>
        <w:bottom w:w="0" w:type="dxa"/>
        <w:right w:w="108" w:type="dxa"/>
      </w:tblCellMar>
    </w:tblPr>
  </w:style>
  <w:style w:type="paragraph" w:styleId="3">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8">
    <w:name w:val="Normal Indent"/>
    <w:basedOn w:val="1"/>
    <w:unhideWhenUsed/>
    <w:qFormat/>
    <w:uiPriority w:val="0"/>
    <w:pPr>
      <w:ind w:firstLine="420" w:firstLineChars="200"/>
    </w:pPr>
  </w:style>
  <w:style w:type="paragraph" w:styleId="9">
    <w:name w:val="Body Text"/>
    <w:basedOn w:val="1"/>
    <w:next w:val="10"/>
    <w:unhideWhenUsed/>
    <w:qFormat/>
    <w:uiPriority w:val="99"/>
    <w:pPr>
      <w:spacing w:after="120"/>
    </w:pPr>
  </w:style>
  <w:style w:type="paragraph" w:customStyle="1" w:styleId="10">
    <w:name w:val="toc 11"/>
    <w:next w:val="1"/>
    <w:qFormat/>
    <w:uiPriority w:val="0"/>
    <w:pPr>
      <w:wordWrap w:val="0"/>
      <w:jc w:val="both"/>
    </w:pPr>
    <w:rPr>
      <w:rFonts w:ascii="Times New Roman" w:hAnsi="Times New Roman" w:eastAsia="宋体" w:cs="Times New Roman"/>
      <w:sz w:val="21"/>
      <w:szCs w:val="22"/>
      <w:lang w:val="en-US" w:eastAsia="zh-CN" w:bidi="ar-SA"/>
    </w:rPr>
  </w:style>
  <w:style w:type="paragraph" w:styleId="11">
    <w:name w:val="Body Text Indent"/>
    <w:basedOn w:val="1"/>
    <w:next w:val="1"/>
    <w:semiHidden/>
    <w:unhideWhenUsed/>
    <w:qFormat/>
    <w:uiPriority w:val="99"/>
    <w:pPr>
      <w:spacing w:after="120"/>
      <w:ind w:left="420" w:leftChars="200"/>
    </w:pPr>
  </w:style>
  <w:style w:type="paragraph" w:styleId="12">
    <w:name w:val="List"/>
    <w:basedOn w:val="1"/>
    <w:qFormat/>
    <w:uiPriority w:val="0"/>
    <w:pPr>
      <w:keepNext w:val="0"/>
      <w:keepLines w:val="0"/>
      <w:widowControl w:val="0"/>
      <w:suppressLineNumbers w:val="0"/>
      <w:ind w:left="200" w:hanging="200" w:hangingChars="200"/>
      <w:jc w:val="both"/>
    </w:pPr>
    <w:rPr>
      <w:rFonts w:hint="default" w:ascii="Calibri" w:hAnsi="Calibri" w:eastAsia="宋体" w:cs="Times New Roman"/>
      <w:kern w:val="2"/>
      <w:sz w:val="21"/>
      <w:szCs w:val="21"/>
      <w:lang w:val="en-US" w:eastAsia="zh-CN" w:bidi="ar"/>
    </w:rPr>
  </w:style>
  <w:style w:type="paragraph" w:styleId="13">
    <w:name w:val="Body Text 2"/>
    <w:basedOn w:val="1"/>
    <w:uiPriority w:val="0"/>
    <w:pPr>
      <w:spacing w:after="120" w:afterLines="0" w:afterAutospacing="0" w:line="480" w:lineRule="auto"/>
    </w:pPr>
  </w:style>
  <w:style w:type="paragraph" w:styleId="14">
    <w:name w:val="Normal (Web)"/>
    <w:basedOn w:val="1"/>
    <w:qFormat/>
    <w:uiPriority w:val="0"/>
    <w:pPr>
      <w:widowControl/>
      <w:spacing w:before="100" w:beforeAutospacing="1" w:after="100" w:afterAutospacing="1"/>
      <w:jc w:val="left"/>
    </w:pPr>
    <w:rPr>
      <w:rFonts w:ascii="宋体" w:hAnsi="宋体" w:cs="宋体"/>
      <w:kern w:val="0"/>
      <w:sz w:val="24"/>
      <w:szCs w:val="24"/>
    </w:rPr>
  </w:style>
  <w:style w:type="paragraph" w:styleId="15">
    <w:name w:val="Body Text First Indent 2"/>
    <w:basedOn w:val="11"/>
    <w:next w:val="1"/>
    <w:unhideWhenUsed/>
    <w:qFormat/>
    <w:uiPriority w:val="99"/>
    <w:pPr>
      <w:adjustRightInd w:val="0"/>
      <w:snapToGrid w:val="0"/>
      <w:spacing w:line="336" w:lineRule="auto"/>
      <w:ind w:firstLine="420" w:firstLineChars="200"/>
    </w:pPr>
    <w:rPr>
      <w:rFonts w:ascii="宋体" w:hAnsi="Times New Roman"/>
      <w:color w:val="000000"/>
      <w:szCs w:val="24"/>
    </w:rPr>
  </w:style>
  <w:style w:type="paragraph" w:customStyle="1" w:styleId="18">
    <w:name w:val="文档正文"/>
    <w:basedOn w:val="1"/>
    <w:qFormat/>
    <w:uiPriority w:val="0"/>
    <w:pPr>
      <w:ind w:firstLine="496" w:firstLineChars="200"/>
    </w:pPr>
    <w:rPr>
      <w:color w:val="000000"/>
      <w:spacing w:val="4"/>
      <w:lang w:val="zh-CN"/>
    </w:rPr>
  </w:style>
  <w:style w:type="paragraph" w:styleId="19">
    <w:name w:val="List Paragraph"/>
    <w:basedOn w:val="1"/>
    <w:qFormat/>
    <w:uiPriority w:val="99"/>
    <w:pPr>
      <w:ind w:firstLine="420" w:firstLineChars="200"/>
    </w:pPr>
    <w:rPr>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59</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2025-10-10T05:52:00Z</dcterms:created>
  <dc:creator>杜大胖。</dc:creator>
  <cp:lastModifiedBy>杜大胖。</cp:lastModifiedBy>
  <dcterms:modified xsi:type="dcterms:W3CDTF">2025-10-10T05:53:33Z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F2B23D943EEF49FBA4D0CC4199E2F505_11</vt:lpwstr>
  </property>
  <property fmtid="{D5CDD505-2E9C-101B-9397-08002B2CF9AE}" pid="4" name="KSOTemplateDocerSaveRecord">
    <vt:lpwstr>eyJoZGlkIjoiNzFmNWNiMTVmMDMxYzlkMGJjNThjZGZkZGZlOTZkN2UiLCJ1c2VySWQiOiI1MTA1NzkzNDEifQ==</vt:lpwstr>
  </property>
</Properties>
</file>