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505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1155"/>
        <w:gridCol w:w="5666"/>
        <w:gridCol w:w="707"/>
      </w:tblGrid>
      <w:tr w14:paraId="4101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blHeader/>
          <w:jc w:val="center"/>
        </w:trPr>
        <w:tc>
          <w:tcPr>
            <w:tcW w:w="631" w:type="pct"/>
            <w:vAlign w:val="center"/>
          </w:tcPr>
          <w:p w14:paraId="11F93A3A">
            <w:pPr>
              <w:widowControl/>
              <w:spacing w:line="276" w:lineRule="auto"/>
              <w:jc w:val="center"/>
              <w:rPr>
                <w:rFonts w:ascii="宋体" w:hAnsi="宋体" w:eastAsia="宋体" w:cs="宋体"/>
                <w:b/>
                <w:color w:val="auto"/>
                <w:kern w:val="0"/>
                <w:sz w:val="21"/>
                <w:szCs w:val="21"/>
                <w:highlight w:val="none"/>
              </w:rPr>
            </w:pPr>
            <w:r>
              <w:rPr>
                <w:rFonts w:hint="eastAsia" w:ascii="宋体" w:hAnsi="宋体" w:eastAsia="宋体" w:cs="宋体"/>
                <w:b/>
                <w:color w:val="auto"/>
                <w:kern w:val="0"/>
                <w:sz w:val="21"/>
                <w:szCs w:val="21"/>
                <w:highlight w:val="none"/>
              </w:rPr>
              <w:t>评分项</w:t>
            </w:r>
          </w:p>
        </w:tc>
        <w:tc>
          <w:tcPr>
            <w:tcW w:w="670" w:type="pct"/>
            <w:vAlign w:val="center"/>
          </w:tcPr>
          <w:p w14:paraId="42B67D87">
            <w:pPr>
              <w:widowControl/>
              <w:spacing w:line="276" w:lineRule="auto"/>
              <w:ind w:right="-97" w:rightChars="-46"/>
              <w:jc w:val="center"/>
              <w:rPr>
                <w:rFonts w:ascii="宋体" w:hAnsi="宋体" w:eastAsia="宋体" w:cs="宋体"/>
                <w:b/>
                <w:color w:val="auto"/>
                <w:kern w:val="0"/>
                <w:sz w:val="21"/>
                <w:szCs w:val="21"/>
                <w:highlight w:val="none"/>
              </w:rPr>
            </w:pPr>
            <w:r>
              <w:rPr>
                <w:rFonts w:hint="eastAsia" w:ascii="宋体" w:hAnsi="宋体" w:eastAsia="宋体" w:cs="宋体"/>
                <w:b/>
                <w:color w:val="auto"/>
                <w:kern w:val="0"/>
                <w:sz w:val="21"/>
                <w:szCs w:val="21"/>
                <w:highlight w:val="none"/>
              </w:rPr>
              <w:t>评标内容</w:t>
            </w:r>
          </w:p>
        </w:tc>
        <w:tc>
          <w:tcPr>
            <w:tcW w:w="3286" w:type="pct"/>
            <w:vAlign w:val="center"/>
          </w:tcPr>
          <w:p w14:paraId="76D2B8B5">
            <w:pPr>
              <w:widowControl/>
              <w:spacing w:line="276" w:lineRule="auto"/>
              <w:jc w:val="center"/>
              <w:rPr>
                <w:rFonts w:ascii="宋体" w:hAnsi="宋体" w:eastAsia="宋体" w:cs="宋体"/>
                <w:b/>
                <w:color w:val="auto"/>
                <w:kern w:val="0"/>
                <w:sz w:val="21"/>
                <w:szCs w:val="21"/>
                <w:highlight w:val="none"/>
              </w:rPr>
            </w:pPr>
            <w:r>
              <w:rPr>
                <w:rFonts w:hint="eastAsia" w:ascii="宋体" w:hAnsi="宋体" w:eastAsia="宋体" w:cs="宋体"/>
                <w:b/>
                <w:color w:val="auto"/>
                <w:kern w:val="0"/>
                <w:sz w:val="21"/>
                <w:szCs w:val="21"/>
                <w:highlight w:val="none"/>
              </w:rPr>
              <w:t>评分标准</w:t>
            </w:r>
          </w:p>
        </w:tc>
        <w:tc>
          <w:tcPr>
            <w:tcW w:w="410" w:type="pct"/>
            <w:vAlign w:val="center"/>
          </w:tcPr>
          <w:p w14:paraId="006132DA">
            <w:pPr>
              <w:widowControl/>
              <w:spacing w:line="276" w:lineRule="auto"/>
              <w:jc w:val="center"/>
              <w:rPr>
                <w:rFonts w:hint="eastAsia" w:ascii="宋体" w:hAnsi="宋体" w:eastAsia="宋体" w:cs="宋体"/>
                <w:b/>
                <w:color w:val="auto"/>
                <w:kern w:val="0"/>
                <w:sz w:val="21"/>
                <w:szCs w:val="21"/>
                <w:highlight w:val="none"/>
                <w:lang w:val="en-US" w:eastAsia="zh-CN"/>
              </w:rPr>
            </w:pPr>
            <w:r>
              <w:rPr>
                <w:rFonts w:hint="eastAsia" w:ascii="宋体" w:hAnsi="宋体" w:cs="宋体"/>
                <w:b/>
                <w:color w:val="auto"/>
                <w:kern w:val="0"/>
                <w:sz w:val="21"/>
                <w:szCs w:val="21"/>
                <w:highlight w:val="none"/>
                <w:lang w:val="en-US" w:eastAsia="zh-CN"/>
              </w:rPr>
              <w:t>页码</w:t>
            </w:r>
          </w:p>
        </w:tc>
      </w:tr>
      <w:tr w14:paraId="0C18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restart"/>
            <w:shd w:val="clear" w:color="auto" w:fill="auto"/>
            <w:vAlign w:val="center"/>
          </w:tcPr>
          <w:p w14:paraId="07EF6C81">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bookmarkStart w:id="0" w:name="_GoBack"/>
            <w:bookmarkEnd w:id="0"/>
            <w:r>
              <w:rPr>
                <w:rFonts w:hint="eastAsia" w:ascii="宋体" w:hAnsi="宋体" w:eastAsia="宋体" w:cs="宋体"/>
                <w:i w:val="0"/>
                <w:iCs w:val="0"/>
                <w:color w:val="auto"/>
                <w:kern w:val="0"/>
                <w:sz w:val="21"/>
                <w:szCs w:val="21"/>
                <w:highlight w:val="none"/>
                <w:u w:val="none"/>
                <w:lang w:val="en-US" w:eastAsia="zh-CN" w:bidi="ar"/>
              </w:rPr>
              <w:t>技术部分</w:t>
            </w:r>
          </w:p>
          <w:p w14:paraId="6F89AC9F">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（55分）</w:t>
            </w:r>
          </w:p>
        </w:tc>
        <w:tc>
          <w:tcPr>
            <w:tcW w:w="0" w:type="auto"/>
            <w:shd w:val="clear" w:color="auto" w:fill="auto"/>
            <w:vAlign w:val="center"/>
          </w:tcPr>
          <w:p w14:paraId="3B4CB530">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技术响应情况</w:t>
            </w:r>
          </w:p>
          <w:p w14:paraId="235DD46D">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（20分）</w:t>
            </w:r>
          </w:p>
        </w:tc>
        <w:tc>
          <w:tcPr>
            <w:tcW w:w="0" w:type="auto"/>
            <w:shd w:val="clear" w:color="auto" w:fill="auto"/>
            <w:vAlign w:val="center"/>
          </w:tcPr>
          <w:p w14:paraId="63A2E201">
            <w:pPr>
              <w:keepNext w:val="0"/>
              <w:keepLines w:val="0"/>
              <w:widowControl/>
              <w:suppressLineNumbers w:val="0"/>
              <w:jc w:val="left"/>
              <w:textAlignment w:val="center"/>
              <w:rPr>
                <w:rFonts w:hint="eastAsia" w:ascii="宋体" w:hAnsi="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参照招标文件第六章《技术服务需求书》2.</w:t>
            </w:r>
            <w:r>
              <w:rPr>
                <w:rFonts w:hint="eastAsia" w:ascii="宋体" w:hAnsi="宋体" w:cs="宋体"/>
                <w:i w:val="0"/>
                <w:iCs w:val="0"/>
                <w:color w:val="auto"/>
                <w:kern w:val="0"/>
                <w:sz w:val="21"/>
                <w:szCs w:val="21"/>
                <w:highlight w:val="none"/>
                <w:u w:val="none"/>
                <w:lang w:val="en-US" w:eastAsia="zh-CN" w:bidi="ar"/>
              </w:rPr>
              <w:t>《项目技术规格</w:t>
            </w:r>
          </w:p>
          <w:p w14:paraId="07024CBA">
            <w:pPr>
              <w:rPr>
                <w:color w:val="auto"/>
                <w:highlight w:val="none"/>
              </w:rPr>
            </w:pPr>
            <w:r>
              <w:rPr>
                <w:rFonts w:hint="eastAsia" w:ascii="宋体" w:hAnsi="宋体" w:cs="宋体"/>
                <w:i w:val="0"/>
                <w:iCs w:val="0"/>
                <w:color w:val="auto"/>
                <w:kern w:val="0"/>
                <w:sz w:val="21"/>
                <w:szCs w:val="21"/>
                <w:highlight w:val="none"/>
                <w:u w:val="none"/>
                <w:lang w:val="en-US" w:eastAsia="zh-CN" w:bidi="ar"/>
              </w:rPr>
              <w:t>指标响应汇总表》。</w:t>
            </w:r>
          </w:p>
          <w:p w14:paraId="299F3220">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其中关键项★、重要项▲需提供点对点应答并附【相关案例截图或证明材料】证明资料，★代表关键指标，每有任意一项★指标负偏离将导致投标被否决；▲代表重要指标，每有一项▲指标负偏离扣2分；无标识则表示一般指标项，每有一项负偏离扣0.5分。</w:t>
            </w:r>
          </w:p>
          <w:p w14:paraId="38074898">
            <w:pPr>
              <w:keepNext w:val="0"/>
              <w:keepLines w:val="0"/>
              <w:widowControl/>
              <w:suppressLineNumbers w:val="0"/>
              <w:jc w:val="left"/>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如所有条款均满足/正偏离招标文件要求，得满分20分；有不满足/负偏离条款，按上述规定扣分。如本项得分为0分，视为投标人未实质性响应，其投标将被否决。</w:t>
            </w:r>
          </w:p>
        </w:tc>
        <w:tc>
          <w:tcPr>
            <w:tcW w:w="0" w:type="auto"/>
            <w:shd w:val="clear" w:color="auto" w:fill="auto"/>
            <w:vAlign w:val="center"/>
          </w:tcPr>
          <w:p w14:paraId="13824AF9">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r w14:paraId="3DC5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continue"/>
            <w:shd w:val="clear" w:color="auto" w:fill="auto"/>
            <w:vAlign w:val="center"/>
          </w:tcPr>
          <w:p w14:paraId="6E029D2C">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p>
        </w:tc>
        <w:tc>
          <w:tcPr>
            <w:tcW w:w="0" w:type="auto"/>
            <w:shd w:val="clear" w:color="auto" w:fill="auto"/>
            <w:vAlign w:val="center"/>
          </w:tcPr>
          <w:p w14:paraId="52FDE103">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项目需求理解</w:t>
            </w:r>
          </w:p>
          <w:p w14:paraId="5A8084F1">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（6分）</w:t>
            </w:r>
          </w:p>
        </w:tc>
        <w:tc>
          <w:tcPr>
            <w:tcW w:w="0" w:type="auto"/>
            <w:shd w:val="clear" w:color="auto" w:fill="auto"/>
            <w:vAlign w:val="center"/>
          </w:tcPr>
          <w:p w14:paraId="4631074B">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对项目背景需有充分认识，对项目从各方面进行分析，确保满足项目要求：</w:t>
            </w:r>
          </w:p>
          <w:p w14:paraId="628F30AC">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1.功能定位需求分析：从宏观、微观等多方面分析项目需求；</w:t>
            </w:r>
          </w:p>
          <w:p w14:paraId="09C65C4F">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2.应用场景需求分析：对项目各模块的应用场景进行分析，满足项目要求；</w:t>
            </w:r>
          </w:p>
          <w:p w14:paraId="74C31D5A">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3.平台功能需求分析：对平台建设的各模块的功能定位及应用等进行充分分析；</w:t>
            </w:r>
          </w:p>
          <w:p w14:paraId="31AAF849">
            <w:pPr>
              <w:keepNext w:val="0"/>
              <w:keepLines w:val="0"/>
              <w:widowControl/>
              <w:suppressLineNumbers w:val="0"/>
              <w:jc w:val="left"/>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投标人提供的需求分析中完全符合项目招标方要求得6分，若提供的需求分析，缺少一个模块扣2分，若提供的需求分析说明但不能完全契合项目需求每项扣1分，本项扣至0分为止。</w:t>
            </w:r>
          </w:p>
        </w:tc>
        <w:tc>
          <w:tcPr>
            <w:tcW w:w="0" w:type="auto"/>
            <w:shd w:val="clear" w:color="auto" w:fill="auto"/>
            <w:vAlign w:val="center"/>
          </w:tcPr>
          <w:p w14:paraId="09919340">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r w14:paraId="73B9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continue"/>
          </w:tcPr>
          <w:p w14:paraId="2813C11D">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c>
          <w:tcPr>
            <w:tcW w:w="0" w:type="auto"/>
            <w:shd w:val="clear" w:color="auto" w:fill="auto"/>
            <w:vAlign w:val="center"/>
          </w:tcPr>
          <w:p w14:paraId="3682E836">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解决方案</w:t>
            </w:r>
          </w:p>
          <w:p w14:paraId="66478FC9">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（10分）</w:t>
            </w:r>
          </w:p>
        </w:tc>
        <w:tc>
          <w:tcPr>
            <w:tcW w:w="0" w:type="auto"/>
            <w:shd w:val="clear" w:color="auto" w:fill="auto"/>
            <w:vAlign w:val="center"/>
          </w:tcPr>
          <w:p w14:paraId="5322BBAA">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为保障项目先进性和完整性，投标人需深入分析业务需求，针对业务需求提供解决方案。</w:t>
            </w:r>
          </w:p>
          <w:p w14:paraId="34BA4E6E">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1.投标人提供的解决方案针对性强、内容分析完善、适配性高、可实施性强的得7-</w:t>
            </w:r>
            <w:r>
              <w:rPr>
                <w:rFonts w:hint="eastAsia" w:ascii="宋体" w:hAnsi="宋体" w:cs="宋体"/>
                <w:i w:val="0"/>
                <w:iCs w:val="0"/>
                <w:color w:val="auto"/>
                <w:kern w:val="0"/>
                <w:sz w:val="21"/>
                <w:szCs w:val="21"/>
                <w:highlight w:val="none"/>
                <w:u w:val="none"/>
                <w:lang w:val="en-US" w:eastAsia="zh-CN" w:bidi="ar"/>
              </w:rPr>
              <w:t>10</w:t>
            </w:r>
            <w:r>
              <w:rPr>
                <w:rFonts w:hint="eastAsia" w:ascii="宋体" w:hAnsi="宋体" w:eastAsia="宋体" w:cs="宋体"/>
                <w:i w:val="0"/>
                <w:iCs w:val="0"/>
                <w:color w:val="auto"/>
                <w:kern w:val="0"/>
                <w:sz w:val="21"/>
                <w:szCs w:val="21"/>
                <w:highlight w:val="none"/>
                <w:u w:val="none"/>
                <w:lang w:val="en-US" w:eastAsia="zh-CN" w:bidi="ar"/>
              </w:rPr>
              <w:t>分；</w:t>
            </w:r>
          </w:p>
          <w:p w14:paraId="647C8D4E">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2.投标人提供的解决方案针对性较强、内容分析较完善、适配性较高、可实施性较强的得4-6分；</w:t>
            </w:r>
          </w:p>
          <w:p w14:paraId="54298A3E">
            <w:pPr>
              <w:keepNext w:val="0"/>
              <w:keepLines w:val="0"/>
              <w:widowControl/>
              <w:suppressLineNumbers w:val="0"/>
              <w:jc w:val="left"/>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3.投标人提供的解决方案针对性一般、内容分析一般、适配性一般、可实施性一般的得0-3分。</w:t>
            </w:r>
          </w:p>
        </w:tc>
        <w:tc>
          <w:tcPr>
            <w:tcW w:w="0" w:type="auto"/>
            <w:shd w:val="clear" w:color="auto" w:fill="auto"/>
            <w:vAlign w:val="center"/>
          </w:tcPr>
          <w:p w14:paraId="686D7D68">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r w14:paraId="02E2D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continue"/>
          </w:tcPr>
          <w:p w14:paraId="2AFF82F5">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c>
          <w:tcPr>
            <w:tcW w:w="0" w:type="auto"/>
            <w:shd w:val="clear" w:color="auto" w:fill="auto"/>
            <w:vAlign w:val="center"/>
          </w:tcPr>
          <w:p w14:paraId="315C4C27">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技术支持服务要求</w:t>
            </w:r>
          </w:p>
          <w:p w14:paraId="47AF1746">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（6分）</w:t>
            </w:r>
          </w:p>
        </w:tc>
        <w:tc>
          <w:tcPr>
            <w:tcW w:w="0" w:type="auto"/>
            <w:shd w:val="clear" w:color="auto" w:fill="auto"/>
            <w:vAlign w:val="center"/>
          </w:tcPr>
          <w:p w14:paraId="75403A3D">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对照招标文件第六章《技术服务需求书》“2.7技术支持服务要求”部分，根据响应情况是否满足要求进行评分。响应情况完全满足技术服务需求书“2.7技术支持服务要求”部分的得6分，其中2.7.3驻场人员</w:t>
            </w:r>
            <w:r>
              <w:rPr>
                <w:rFonts w:hint="eastAsia" w:ascii="宋体" w:hAnsi="宋体" w:cs="宋体"/>
                <w:color w:val="auto"/>
                <w:kern w:val="0"/>
                <w:sz w:val="21"/>
                <w:szCs w:val="21"/>
                <w:highlight w:val="none"/>
                <w:lang w:val="en-US" w:eastAsia="zh-CN"/>
              </w:rPr>
              <w:t>需要提供承诺书，</w:t>
            </w:r>
            <w:r>
              <w:rPr>
                <w:rFonts w:hint="eastAsia" w:ascii="宋体" w:hAnsi="宋体" w:eastAsia="宋体" w:cs="宋体"/>
                <w:i w:val="0"/>
                <w:iCs w:val="0"/>
                <w:color w:val="auto"/>
                <w:kern w:val="0"/>
                <w:sz w:val="21"/>
                <w:szCs w:val="21"/>
                <w:highlight w:val="none"/>
                <w:u w:val="none"/>
                <w:lang w:val="en-US" w:eastAsia="zh-CN" w:bidi="ar"/>
              </w:rPr>
              <w:t>不满足招标要求</w:t>
            </w:r>
            <w:r>
              <w:rPr>
                <w:rFonts w:hint="eastAsia" w:ascii="宋体" w:hAnsi="宋体" w:cs="宋体"/>
                <w:color w:val="auto"/>
                <w:kern w:val="0"/>
                <w:sz w:val="21"/>
                <w:szCs w:val="21"/>
                <w:highlight w:val="none"/>
                <w:lang w:val="en-US" w:eastAsia="zh-CN"/>
              </w:rPr>
              <w:t>或未提供承诺书</w:t>
            </w:r>
            <w:r>
              <w:rPr>
                <w:rFonts w:hint="eastAsia" w:ascii="宋体" w:hAnsi="宋体" w:eastAsia="宋体" w:cs="宋体"/>
                <w:i w:val="0"/>
                <w:iCs w:val="0"/>
                <w:color w:val="auto"/>
                <w:kern w:val="0"/>
                <w:sz w:val="21"/>
                <w:szCs w:val="21"/>
                <w:highlight w:val="none"/>
                <w:u w:val="none"/>
                <w:lang w:val="en-US" w:eastAsia="zh-CN" w:bidi="ar"/>
              </w:rPr>
              <w:t>的，本项则不得分，其他要求如有不满足每项扣2分，扣完为止。</w:t>
            </w:r>
          </w:p>
          <w:p w14:paraId="4C8C2CE1">
            <w:pPr>
              <w:keepNext w:val="0"/>
              <w:keepLines w:val="0"/>
              <w:widowControl/>
              <w:suppressLineNumbers w:val="0"/>
              <w:jc w:val="left"/>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注：以上均按标有序号不可分割最小项为计数单位。</w:t>
            </w:r>
          </w:p>
        </w:tc>
        <w:tc>
          <w:tcPr>
            <w:tcW w:w="0" w:type="auto"/>
            <w:shd w:val="clear" w:color="auto" w:fill="auto"/>
            <w:vAlign w:val="center"/>
          </w:tcPr>
          <w:p w14:paraId="13FDAECE">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r w14:paraId="0FC8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continue"/>
          </w:tcPr>
          <w:p w14:paraId="5671DBA2">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c>
          <w:tcPr>
            <w:tcW w:w="0" w:type="auto"/>
            <w:shd w:val="clear" w:color="auto" w:fill="auto"/>
            <w:vAlign w:val="center"/>
          </w:tcPr>
          <w:p w14:paraId="0152724A">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进度计划安排</w:t>
            </w:r>
          </w:p>
          <w:p w14:paraId="346D7ED1">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（4分）</w:t>
            </w:r>
          </w:p>
        </w:tc>
        <w:tc>
          <w:tcPr>
            <w:tcW w:w="0" w:type="auto"/>
            <w:shd w:val="clear" w:color="auto" w:fill="auto"/>
            <w:vAlign w:val="center"/>
          </w:tcPr>
          <w:p w14:paraId="42AEC3E0">
            <w:pPr>
              <w:keepNext w:val="0"/>
              <w:keepLines w:val="0"/>
              <w:widowControl/>
              <w:suppressLineNumbers w:val="0"/>
              <w:jc w:val="both"/>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根据投标人提供的进度安排计划，项目总体进度计划和分项计划安排从科学性、合理性，可行性，工期保障措施的具体、详细、针对性等内容进行评审，优秀得3-4分，良好得2分，一般得1分，进度计划不满足要求或未提不得分。</w:t>
            </w:r>
          </w:p>
        </w:tc>
        <w:tc>
          <w:tcPr>
            <w:tcW w:w="0" w:type="auto"/>
            <w:shd w:val="clear" w:color="auto" w:fill="auto"/>
            <w:vAlign w:val="center"/>
          </w:tcPr>
          <w:p w14:paraId="6EEFD8E4">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r w14:paraId="08B6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continue"/>
          </w:tcPr>
          <w:p w14:paraId="01461796">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c>
          <w:tcPr>
            <w:tcW w:w="0" w:type="auto"/>
            <w:shd w:val="clear" w:color="auto" w:fill="auto"/>
            <w:vAlign w:val="center"/>
          </w:tcPr>
          <w:p w14:paraId="5A726818">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建设阶段与运维服务阶段项目团队要求</w:t>
            </w:r>
          </w:p>
          <w:p w14:paraId="56620B1B">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（5分）</w:t>
            </w:r>
          </w:p>
        </w:tc>
        <w:tc>
          <w:tcPr>
            <w:tcW w:w="0" w:type="auto"/>
            <w:shd w:val="clear" w:color="auto" w:fill="auto"/>
            <w:vAlign w:val="center"/>
          </w:tcPr>
          <w:p w14:paraId="023B0CCB">
            <w:pPr>
              <w:keepNext w:val="0"/>
              <w:keepLines w:val="0"/>
              <w:widowControl/>
              <w:suppressLineNumbers w:val="0"/>
              <w:jc w:val="left"/>
              <w:textAlignment w:val="center"/>
              <w:rPr>
                <w:rStyle w:val="10"/>
                <w:rFonts w:hint="eastAsia" w:ascii="宋体" w:hAnsi="宋体" w:eastAsia="宋体" w:cs="宋体"/>
                <w:color w:val="auto"/>
                <w:sz w:val="21"/>
                <w:szCs w:val="21"/>
                <w:highlight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1.项目经理（2分）</w:t>
            </w:r>
            <w:r>
              <w:rPr>
                <w:rStyle w:val="10"/>
                <w:rFonts w:hint="eastAsia" w:ascii="宋体" w:hAnsi="宋体" w:eastAsia="宋体" w:cs="宋体"/>
                <w:color w:val="auto"/>
                <w:sz w:val="21"/>
                <w:szCs w:val="21"/>
                <w:highlight w:val="none"/>
                <w:lang w:val="en-US" w:eastAsia="zh-CN" w:bidi="ar"/>
              </w:rPr>
              <w:t>​</w:t>
            </w:r>
          </w:p>
          <w:p w14:paraId="2FB0F1A2">
            <w:pPr>
              <w:keepNext w:val="0"/>
              <w:keepLines w:val="0"/>
              <w:widowControl/>
              <w:suppressLineNumbers w:val="0"/>
              <w:jc w:val="left"/>
              <w:textAlignment w:val="center"/>
              <w:rPr>
                <w:rStyle w:val="10"/>
                <w:rFonts w:hint="eastAsia" w:ascii="宋体" w:hAnsi="宋体" w:eastAsia="宋体" w:cs="宋体"/>
                <w:color w:val="auto"/>
                <w:sz w:val="21"/>
                <w:szCs w:val="21"/>
                <w:highlight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硕士及以上学历，具有PMP（项目管理专业人士资格认证）证书或系统集成项目管理工程师证书，得 2分，否则不得分；</w:t>
            </w:r>
            <w:r>
              <w:rPr>
                <w:rStyle w:val="10"/>
                <w:rFonts w:hint="eastAsia" w:ascii="宋体" w:hAnsi="宋体" w:eastAsia="宋体" w:cs="宋体"/>
                <w:color w:val="auto"/>
                <w:sz w:val="21"/>
                <w:szCs w:val="21"/>
                <w:highlight w:val="none"/>
                <w:lang w:val="en-US" w:eastAsia="zh-CN" w:bidi="ar"/>
              </w:rPr>
              <w:t>​</w:t>
            </w:r>
          </w:p>
          <w:p w14:paraId="7F2F77DC">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2.团队成员中具有NPDP（产品经理国际资格认证） 证书、系统集成项目管理工程师证书、软件设计师证书、PMP（项目管理专业人士资格认证）证书中任一证书。每提供一个符合要求的人员得1分，每人最多得1分，本项最高得3分。</w:t>
            </w:r>
          </w:p>
          <w:p w14:paraId="3E92D016">
            <w:pPr>
              <w:keepNext w:val="0"/>
              <w:keepLines w:val="0"/>
              <w:widowControl/>
              <w:suppressLineNumbers w:val="0"/>
              <w:jc w:val="left"/>
              <w:textAlignment w:val="center"/>
              <w:rPr>
                <w:rFonts w:hint="default" w:ascii="宋体" w:hAnsi="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注:投标人须提供项目团队以下证明材料</w:t>
            </w:r>
            <w:r>
              <w:rPr>
                <w:rFonts w:hint="eastAsia" w:ascii="宋体" w:hAnsi="宋体" w:cs="宋体"/>
                <w:i w:val="0"/>
                <w:iCs w:val="0"/>
                <w:color w:val="auto"/>
                <w:kern w:val="0"/>
                <w:sz w:val="21"/>
                <w:szCs w:val="21"/>
                <w:highlight w:val="none"/>
                <w:u w:val="none"/>
                <w:lang w:val="en-US" w:eastAsia="zh-CN" w:bidi="ar"/>
              </w:rPr>
              <w:t>,</w:t>
            </w:r>
            <w:r>
              <w:rPr>
                <w:rFonts w:hint="eastAsia" w:ascii="宋体" w:hAnsi="宋体" w:eastAsia="宋体" w:cs="宋体"/>
                <w:i w:val="0"/>
                <w:iCs w:val="0"/>
                <w:color w:val="auto"/>
                <w:kern w:val="0"/>
                <w:sz w:val="21"/>
                <w:szCs w:val="21"/>
                <w:highlight w:val="none"/>
                <w:u w:val="none"/>
                <w:lang w:val="en-US" w:eastAsia="zh-CN" w:bidi="ar"/>
              </w:rPr>
              <w:t>未按要求提供证明材料或提供的证明材料无法证明的均不得分</w:t>
            </w:r>
            <w:r>
              <w:rPr>
                <w:rFonts w:hint="eastAsia" w:ascii="宋体" w:hAnsi="宋体" w:cs="宋体"/>
                <w:i w:val="0"/>
                <w:iCs w:val="0"/>
                <w:color w:val="auto"/>
                <w:kern w:val="0"/>
                <w:sz w:val="21"/>
                <w:szCs w:val="21"/>
                <w:highlight w:val="none"/>
                <w:u w:val="none"/>
                <w:lang w:val="en-US" w:eastAsia="zh-CN" w:bidi="ar"/>
              </w:rPr>
              <w:t>：</w:t>
            </w:r>
          </w:p>
          <w:p w14:paraId="5824BC14">
            <w:pPr>
              <w:keepNext w:val="0"/>
              <w:keepLines w:val="0"/>
              <w:widowControl/>
              <w:suppressLineNumbers w:val="0"/>
              <w:jc w:val="left"/>
              <w:textAlignment w:val="center"/>
              <w:rPr>
                <w:rFonts w:hint="eastAsia" w:ascii="宋体" w:hAnsi="宋体" w:cs="宋体"/>
                <w:i w:val="0"/>
                <w:iCs w:val="0"/>
                <w:color w:val="auto"/>
                <w:kern w:val="0"/>
                <w:sz w:val="21"/>
                <w:szCs w:val="21"/>
                <w:highlight w:val="none"/>
                <w:u w:val="none"/>
                <w:lang w:val="en-US" w:eastAsia="zh-CN" w:bidi="ar"/>
              </w:rPr>
            </w:pPr>
            <w:r>
              <w:rPr>
                <w:rFonts w:hint="eastAsia" w:ascii="宋体" w:hAnsi="宋体" w:cs="宋体"/>
                <w:i w:val="0"/>
                <w:iCs w:val="0"/>
                <w:color w:val="auto"/>
                <w:kern w:val="0"/>
                <w:sz w:val="21"/>
                <w:szCs w:val="21"/>
                <w:highlight w:val="none"/>
                <w:u w:val="none"/>
                <w:lang w:val="en-US" w:eastAsia="zh-CN" w:bidi="ar"/>
              </w:rPr>
              <w:t>（1）项目经理学历证明加盖投标人公章；</w:t>
            </w:r>
          </w:p>
          <w:p w14:paraId="64E247C5">
            <w:pPr>
              <w:keepNext w:val="0"/>
              <w:keepLines w:val="0"/>
              <w:widowControl/>
              <w:suppressLineNumbers w:val="0"/>
              <w:jc w:val="left"/>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cs="宋体"/>
                <w:i w:val="0"/>
                <w:iCs w:val="0"/>
                <w:color w:val="auto"/>
                <w:kern w:val="0"/>
                <w:sz w:val="21"/>
                <w:szCs w:val="21"/>
                <w:highlight w:val="none"/>
                <w:u w:val="none"/>
                <w:lang w:val="en-US" w:eastAsia="zh-CN" w:bidi="ar"/>
              </w:rPr>
              <w:t>（2）</w:t>
            </w:r>
            <w:r>
              <w:rPr>
                <w:rFonts w:hint="eastAsia" w:ascii="宋体" w:hAnsi="宋体" w:eastAsia="宋体" w:cs="宋体"/>
                <w:i w:val="0"/>
                <w:iCs w:val="0"/>
                <w:color w:val="auto"/>
                <w:kern w:val="0"/>
                <w:sz w:val="21"/>
                <w:szCs w:val="21"/>
                <w:highlight w:val="none"/>
                <w:u w:val="none"/>
                <w:lang w:val="en-US" w:eastAsia="zh-CN" w:bidi="ar"/>
              </w:rPr>
              <w:t>投标人须提供上述项目团队人员的相关证书及投标人为其缴纳的投标截止日期前连续12个月(2024年8月-2025年7月)社保证明，证书及社保证明均需加盖投标人单位公章。</w:t>
            </w:r>
          </w:p>
        </w:tc>
        <w:tc>
          <w:tcPr>
            <w:tcW w:w="0" w:type="auto"/>
            <w:shd w:val="clear" w:color="auto" w:fill="auto"/>
            <w:vAlign w:val="center"/>
          </w:tcPr>
          <w:p w14:paraId="5E2B4CCC">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r w14:paraId="61AB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continue"/>
          </w:tcPr>
          <w:p w14:paraId="3723F772">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c>
          <w:tcPr>
            <w:tcW w:w="0" w:type="auto"/>
            <w:shd w:val="clear" w:color="auto" w:fill="auto"/>
            <w:vAlign w:val="center"/>
          </w:tcPr>
          <w:p w14:paraId="4ED8C66C">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后续扩容报价</w:t>
            </w:r>
          </w:p>
          <w:p w14:paraId="52E11405">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（1分）</w:t>
            </w:r>
          </w:p>
        </w:tc>
        <w:tc>
          <w:tcPr>
            <w:tcW w:w="0" w:type="auto"/>
            <w:shd w:val="clear" w:color="auto" w:fill="auto"/>
            <w:vAlign w:val="center"/>
          </w:tcPr>
          <w:p w14:paraId="1D0DE2B4">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按要求提供后续扩容</w:t>
            </w:r>
            <w:r>
              <w:rPr>
                <w:rFonts w:hint="eastAsia" w:ascii="宋体" w:hAnsi="宋体" w:cs="宋体"/>
                <w:i w:val="0"/>
                <w:iCs w:val="0"/>
                <w:color w:val="auto"/>
                <w:kern w:val="0"/>
                <w:sz w:val="21"/>
                <w:szCs w:val="21"/>
                <w:highlight w:val="none"/>
                <w:u w:val="none"/>
                <w:lang w:val="en-US" w:eastAsia="zh-CN" w:bidi="ar"/>
              </w:rPr>
              <w:t>的部署实施</w:t>
            </w:r>
            <w:r>
              <w:rPr>
                <w:rFonts w:hint="eastAsia" w:ascii="宋体" w:hAnsi="宋体" w:eastAsia="宋体" w:cs="宋体"/>
                <w:i w:val="0"/>
                <w:iCs w:val="0"/>
                <w:color w:val="auto"/>
                <w:kern w:val="0"/>
                <w:sz w:val="21"/>
                <w:szCs w:val="21"/>
                <w:highlight w:val="none"/>
                <w:u w:val="none"/>
                <w:lang w:val="en-US" w:eastAsia="zh-CN" w:bidi="ar"/>
              </w:rPr>
              <w:t>报价。根据投标人提供的承诺报价进行评审：</w:t>
            </w:r>
          </w:p>
          <w:p w14:paraId="5DF6D586">
            <w:pPr>
              <w:keepNext w:val="0"/>
              <w:keepLines w:val="0"/>
              <w:widowControl/>
              <w:suppressLineNumbers w:val="0"/>
              <w:jc w:val="left"/>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扩容报价为元/个，投标人报价不得为零，此项得分为1*基准价/投标人报价，得分保留2位小数；基准价为所有投标人此项报价的最低值。</w:t>
            </w:r>
          </w:p>
        </w:tc>
        <w:tc>
          <w:tcPr>
            <w:tcW w:w="0" w:type="auto"/>
            <w:shd w:val="clear" w:color="auto" w:fill="auto"/>
            <w:vAlign w:val="center"/>
          </w:tcPr>
          <w:p w14:paraId="3D1C0427">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r w14:paraId="09E76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continue"/>
          </w:tcPr>
          <w:p w14:paraId="17763008">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c>
          <w:tcPr>
            <w:tcW w:w="0" w:type="auto"/>
            <w:shd w:val="clear" w:color="auto" w:fill="auto"/>
            <w:vAlign w:val="center"/>
          </w:tcPr>
          <w:p w14:paraId="3F64D051">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持续运维服务承诺</w:t>
            </w:r>
          </w:p>
          <w:p w14:paraId="5B1DD4AB">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（2分）</w:t>
            </w:r>
          </w:p>
        </w:tc>
        <w:tc>
          <w:tcPr>
            <w:tcW w:w="0" w:type="auto"/>
            <w:shd w:val="clear" w:color="auto" w:fill="auto"/>
            <w:vAlign w:val="center"/>
          </w:tcPr>
          <w:p w14:paraId="47D01A52">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按要求提供持续运维服务承诺报价。根据投标人提供的承诺报价进行评审：</w:t>
            </w:r>
          </w:p>
          <w:p w14:paraId="0EF14A93">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1）每年的基础质保服务价格，投标人报价不得为零，此项得分为1*基准价/投标人报价，得分保留2位小数；基准价为所有投标人此项报价的最低值。</w:t>
            </w:r>
          </w:p>
          <w:p w14:paraId="0F97553F">
            <w:pPr>
              <w:keepNext w:val="0"/>
              <w:keepLines w:val="0"/>
              <w:widowControl/>
              <w:suppressLineNumbers w:val="0"/>
              <w:jc w:val="left"/>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2）驻场运维服务的人年单价，投标人报价不得为零，此项得分为1*基准价/投标人报价，得分保留2位小数；基准价为所有投标人此项报价的最低值。</w:t>
            </w:r>
          </w:p>
        </w:tc>
        <w:tc>
          <w:tcPr>
            <w:tcW w:w="0" w:type="auto"/>
            <w:shd w:val="clear" w:color="auto" w:fill="auto"/>
            <w:vAlign w:val="center"/>
          </w:tcPr>
          <w:p w14:paraId="1C4DB7B6">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r w14:paraId="6CB1A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31" w:type="pct"/>
            <w:vMerge w:val="continue"/>
          </w:tcPr>
          <w:p w14:paraId="720DBFF1">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c>
          <w:tcPr>
            <w:tcW w:w="0" w:type="auto"/>
            <w:shd w:val="clear" w:color="auto" w:fill="auto"/>
            <w:vAlign w:val="center"/>
          </w:tcPr>
          <w:p w14:paraId="1EEB4E46">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持续开发服务承诺</w:t>
            </w:r>
          </w:p>
          <w:p w14:paraId="2ADA6CEA">
            <w:pPr>
              <w:keepNext w:val="0"/>
              <w:keepLines w:val="0"/>
              <w:widowControl/>
              <w:suppressLineNumbers w:val="0"/>
              <w:jc w:val="center"/>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（1分）</w:t>
            </w:r>
          </w:p>
        </w:tc>
        <w:tc>
          <w:tcPr>
            <w:tcW w:w="0" w:type="auto"/>
            <w:shd w:val="clear" w:color="auto" w:fill="auto"/>
            <w:vAlign w:val="center"/>
          </w:tcPr>
          <w:p w14:paraId="15742775">
            <w:pPr>
              <w:keepNext w:val="0"/>
              <w:keepLines w:val="0"/>
              <w:widowControl/>
              <w:suppressLineNumbers w:val="0"/>
              <w:jc w:val="left"/>
              <w:textAlignment w:val="center"/>
              <w:rPr>
                <w:rFonts w:hint="eastAsia" w:ascii="宋体" w:hAnsi="宋体" w:eastAsia="宋体" w:cs="宋体"/>
                <w:i w:val="0"/>
                <w:iCs w:val="0"/>
                <w:color w:val="auto"/>
                <w:kern w:val="0"/>
                <w:sz w:val="21"/>
                <w:szCs w:val="21"/>
                <w:highlight w:val="none"/>
                <w:u w:val="none"/>
                <w:lang w:val="en-US" w:eastAsia="zh-CN" w:bidi="ar"/>
              </w:rPr>
            </w:pPr>
            <w:r>
              <w:rPr>
                <w:rFonts w:hint="eastAsia" w:ascii="宋体" w:hAnsi="宋体" w:eastAsia="宋体" w:cs="宋体"/>
                <w:i w:val="0"/>
                <w:iCs w:val="0"/>
                <w:color w:val="auto"/>
                <w:kern w:val="0"/>
                <w:sz w:val="21"/>
                <w:szCs w:val="21"/>
                <w:highlight w:val="none"/>
                <w:u w:val="none"/>
                <w:lang w:val="en-US" w:eastAsia="zh-CN" w:bidi="ar"/>
              </w:rPr>
              <w:t>按要求提供持续开发服务承诺报价。根据投标人提供的承诺报价进行评审：</w:t>
            </w:r>
          </w:p>
          <w:p w14:paraId="4C231842">
            <w:pPr>
              <w:keepNext w:val="0"/>
              <w:keepLines w:val="0"/>
              <w:widowControl/>
              <w:suppressLineNumbers w:val="0"/>
              <w:jc w:val="left"/>
              <w:textAlignment w:val="center"/>
              <w:rPr>
                <w:rFonts w:hint="eastAsia" w:ascii="宋体" w:hAnsi="宋体" w:eastAsia="宋体" w:cs="宋体"/>
                <w:i w:val="0"/>
                <w:iCs w:val="0"/>
                <w:color w:val="auto"/>
                <w:kern w:val="2"/>
                <w:sz w:val="21"/>
                <w:szCs w:val="21"/>
                <w:highlight w:val="none"/>
                <w:u w:val="none"/>
                <w:lang w:val="en-US" w:eastAsia="zh-CN" w:bidi="ar-SA"/>
              </w:rPr>
            </w:pPr>
            <w:r>
              <w:rPr>
                <w:rFonts w:hint="eastAsia" w:ascii="宋体" w:hAnsi="宋体" w:eastAsia="宋体" w:cs="宋体"/>
                <w:i w:val="0"/>
                <w:iCs w:val="0"/>
                <w:color w:val="auto"/>
                <w:kern w:val="0"/>
                <w:sz w:val="21"/>
                <w:szCs w:val="21"/>
                <w:highlight w:val="none"/>
                <w:u w:val="none"/>
                <w:lang w:val="en-US" w:eastAsia="zh-CN" w:bidi="ar"/>
              </w:rPr>
              <w:t>新增定制化开发人天单价，投标人报价不得为零，此项得分为1*基准价/投标人报价，得分保留2位小数；基准价为所有投标人此项报价的最低值。</w:t>
            </w:r>
          </w:p>
        </w:tc>
        <w:tc>
          <w:tcPr>
            <w:tcW w:w="0" w:type="auto"/>
            <w:shd w:val="clear" w:color="auto" w:fill="auto"/>
            <w:vAlign w:val="center"/>
          </w:tcPr>
          <w:p w14:paraId="679086A2">
            <w:pPr>
              <w:keepNext w:val="0"/>
              <w:keepLines w:val="0"/>
              <w:widowControl/>
              <w:suppressLineNumbers w:val="0"/>
              <w:jc w:val="center"/>
              <w:textAlignment w:val="center"/>
              <w:rPr>
                <w:rFonts w:hint="eastAsia" w:ascii="宋体" w:hAnsi="宋体" w:eastAsia="宋体" w:cs="宋体"/>
                <w:i w:val="0"/>
                <w:iCs w:val="0"/>
                <w:color w:val="auto"/>
                <w:kern w:val="2"/>
                <w:sz w:val="21"/>
                <w:szCs w:val="21"/>
                <w:highlight w:val="none"/>
                <w:u w:val="none"/>
                <w:lang w:val="en-US" w:eastAsia="zh-CN" w:bidi="ar-SA"/>
              </w:rPr>
            </w:pPr>
          </w:p>
        </w:tc>
      </w:tr>
    </w:tbl>
    <w:p w14:paraId="468F392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orHAns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DejaVu Sans">
    <w:altName w:val="Segoe Print"/>
    <w:panose1 w:val="020B0603030804020204"/>
    <w:charset w:val="00"/>
    <w:family w:val="auto"/>
    <w:pitch w:val="default"/>
    <w:sig w:usb0="00000000" w:usb1="00000000" w:usb2="0A246029" w:usb3="0400200C" w:csb0="600001FF" w:csb1="D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2BA119"/>
    <w:multiLevelType w:val="multilevel"/>
    <w:tmpl w:val="B42BA119"/>
    <w:lvl w:ilvl="0" w:tentative="0">
      <w:start w:val="4"/>
      <w:numFmt w:val="decimal"/>
      <w:lvlText w:val="%1."/>
      <w:lvlJc w:val="left"/>
      <w:pPr>
        <w:ind w:left="425" w:hanging="425"/>
      </w:pPr>
      <w:rPr>
        <w:rFonts w:hint="default" w:ascii="宋体" w:hAnsi="宋体" w:eastAsia="宋体" w:cs="宋体"/>
        <w:sz w:val="28"/>
        <w:szCs w:val="28"/>
      </w:rPr>
    </w:lvl>
    <w:lvl w:ilvl="1" w:tentative="0">
      <w:start w:val="1"/>
      <w:numFmt w:val="decimal"/>
      <w:pStyle w:val="4"/>
      <w:lvlText w:val="%1.%2."/>
      <w:lvlJc w:val="left"/>
      <w:pPr>
        <w:ind w:left="567" w:hanging="567"/>
      </w:pPr>
      <w:rPr>
        <w:rFonts w:hint="default" w:ascii="宋体" w:hAnsi="宋体" w:cs="宋体"/>
        <w:sz w:val="30"/>
        <w:szCs w:val="30"/>
      </w:rPr>
    </w:lvl>
    <w:lvl w:ilvl="2" w:tentative="0">
      <w:start w:val="1"/>
      <w:numFmt w:val="decimal"/>
      <w:pStyle w:val="5"/>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D9BFD28F"/>
    <w:multiLevelType w:val="multilevel"/>
    <w:tmpl w:val="D9BFD28F"/>
    <w:lvl w:ilvl="0" w:tentative="0">
      <w:start w:val="1"/>
      <w:numFmt w:val="decimal"/>
      <w:pStyle w:val="2"/>
      <w:isLgl/>
      <w:lvlText w:val="%1."/>
      <w:lvlJc w:val="left"/>
      <w:pPr>
        <w:ind w:left="425" w:hanging="425"/>
      </w:pPr>
      <w:rPr>
        <w:rFonts w:hint="default" w:ascii="宋体" w:hAnsi="宋体" w:eastAsia="宋体" w:cs="宋体"/>
        <w:sz w:val="28"/>
        <w:szCs w:val="28"/>
      </w:rPr>
    </w:lvl>
    <w:lvl w:ilvl="1" w:tentative="0">
      <w:start w:val="1"/>
      <w:numFmt w:val="decimal"/>
      <w:lvlText w:val="%1.%2."/>
      <w:lvlJc w:val="left"/>
      <w:pPr>
        <w:ind w:left="567" w:hanging="567"/>
      </w:pPr>
      <w:rPr>
        <w:rFonts w:hint="default"/>
        <w:sz w:val="24"/>
        <w:szCs w:val="24"/>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DC919363"/>
    <w:multiLevelType w:val="multilevel"/>
    <w:tmpl w:val="DC919363"/>
    <w:lvl w:ilvl="0" w:tentative="0">
      <w:start w:val="1"/>
      <w:numFmt w:val="decimal"/>
      <w:suff w:val="nothing"/>
      <w:lvlText w:val="第%1章 "/>
      <w:lvlJc w:val="left"/>
      <w:pPr>
        <w:ind w:left="0" w:firstLine="0"/>
      </w:pPr>
    </w:lvl>
    <w:lvl w:ilvl="1" w:tentative="0">
      <w:start w:val="1"/>
      <w:numFmt w:val="decimal"/>
      <w:suff w:val="nothing"/>
      <w:lvlText w:val="%1.%2 "/>
      <w:lvlJc w:val="left"/>
      <w:pPr>
        <w:ind w:left="2694" w:firstLine="0"/>
      </w:pPr>
      <w:rPr>
        <w:lang w:val="en-US"/>
      </w:r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rPr>
        <w:rFonts w:hint="default" w:ascii="Arial" w:hAnsi="Arial" w:cs="Arial"/>
      </w:rPr>
    </w:lvl>
    <w:lvl w:ilvl="4" w:tentative="0">
      <w:start w:val="1"/>
      <w:numFmt w:val="decimal"/>
      <w:pStyle w:val="6"/>
      <w:lvlText w:val="%5."/>
      <w:lvlJc w:val="left"/>
      <w:pPr>
        <w:ind w:left="0" w:firstLine="0"/>
      </w:pPr>
      <w:rPr>
        <w:rFonts w:ascii="宋体" w:hAnsi="宋体" w:eastAsia="宋体" w:cs="宋体"/>
      </w:rPr>
    </w:lvl>
    <w:lvl w:ilvl="5" w:tentative="0">
      <w:start w:val="1"/>
      <w:numFmt w:val="decimal"/>
      <w:suff w:val="nothing"/>
      <w:lvlText w:val="%1.%2.%3.%4.%5.%6 "/>
      <w:lvlJc w:val="left"/>
      <w:pPr>
        <w:ind w:left="0" w:firstLine="0"/>
      </w:pPr>
    </w:lvl>
    <w:lvl w:ilvl="6" w:tentative="0">
      <w:start w:val="1"/>
      <w:numFmt w:val="decimal"/>
      <w:suff w:val="nothing"/>
      <w:lvlText w:val="%7. "/>
      <w:lvlJc w:val="left"/>
      <w:pPr>
        <w:ind w:left="0" w:firstLine="0"/>
      </w:pPr>
    </w:lvl>
    <w:lvl w:ilvl="7" w:tentative="0">
      <w:start w:val="1"/>
      <w:numFmt w:val="decimal"/>
      <w:suff w:val="nothing"/>
      <w:lvlText w:val="%8). "/>
      <w:lvlJc w:val="left"/>
      <w:pPr>
        <w:ind w:left="0" w:firstLine="0"/>
      </w:pPr>
    </w:lvl>
    <w:lvl w:ilvl="8" w:tentative="0">
      <w:start w:val="1"/>
      <w:numFmt w:val="upperLetter"/>
      <w:suff w:val="nothing"/>
      <w:lvlText w:val="%9. "/>
      <w:lvlJc w:val="left"/>
      <w:pPr>
        <w:ind w:left="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1745D7"/>
    <w:rsid w:val="10AF5D8D"/>
    <w:rsid w:val="288A3E39"/>
    <w:rsid w:val="395E367D"/>
    <w:rsid w:val="3CC329FA"/>
    <w:rsid w:val="4AD329B7"/>
    <w:rsid w:val="531E4CC7"/>
    <w:rsid w:val="5CB85D2B"/>
    <w:rsid w:val="6E17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3"/>
    <w:next w:val="1"/>
    <w:qFormat/>
    <w:uiPriority w:val="0"/>
    <w:pPr>
      <w:pageBreakBefore/>
      <w:numPr>
        <w:ilvl w:val="0"/>
        <w:numId w:val="1"/>
      </w:numPr>
      <w:spacing w:before="240" w:after="120" w:line="360" w:lineRule="auto"/>
      <w:jc w:val="left"/>
      <w:outlineLvl w:val="0"/>
    </w:pPr>
    <w:rPr>
      <w:rFonts w:eastAsia="宋体" w:asciiTheme="minorAscii" w:hAnsiTheme="minorAscii"/>
      <w:bCs/>
      <w:kern w:val="44"/>
      <w:szCs w:val="32"/>
    </w:rPr>
  </w:style>
  <w:style w:type="paragraph" w:styleId="4">
    <w:name w:val="heading 2"/>
    <w:basedOn w:val="5"/>
    <w:next w:val="1"/>
    <w:semiHidden/>
    <w:unhideWhenUsed/>
    <w:qFormat/>
    <w:uiPriority w:val="0"/>
    <w:pPr>
      <w:numPr>
        <w:ilvl w:val="1"/>
        <w:numId w:val="2"/>
      </w:numPr>
      <w:spacing w:before="60" w:after="60" w:line="360" w:lineRule="auto"/>
      <w:ind w:left="567" w:leftChars="0" w:hanging="567" w:firstLineChars="0"/>
      <w:outlineLvl w:val="1"/>
    </w:pPr>
    <w:rPr>
      <w:rFonts w:ascii="宋体" w:hAnsi="宋体" w:eastAsia="宋体"/>
      <w:kern w:val="0"/>
      <w:sz w:val="30"/>
    </w:rPr>
  </w:style>
  <w:style w:type="paragraph" w:styleId="5">
    <w:name w:val="heading 3"/>
    <w:basedOn w:val="1"/>
    <w:next w:val="1"/>
    <w:semiHidden/>
    <w:unhideWhenUsed/>
    <w:qFormat/>
    <w:uiPriority w:val="0"/>
    <w:pPr>
      <w:keepNext/>
      <w:keepLines/>
      <w:numPr>
        <w:ilvl w:val="2"/>
        <w:numId w:val="2"/>
      </w:numPr>
      <w:spacing w:after="120" w:line="360" w:lineRule="auto"/>
      <w:jc w:val="left"/>
      <w:outlineLvl w:val="2"/>
    </w:pPr>
    <w:rPr>
      <w:rFonts w:ascii="宋体" w:hAnsi="宋体" w:eastAsia="宋体" w:cs="宋体"/>
      <w:b/>
      <w:bCs/>
      <w:kern w:val="0"/>
      <w:sz w:val="28"/>
      <w:szCs w:val="28"/>
    </w:rPr>
  </w:style>
  <w:style w:type="paragraph" w:styleId="6">
    <w:name w:val="heading 5"/>
    <w:basedOn w:val="1"/>
    <w:next w:val="1"/>
    <w:semiHidden/>
    <w:unhideWhenUsed/>
    <w:qFormat/>
    <w:uiPriority w:val="0"/>
    <w:pPr>
      <w:keepNext/>
      <w:keepLines/>
      <w:numPr>
        <w:ilvl w:val="4"/>
        <w:numId w:val="3"/>
      </w:numPr>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7">
    <w:name w:val="Body Text 2"/>
    <w:basedOn w:val="1"/>
    <w:uiPriority w:val="0"/>
    <w:pPr>
      <w:spacing w:after="120" w:afterLines="0" w:afterAutospacing="0" w:line="480" w:lineRule="auto"/>
    </w:pPr>
  </w:style>
  <w:style w:type="character" w:customStyle="1" w:styleId="10">
    <w:name w:val="font91"/>
    <w:basedOn w:val="9"/>
    <w:qFormat/>
    <w:uiPriority w:val="0"/>
    <w:rPr>
      <w:rFonts w:ascii="DejaVu Sans" w:hAnsi="DejaVu Sans" w:eastAsia="DejaVu Sans" w:cs="DejaVu Sans"/>
      <w:color w:val="000000"/>
      <w:sz w:val="24"/>
      <w:szCs w:val="24"/>
      <w:u w: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2025-10-10T05:54:00Z</dcterms:created>
  <dc:creator>杜大胖。</dc:creator>
  <cp:lastModifiedBy>杜大胖。</cp:lastModifiedBy>
  <dcterms:modified xsi:type="dcterms:W3CDTF">2025-10-10T07:53:07Z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2A19C4F4AACB47FA897FFEE2AB9703AF_11</vt:lpwstr>
  </property>
  <property fmtid="{D5CDD505-2E9C-101B-9397-08002B2CF9AE}" pid="4" name="KSOTemplateDocerSaveRecord">
    <vt:lpwstr>eyJoZGlkIjoiNzFmNWNiMTVmMDMxYzlkMGJjNThjZGZkZGZlOTZkN2UiLCJ1c2VySWQiOiI1MTA1NzkzNDEifQ==</vt:lpwstr>
  </property>
</Properties>
</file>