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FC576D">
      <w:pPr>
        <w:pStyle w:val="3"/>
        <w:rPr>
          <w:rFonts w:hint="eastAsia" w:ascii="仿宋" w:hAnsi="仿宋" w:eastAsia="仿宋"/>
          <w:b/>
          <w:bCs w:val="0"/>
          <w:sz w:val="28"/>
          <w:szCs w:val="28"/>
        </w:rPr>
      </w:pPr>
      <w:bookmarkStart w:id="0" w:name="_Toc497144715"/>
      <w:r>
        <w:rPr>
          <w:rFonts w:hint="eastAsia" w:ascii="仿宋" w:hAnsi="仿宋" w:eastAsia="仿宋"/>
          <w:b/>
          <w:bCs w:val="0"/>
          <w:sz w:val="28"/>
          <w:szCs w:val="28"/>
        </w:rPr>
        <w:t>第三章 评审办法</w:t>
      </w:r>
    </w:p>
    <w:p w14:paraId="39B2A845">
      <w:pPr>
        <w:pStyle w:val="4"/>
        <w:numPr>
          <w:ilvl w:val="0"/>
          <w:numId w:val="0"/>
        </w:numPr>
        <w:rPr>
          <w:rFonts w:hint="eastAsia" w:ascii="仿宋" w:hAnsi="仿宋" w:eastAsia="仿宋"/>
          <w:b/>
          <w:bCs w:val="0"/>
          <w:color w:val="000000"/>
          <w:sz w:val="21"/>
          <w:szCs w:val="21"/>
        </w:rPr>
      </w:pPr>
      <w:r>
        <w:rPr>
          <w:rFonts w:hint="eastAsia" w:ascii="仿宋" w:hAnsi="仿宋" w:eastAsia="仿宋"/>
          <w:b/>
          <w:bCs w:val="0"/>
          <w:color w:val="000000"/>
          <w:sz w:val="21"/>
          <w:szCs w:val="21"/>
        </w:rPr>
        <w:t>评审办法前附表</w:t>
      </w:r>
    </w:p>
    <w:tbl>
      <w:tblPr>
        <w:tblStyle w:val="37"/>
        <w:tblW w:w="4927" w:type="pct"/>
        <w:tblInd w:w="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2"/>
        <w:gridCol w:w="1133"/>
        <w:gridCol w:w="1559"/>
        <w:gridCol w:w="1843"/>
        <w:gridCol w:w="1559"/>
        <w:gridCol w:w="1557"/>
      </w:tblGrid>
      <w:tr w14:paraId="623F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207" w:type="pct"/>
            <w:gridSpan w:val="2"/>
          </w:tcPr>
          <w:p w14:paraId="15EE3756">
            <w:pPr>
              <w:widowControl/>
              <w:jc w:val="center"/>
              <w:rPr>
                <w:rFonts w:hint="eastAsia" w:ascii="仿宋" w:hAnsi="仿宋" w:eastAsia="仿宋" w:cs="宋体"/>
                <w:b/>
                <w:bCs/>
                <w:color w:val="000000"/>
                <w:kern w:val="0"/>
                <w:sz w:val="18"/>
                <w:szCs w:val="18"/>
              </w:rPr>
            </w:pPr>
            <w:r>
              <w:rPr>
                <w:rFonts w:hint="eastAsia" w:ascii="仿宋" w:hAnsi="仿宋" w:eastAsia="仿宋" w:cs="宋体"/>
                <w:b/>
                <w:bCs/>
                <w:color w:val="000000"/>
                <w:kern w:val="0"/>
                <w:sz w:val="18"/>
                <w:szCs w:val="18"/>
              </w:rPr>
              <w:t>条款</w:t>
            </w:r>
          </w:p>
        </w:tc>
        <w:tc>
          <w:tcPr>
            <w:tcW w:w="907" w:type="pct"/>
            <w:vAlign w:val="center"/>
          </w:tcPr>
          <w:p w14:paraId="6ECD90AB">
            <w:pPr>
              <w:widowControl/>
              <w:jc w:val="center"/>
              <w:rPr>
                <w:rFonts w:hint="eastAsia" w:ascii="仿宋" w:hAnsi="仿宋" w:eastAsia="仿宋" w:cs="宋体"/>
                <w:b/>
                <w:bCs/>
                <w:color w:val="000000"/>
                <w:kern w:val="0"/>
                <w:sz w:val="18"/>
                <w:szCs w:val="18"/>
              </w:rPr>
            </w:pPr>
            <w:r>
              <w:rPr>
                <w:rFonts w:hint="eastAsia" w:ascii="仿宋" w:hAnsi="仿宋" w:eastAsia="仿宋" w:cs="宋体"/>
                <w:b/>
                <w:bCs/>
                <w:color w:val="000000"/>
                <w:kern w:val="0"/>
                <w:sz w:val="18"/>
                <w:szCs w:val="18"/>
              </w:rPr>
              <w:t>评审因素</w:t>
            </w:r>
          </w:p>
        </w:tc>
        <w:tc>
          <w:tcPr>
            <w:tcW w:w="2885" w:type="pct"/>
            <w:gridSpan w:val="3"/>
            <w:vAlign w:val="center"/>
          </w:tcPr>
          <w:p w14:paraId="5F33D353">
            <w:pPr>
              <w:widowControl/>
              <w:jc w:val="center"/>
              <w:rPr>
                <w:rFonts w:hint="eastAsia" w:ascii="仿宋" w:hAnsi="仿宋" w:eastAsia="仿宋" w:cs="宋体"/>
                <w:b/>
                <w:bCs/>
                <w:color w:val="000000"/>
                <w:kern w:val="0"/>
                <w:sz w:val="18"/>
                <w:szCs w:val="18"/>
              </w:rPr>
            </w:pPr>
            <w:r>
              <w:rPr>
                <w:rFonts w:hint="eastAsia" w:ascii="仿宋" w:hAnsi="仿宋" w:eastAsia="仿宋" w:cs="宋体"/>
                <w:b/>
                <w:bCs/>
                <w:color w:val="000000"/>
                <w:kern w:val="0"/>
                <w:sz w:val="18"/>
                <w:szCs w:val="18"/>
              </w:rPr>
              <w:t>评审标准</w:t>
            </w:r>
          </w:p>
        </w:tc>
      </w:tr>
      <w:tr w14:paraId="19E97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548" w:type="pct"/>
            <w:vMerge w:val="restart"/>
            <w:vAlign w:val="center"/>
          </w:tcPr>
          <w:p w14:paraId="2684715B">
            <w:pPr>
              <w:widowControl/>
              <w:jc w:val="center"/>
              <w:rPr>
                <w:rFonts w:hint="eastAsia" w:ascii="仿宋" w:hAnsi="仿宋" w:eastAsia="仿宋" w:cs="宋体"/>
                <w:bCs/>
                <w:color w:val="000000"/>
                <w:kern w:val="0"/>
                <w:sz w:val="18"/>
                <w:szCs w:val="18"/>
              </w:rPr>
            </w:pPr>
            <w:r>
              <w:rPr>
                <w:rFonts w:ascii="仿宋" w:hAnsi="仿宋" w:eastAsia="仿宋" w:cs="宋体"/>
                <w:bCs/>
                <w:color w:val="000000"/>
                <w:kern w:val="0"/>
                <w:sz w:val="18"/>
                <w:szCs w:val="18"/>
              </w:rPr>
              <w:t>3.</w:t>
            </w:r>
            <w:r>
              <w:rPr>
                <w:rFonts w:hint="eastAsia" w:ascii="仿宋" w:hAnsi="仿宋" w:eastAsia="仿宋" w:cs="宋体"/>
                <w:bCs/>
                <w:color w:val="000000"/>
                <w:kern w:val="0"/>
                <w:sz w:val="18"/>
                <w:szCs w:val="18"/>
              </w:rPr>
              <w:t>2</w:t>
            </w:r>
            <w:r>
              <w:rPr>
                <w:rFonts w:ascii="仿宋" w:hAnsi="仿宋" w:eastAsia="仿宋" w:cs="宋体"/>
                <w:bCs/>
                <w:color w:val="000000"/>
                <w:kern w:val="0"/>
                <w:sz w:val="18"/>
                <w:szCs w:val="18"/>
              </w:rPr>
              <w:t>.1</w:t>
            </w:r>
          </w:p>
        </w:tc>
        <w:tc>
          <w:tcPr>
            <w:tcW w:w="659" w:type="pct"/>
            <w:vMerge w:val="restart"/>
            <w:vAlign w:val="center"/>
          </w:tcPr>
          <w:p w14:paraId="41FD86C0">
            <w:pPr>
              <w:widowControl/>
              <w:jc w:val="center"/>
              <w:rPr>
                <w:rFonts w:hint="eastAsia" w:ascii="仿宋" w:hAnsi="仿宋" w:eastAsia="仿宋" w:cs="宋体"/>
                <w:bCs/>
                <w:color w:val="000000"/>
                <w:kern w:val="0"/>
                <w:sz w:val="18"/>
                <w:szCs w:val="18"/>
              </w:rPr>
            </w:pPr>
            <w:r>
              <w:rPr>
                <w:rFonts w:hint="eastAsia" w:ascii="仿宋" w:hAnsi="仿宋" w:eastAsia="仿宋" w:cs="宋体"/>
                <w:bCs/>
                <w:color w:val="000000"/>
                <w:kern w:val="0"/>
                <w:sz w:val="18"/>
                <w:szCs w:val="18"/>
              </w:rPr>
              <w:t>响应性评审</w:t>
            </w:r>
          </w:p>
        </w:tc>
        <w:tc>
          <w:tcPr>
            <w:tcW w:w="907" w:type="pct"/>
            <w:vAlign w:val="center"/>
          </w:tcPr>
          <w:p w14:paraId="362753A9">
            <w:pPr>
              <w:widowControl/>
              <w:jc w:val="center"/>
              <w:rPr>
                <w:rFonts w:hint="eastAsia" w:ascii="仿宋" w:hAnsi="仿宋" w:eastAsia="仿宋" w:cs="宋体"/>
                <w:bCs/>
                <w:color w:val="000000"/>
                <w:kern w:val="0"/>
                <w:sz w:val="18"/>
                <w:szCs w:val="18"/>
              </w:rPr>
            </w:pPr>
            <w:r>
              <w:rPr>
                <w:rFonts w:hint="eastAsia" w:ascii="仿宋" w:hAnsi="仿宋" w:eastAsia="仿宋"/>
                <w:bCs/>
                <w:color w:val="000000"/>
                <w:sz w:val="18"/>
                <w:szCs w:val="18"/>
              </w:rPr>
              <w:t>应答人名称</w:t>
            </w:r>
          </w:p>
        </w:tc>
        <w:tc>
          <w:tcPr>
            <w:tcW w:w="2885" w:type="pct"/>
            <w:gridSpan w:val="3"/>
            <w:vAlign w:val="center"/>
          </w:tcPr>
          <w:p w14:paraId="1DC1410E">
            <w:pPr>
              <w:widowControl/>
              <w:jc w:val="left"/>
              <w:rPr>
                <w:rFonts w:hint="eastAsia" w:ascii="仿宋" w:hAnsi="仿宋" w:eastAsia="仿宋" w:cs="宋体"/>
                <w:bCs/>
                <w:color w:val="000000"/>
                <w:kern w:val="0"/>
                <w:sz w:val="18"/>
                <w:szCs w:val="18"/>
              </w:rPr>
            </w:pPr>
            <w:r>
              <w:rPr>
                <w:rFonts w:hint="eastAsia" w:ascii="仿宋" w:hAnsi="仿宋" w:eastAsia="仿宋"/>
                <w:bCs/>
                <w:color w:val="000000"/>
                <w:sz w:val="18"/>
                <w:szCs w:val="18"/>
              </w:rPr>
              <w:t>与营业执照、资质证书或其他组织证明一致</w:t>
            </w:r>
          </w:p>
        </w:tc>
      </w:tr>
      <w:tr w14:paraId="2690D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548" w:type="pct"/>
            <w:vMerge w:val="continue"/>
          </w:tcPr>
          <w:p w14:paraId="2C2A17FA">
            <w:pPr>
              <w:widowControl/>
              <w:jc w:val="left"/>
              <w:rPr>
                <w:rFonts w:hint="eastAsia" w:ascii="仿宋" w:hAnsi="仿宋" w:eastAsia="仿宋" w:cs="宋体"/>
                <w:bCs/>
                <w:color w:val="000000"/>
                <w:kern w:val="0"/>
                <w:sz w:val="18"/>
                <w:szCs w:val="18"/>
              </w:rPr>
            </w:pPr>
          </w:p>
        </w:tc>
        <w:tc>
          <w:tcPr>
            <w:tcW w:w="659" w:type="pct"/>
            <w:vMerge w:val="continue"/>
            <w:vAlign w:val="center"/>
          </w:tcPr>
          <w:p w14:paraId="65E68CDD">
            <w:pPr>
              <w:widowControl/>
              <w:jc w:val="left"/>
              <w:rPr>
                <w:rFonts w:hint="eastAsia" w:ascii="仿宋" w:hAnsi="仿宋" w:eastAsia="仿宋" w:cs="宋体"/>
                <w:bCs/>
                <w:color w:val="000000"/>
                <w:kern w:val="0"/>
                <w:sz w:val="18"/>
                <w:szCs w:val="18"/>
              </w:rPr>
            </w:pPr>
          </w:p>
        </w:tc>
        <w:tc>
          <w:tcPr>
            <w:tcW w:w="907" w:type="pct"/>
            <w:vAlign w:val="center"/>
          </w:tcPr>
          <w:p w14:paraId="58B6D938">
            <w:pPr>
              <w:widowControl/>
              <w:jc w:val="center"/>
              <w:rPr>
                <w:rFonts w:hint="eastAsia" w:ascii="仿宋" w:hAnsi="仿宋" w:eastAsia="仿宋" w:cs="宋体"/>
                <w:bCs/>
                <w:color w:val="000000"/>
                <w:kern w:val="0"/>
                <w:sz w:val="18"/>
                <w:szCs w:val="18"/>
              </w:rPr>
            </w:pPr>
            <w:r>
              <w:rPr>
                <w:rFonts w:hint="eastAsia" w:ascii="仿宋" w:hAnsi="仿宋" w:eastAsia="仿宋"/>
                <w:bCs/>
                <w:color w:val="000000"/>
                <w:sz w:val="18"/>
                <w:szCs w:val="18"/>
              </w:rPr>
              <w:t>应答函</w:t>
            </w:r>
          </w:p>
        </w:tc>
        <w:tc>
          <w:tcPr>
            <w:tcW w:w="2885" w:type="pct"/>
            <w:gridSpan w:val="3"/>
            <w:vAlign w:val="center"/>
          </w:tcPr>
          <w:p w14:paraId="79B81880">
            <w:pPr>
              <w:widowControl/>
              <w:jc w:val="left"/>
              <w:rPr>
                <w:rFonts w:hint="eastAsia" w:ascii="仿宋" w:hAnsi="仿宋" w:eastAsia="仿宋" w:cs="宋体"/>
                <w:bCs/>
                <w:color w:val="000000"/>
                <w:kern w:val="0"/>
                <w:sz w:val="18"/>
                <w:szCs w:val="18"/>
              </w:rPr>
            </w:pPr>
            <w:r>
              <w:rPr>
                <w:rFonts w:hint="eastAsia" w:ascii="仿宋" w:hAnsi="仿宋" w:eastAsia="仿宋"/>
                <w:bCs/>
                <w:color w:val="000000"/>
                <w:sz w:val="18"/>
                <w:szCs w:val="18"/>
              </w:rPr>
              <w:t>按询比文件要求提供。</w:t>
            </w:r>
          </w:p>
        </w:tc>
      </w:tr>
      <w:tr w14:paraId="33331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548" w:type="pct"/>
            <w:vMerge w:val="continue"/>
          </w:tcPr>
          <w:p w14:paraId="1E1DAE17">
            <w:pPr>
              <w:widowControl/>
              <w:jc w:val="left"/>
              <w:rPr>
                <w:rFonts w:hint="eastAsia" w:ascii="仿宋" w:hAnsi="仿宋" w:eastAsia="仿宋" w:cs="宋体"/>
                <w:bCs/>
                <w:color w:val="000000"/>
                <w:kern w:val="0"/>
                <w:sz w:val="18"/>
                <w:szCs w:val="18"/>
              </w:rPr>
            </w:pPr>
          </w:p>
        </w:tc>
        <w:tc>
          <w:tcPr>
            <w:tcW w:w="659" w:type="pct"/>
            <w:vMerge w:val="continue"/>
            <w:vAlign w:val="center"/>
          </w:tcPr>
          <w:p w14:paraId="73AC71C8">
            <w:pPr>
              <w:widowControl/>
              <w:jc w:val="left"/>
              <w:rPr>
                <w:rFonts w:hint="eastAsia" w:ascii="仿宋" w:hAnsi="仿宋" w:eastAsia="仿宋" w:cs="宋体"/>
                <w:bCs/>
                <w:color w:val="000000"/>
                <w:kern w:val="0"/>
                <w:sz w:val="18"/>
                <w:szCs w:val="18"/>
              </w:rPr>
            </w:pPr>
          </w:p>
        </w:tc>
        <w:tc>
          <w:tcPr>
            <w:tcW w:w="907" w:type="pct"/>
            <w:vAlign w:val="center"/>
          </w:tcPr>
          <w:p w14:paraId="39960629">
            <w:pPr>
              <w:widowControl/>
              <w:jc w:val="center"/>
              <w:rPr>
                <w:rFonts w:hint="eastAsia" w:ascii="仿宋" w:hAnsi="仿宋" w:eastAsia="仿宋" w:cs="宋体"/>
                <w:bCs/>
                <w:color w:val="000000"/>
                <w:kern w:val="0"/>
                <w:sz w:val="18"/>
                <w:szCs w:val="18"/>
              </w:rPr>
            </w:pPr>
            <w:r>
              <w:rPr>
                <w:rFonts w:hint="eastAsia" w:ascii="仿宋" w:hAnsi="仿宋" w:eastAsia="仿宋"/>
                <w:bCs/>
                <w:color w:val="000000"/>
                <w:sz w:val="18"/>
                <w:szCs w:val="18"/>
              </w:rPr>
              <w:t>法定代表人/负责人证明书和法定代表人/负责人授权委托书</w:t>
            </w:r>
          </w:p>
        </w:tc>
        <w:tc>
          <w:tcPr>
            <w:tcW w:w="2885" w:type="pct"/>
            <w:gridSpan w:val="3"/>
            <w:vAlign w:val="center"/>
          </w:tcPr>
          <w:p w14:paraId="4B771A27">
            <w:pPr>
              <w:widowControl/>
              <w:jc w:val="left"/>
              <w:rPr>
                <w:rFonts w:hint="eastAsia" w:ascii="仿宋" w:hAnsi="仿宋" w:eastAsia="仿宋" w:cs="宋体"/>
                <w:bCs/>
                <w:color w:val="000000"/>
                <w:kern w:val="0"/>
                <w:sz w:val="18"/>
                <w:szCs w:val="18"/>
              </w:rPr>
            </w:pPr>
            <w:r>
              <w:rPr>
                <w:rFonts w:hint="eastAsia" w:ascii="仿宋" w:hAnsi="仿宋" w:eastAsia="仿宋"/>
                <w:bCs/>
                <w:color w:val="000000"/>
                <w:sz w:val="18"/>
                <w:szCs w:val="18"/>
              </w:rPr>
              <w:t>按询比文件要求提供。</w:t>
            </w:r>
          </w:p>
        </w:tc>
      </w:tr>
      <w:tr w14:paraId="30610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548" w:type="pct"/>
            <w:vMerge w:val="continue"/>
          </w:tcPr>
          <w:p w14:paraId="4A7AE399">
            <w:pPr>
              <w:widowControl/>
              <w:jc w:val="left"/>
              <w:rPr>
                <w:rFonts w:hint="eastAsia" w:ascii="仿宋" w:hAnsi="仿宋" w:eastAsia="仿宋" w:cs="宋体"/>
                <w:bCs/>
                <w:color w:val="000000"/>
                <w:kern w:val="0"/>
                <w:sz w:val="18"/>
                <w:szCs w:val="18"/>
              </w:rPr>
            </w:pPr>
          </w:p>
        </w:tc>
        <w:tc>
          <w:tcPr>
            <w:tcW w:w="659" w:type="pct"/>
            <w:vMerge w:val="continue"/>
            <w:vAlign w:val="center"/>
          </w:tcPr>
          <w:p w14:paraId="677A48FC">
            <w:pPr>
              <w:widowControl/>
              <w:jc w:val="left"/>
              <w:rPr>
                <w:rFonts w:hint="eastAsia" w:ascii="仿宋" w:hAnsi="仿宋" w:eastAsia="仿宋" w:cs="宋体"/>
                <w:bCs/>
                <w:color w:val="000000"/>
                <w:kern w:val="0"/>
                <w:sz w:val="18"/>
                <w:szCs w:val="18"/>
              </w:rPr>
            </w:pPr>
          </w:p>
        </w:tc>
        <w:tc>
          <w:tcPr>
            <w:tcW w:w="907" w:type="pct"/>
            <w:vAlign w:val="center"/>
          </w:tcPr>
          <w:p w14:paraId="594ED4AC">
            <w:pPr>
              <w:widowControl/>
              <w:jc w:val="center"/>
              <w:rPr>
                <w:rFonts w:hint="eastAsia" w:ascii="仿宋" w:hAnsi="仿宋" w:eastAsia="仿宋" w:cs="宋体"/>
                <w:bCs/>
                <w:color w:val="000000"/>
                <w:kern w:val="0"/>
                <w:sz w:val="18"/>
                <w:szCs w:val="18"/>
              </w:rPr>
            </w:pPr>
            <w:r>
              <w:rPr>
                <w:rFonts w:hint="eastAsia" w:ascii="仿宋" w:hAnsi="仿宋" w:eastAsia="仿宋"/>
                <w:bCs/>
                <w:color w:val="000000"/>
                <w:sz w:val="18"/>
                <w:szCs w:val="18"/>
              </w:rPr>
              <w:t>应答文件格式</w:t>
            </w:r>
          </w:p>
        </w:tc>
        <w:tc>
          <w:tcPr>
            <w:tcW w:w="2885" w:type="pct"/>
            <w:gridSpan w:val="3"/>
            <w:vAlign w:val="center"/>
          </w:tcPr>
          <w:p w14:paraId="40419E41">
            <w:pPr>
              <w:widowControl/>
              <w:jc w:val="left"/>
              <w:rPr>
                <w:rFonts w:hint="eastAsia" w:ascii="仿宋" w:hAnsi="仿宋" w:eastAsia="仿宋" w:cs="宋体"/>
                <w:bCs/>
                <w:color w:val="000000"/>
                <w:kern w:val="0"/>
                <w:sz w:val="18"/>
                <w:szCs w:val="18"/>
              </w:rPr>
            </w:pPr>
            <w:r>
              <w:rPr>
                <w:rFonts w:hint="eastAsia" w:ascii="仿宋" w:hAnsi="仿宋" w:eastAsia="仿宋"/>
                <w:bCs/>
                <w:color w:val="000000"/>
                <w:sz w:val="18"/>
                <w:szCs w:val="18"/>
              </w:rPr>
              <w:t>符合询比文件“应答文件格式”的要求</w:t>
            </w:r>
          </w:p>
        </w:tc>
      </w:tr>
      <w:tr w14:paraId="594DB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548" w:type="pct"/>
            <w:vMerge w:val="continue"/>
          </w:tcPr>
          <w:p w14:paraId="145557E7">
            <w:pPr>
              <w:widowControl/>
              <w:jc w:val="left"/>
              <w:rPr>
                <w:rFonts w:hint="eastAsia" w:ascii="仿宋" w:hAnsi="仿宋" w:eastAsia="仿宋" w:cs="宋体"/>
                <w:bCs/>
                <w:color w:val="000000"/>
                <w:kern w:val="0"/>
                <w:sz w:val="18"/>
                <w:szCs w:val="18"/>
              </w:rPr>
            </w:pPr>
          </w:p>
        </w:tc>
        <w:tc>
          <w:tcPr>
            <w:tcW w:w="659" w:type="pct"/>
            <w:vMerge w:val="continue"/>
            <w:vAlign w:val="center"/>
          </w:tcPr>
          <w:p w14:paraId="2919E8CD">
            <w:pPr>
              <w:widowControl/>
              <w:jc w:val="left"/>
              <w:rPr>
                <w:rFonts w:hint="eastAsia" w:ascii="仿宋" w:hAnsi="仿宋" w:eastAsia="仿宋" w:cs="宋体"/>
                <w:bCs/>
                <w:color w:val="000000"/>
                <w:kern w:val="0"/>
                <w:sz w:val="18"/>
                <w:szCs w:val="18"/>
              </w:rPr>
            </w:pPr>
          </w:p>
        </w:tc>
        <w:tc>
          <w:tcPr>
            <w:tcW w:w="907" w:type="pct"/>
            <w:vAlign w:val="center"/>
          </w:tcPr>
          <w:p w14:paraId="6204B692">
            <w:pPr>
              <w:widowControl/>
              <w:jc w:val="center"/>
              <w:rPr>
                <w:rFonts w:hint="eastAsia" w:ascii="仿宋" w:hAnsi="仿宋" w:eastAsia="仿宋" w:cs="宋体"/>
                <w:bCs/>
                <w:color w:val="000000"/>
                <w:kern w:val="0"/>
                <w:sz w:val="18"/>
                <w:szCs w:val="18"/>
              </w:rPr>
            </w:pPr>
            <w:r>
              <w:rPr>
                <w:rFonts w:hint="eastAsia" w:ascii="仿宋" w:hAnsi="仿宋" w:eastAsia="仿宋"/>
                <w:bCs/>
                <w:color w:val="000000"/>
                <w:sz w:val="18"/>
                <w:szCs w:val="18"/>
              </w:rPr>
              <w:t>应答保证金</w:t>
            </w:r>
          </w:p>
        </w:tc>
        <w:tc>
          <w:tcPr>
            <w:tcW w:w="2885" w:type="pct"/>
            <w:gridSpan w:val="3"/>
            <w:vAlign w:val="center"/>
          </w:tcPr>
          <w:p w14:paraId="69DCDE6C">
            <w:pPr>
              <w:widowControl/>
              <w:jc w:val="left"/>
              <w:rPr>
                <w:rFonts w:hint="eastAsia" w:ascii="仿宋" w:hAnsi="仿宋" w:eastAsia="仿宋" w:cs="宋体"/>
                <w:bCs/>
                <w:color w:val="000000"/>
                <w:kern w:val="0"/>
                <w:sz w:val="18"/>
                <w:szCs w:val="18"/>
              </w:rPr>
            </w:pPr>
            <w:r>
              <w:rPr>
                <w:rFonts w:hint="eastAsia" w:ascii="仿宋" w:hAnsi="仿宋" w:eastAsia="仿宋"/>
                <w:bCs/>
                <w:color w:val="000000"/>
                <w:sz w:val="18"/>
                <w:szCs w:val="18"/>
              </w:rPr>
              <w:t>符合询比文件“应答人须知”、“应答保证金”规定</w:t>
            </w:r>
          </w:p>
        </w:tc>
      </w:tr>
      <w:tr w14:paraId="7F7F9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548" w:type="pct"/>
            <w:vMerge w:val="continue"/>
          </w:tcPr>
          <w:p w14:paraId="15928E72">
            <w:pPr>
              <w:widowControl/>
              <w:jc w:val="left"/>
              <w:rPr>
                <w:rFonts w:hint="eastAsia" w:ascii="仿宋" w:hAnsi="仿宋" w:eastAsia="仿宋" w:cs="宋体"/>
                <w:bCs/>
                <w:color w:val="000000"/>
                <w:kern w:val="0"/>
                <w:sz w:val="18"/>
                <w:szCs w:val="18"/>
              </w:rPr>
            </w:pPr>
          </w:p>
        </w:tc>
        <w:tc>
          <w:tcPr>
            <w:tcW w:w="659" w:type="pct"/>
            <w:vMerge w:val="continue"/>
            <w:vAlign w:val="center"/>
          </w:tcPr>
          <w:p w14:paraId="326F6F00">
            <w:pPr>
              <w:widowControl/>
              <w:jc w:val="left"/>
              <w:rPr>
                <w:rFonts w:hint="eastAsia" w:ascii="仿宋" w:hAnsi="仿宋" w:eastAsia="仿宋" w:cs="宋体"/>
                <w:bCs/>
                <w:color w:val="000000"/>
                <w:kern w:val="0"/>
                <w:sz w:val="18"/>
                <w:szCs w:val="18"/>
              </w:rPr>
            </w:pPr>
          </w:p>
        </w:tc>
        <w:tc>
          <w:tcPr>
            <w:tcW w:w="907" w:type="pct"/>
            <w:vAlign w:val="center"/>
          </w:tcPr>
          <w:p w14:paraId="780226B1">
            <w:pPr>
              <w:widowControl/>
              <w:jc w:val="center"/>
              <w:rPr>
                <w:rFonts w:hint="eastAsia" w:ascii="仿宋" w:hAnsi="仿宋" w:eastAsia="仿宋" w:cs="宋体"/>
                <w:bCs/>
                <w:color w:val="000000"/>
                <w:kern w:val="0"/>
                <w:sz w:val="18"/>
                <w:szCs w:val="18"/>
              </w:rPr>
            </w:pPr>
            <w:r>
              <w:rPr>
                <w:rFonts w:hint="eastAsia" w:ascii="仿宋" w:hAnsi="仿宋" w:eastAsia="仿宋"/>
                <w:bCs/>
                <w:color w:val="000000"/>
                <w:sz w:val="18"/>
                <w:szCs w:val="18"/>
              </w:rPr>
              <w:t>应答报价</w:t>
            </w:r>
          </w:p>
        </w:tc>
        <w:tc>
          <w:tcPr>
            <w:tcW w:w="2885" w:type="pct"/>
            <w:gridSpan w:val="3"/>
            <w:vAlign w:val="center"/>
          </w:tcPr>
          <w:p w14:paraId="05935063">
            <w:pPr>
              <w:widowControl/>
              <w:jc w:val="left"/>
              <w:rPr>
                <w:rFonts w:hint="eastAsia" w:ascii="仿宋" w:hAnsi="仿宋" w:eastAsia="仿宋"/>
                <w:bCs/>
                <w:color w:val="000000"/>
                <w:sz w:val="18"/>
                <w:szCs w:val="18"/>
              </w:rPr>
            </w:pPr>
            <w:r>
              <w:rPr>
                <w:rFonts w:hint="eastAsia" w:ascii="仿宋" w:hAnsi="仿宋" w:eastAsia="仿宋"/>
                <w:bCs/>
                <w:color w:val="000000"/>
                <w:sz w:val="18"/>
                <w:szCs w:val="18"/>
              </w:rPr>
              <w:t>应答报价符合询比文件要求。</w:t>
            </w:r>
          </w:p>
        </w:tc>
      </w:tr>
      <w:tr w14:paraId="34077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548" w:type="pct"/>
            <w:vMerge w:val="continue"/>
          </w:tcPr>
          <w:p w14:paraId="5C03632C">
            <w:pPr>
              <w:widowControl/>
              <w:jc w:val="left"/>
              <w:rPr>
                <w:rFonts w:hint="eastAsia" w:ascii="仿宋" w:hAnsi="仿宋" w:eastAsia="仿宋" w:cs="宋体"/>
                <w:bCs/>
                <w:color w:val="000000"/>
                <w:kern w:val="0"/>
                <w:sz w:val="18"/>
                <w:szCs w:val="18"/>
              </w:rPr>
            </w:pPr>
          </w:p>
        </w:tc>
        <w:tc>
          <w:tcPr>
            <w:tcW w:w="659" w:type="pct"/>
            <w:vMerge w:val="continue"/>
            <w:vAlign w:val="center"/>
          </w:tcPr>
          <w:p w14:paraId="09006F1F">
            <w:pPr>
              <w:widowControl/>
              <w:jc w:val="left"/>
              <w:rPr>
                <w:rFonts w:hint="eastAsia" w:ascii="仿宋" w:hAnsi="仿宋" w:eastAsia="仿宋" w:cs="宋体"/>
                <w:bCs/>
                <w:color w:val="000000"/>
                <w:kern w:val="0"/>
                <w:sz w:val="18"/>
                <w:szCs w:val="18"/>
              </w:rPr>
            </w:pPr>
          </w:p>
        </w:tc>
        <w:tc>
          <w:tcPr>
            <w:tcW w:w="907" w:type="pct"/>
            <w:vAlign w:val="center"/>
          </w:tcPr>
          <w:p w14:paraId="70B3AD75">
            <w:pPr>
              <w:widowControl/>
              <w:jc w:val="center"/>
              <w:rPr>
                <w:rFonts w:hint="eastAsia" w:ascii="仿宋" w:hAnsi="仿宋" w:eastAsia="仿宋" w:cs="宋体"/>
                <w:bCs/>
                <w:color w:val="000000"/>
                <w:kern w:val="0"/>
                <w:sz w:val="18"/>
                <w:szCs w:val="18"/>
              </w:rPr>
            </w:pPr>
            <w:r>
              <w:rPr>
                <w:rFonts w:hint="eastAsia" w:ascii="仿宋" w:hAnsi="仿宋" w:eastAsia="仿宋"/>
                <w:bCs/>
                <w:color w:val="000000"/>
                <w:sz w:val="18"/>
                <w:szCs w:val="18"/>
              </w:rPr>
              <w:t>商务实质性条款</w:t>
            </w:r>
          </w:p>
        </w:tc>
        <w:tc>
          <w:tcPr>
            <w:tcW w:w="2885" w:type="pct"/>
            <w:gridSpan w:val="3"/>
            <w:vAlign w:val="center"/>
          </w:tcPr>
          <w:p w14:paraId="3812605C">
            <w:pPr>
              <w:widowControl/>
              <w:jc w:val="left"/>
              <w:rPr>
                <w:rFonts w:hint="eastAsia" w:ascii="仿宋" w:hAnsi="仿宋" w:eastAsia="仿宋"/>
                <w:bCs/>
                <w:color w:val="000000"/>
                <w:sz w:val="18"/>
                <w:szCs w:val="18"/>
              </w:rPr>
            </w:pPr>
            <w:r>
              <w:rPr>
                <w:rFonts w:hint="eastAsia" w:ascii="仿宋" w:hAnsi="仿宋" w:eastAsia="仿宋"/>
                <w:bCs/>
                <w:color w:val="000000"/>
                <w:sz w:val="18"/>
                <w:szCs w:val="18"/>
              </w:rPr>
              <w:t>满足询比文件商务实质性条款（星号项等否决应答的关键条款）。</w:t>
            </w:r>
          </w:p>
        </w:tc>
      </w:tr>
      <w:tr w14:paraId="34FB7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548" w:type="pct"/>
            <w:vMerge w:val="continue"/>
          </w:tcPr>
          <w:p w14:paraId="1C8052D4">
            <w:pPr>
              <w:widowControl/>
              <w:jc w:val="left"/>
              <w:rPr>
                <w:rFonts w:hint="eastAsia" w:ascii="仿宋" w:hAnsi="仿宋" w:eastAsia="仿宋" w:cs="宋体"/>
                <w:bCs/>
                <w:color w:val="000000"/>
                <w:kern w:val="0"/>
                <w:sz w:val="18"/>
                <w:szCs w:val="18"/>
              </w:rPr>
            </w:pPr>
          </w:p>
        </w:tc>
        <w:tc>
          <w:tcPr>
            <w:tcW w:w="659" w:type="pct"/>
            <w:vMerge w:val="continue"/>
            <w:vAlign w:val="center"/>
          </w:tcPr>
          <w:p w14:paraId="01F65261">
            <w:pPr>
              <w:widowControl/>
              <w:jc w:val="left"/>
              <w:rPr>
                <w:rFonts w:hint="eastAsia" w:ascii="仿宋" w:hAnsi="仿宋" w:eastAsia="仿宋" w:cs="宋体"/>
                <w:bCs/>
                <w:color w:val="000000"/>
                <w:kern w:val="0"/>
                <w:sz w:val="18"/>
                <w:szCs w:val="18"/>
              </w:rPr>
            </w:pPr>
          </w:p>
        </w:tc>
        <w:tc>
          <w:tcPr>
            <w:tcW w:w="907" w:type="pct"/>
            <w:vAlign w:val="center"/>
          </w:tcPr>
          <w:p w14:paraId="61C31207">
            <w:pPr>
              <w:widowControl/>
              <w:jc w:val="center"/>
              <w:rPr>
                <w:rFonts w:hint="eastAsia" w:ascii="仿宋" w:hAnsi="仿宋" w:eastAsia="仿宋" w:cs="宋体"/>
                <w:bCs/>
                <w:color w:val="000000"/>
                <w:kern w:val="0"/>
                <w:sz w:val="18"/>
                <w:szCs w:val="18"/>
              </w:rPr>
            </w:pPr>
            <w:r>
              <w:rPr>
                <w:rFonts w:hint="eastAsia" w:ascii="仿宋" w:hAnsi="仿宋" w:eastAsia="仿宋"/>
                <w:bCs/>
                <w:color w:val="000000"/>
                <w:sz w:val="18"/>
                <w:szCs w:val="18"/>
              </w:rPr>
              <w:t>技术实质性条款</w:t>
            </w:r>
          </w:p>
        </w:tc>
        <w:tc>
          <w:tcPr>
            <w:tcW w:w="2885" w:type="pct"/>
            <w:gridSpan w:val="3"/>
            <w:vAlign w:val="center"/>
          </w:tcPr>
          <w:p w14:paraId="139778A1">
            <w:pPr>
              <w:widowControl/>
              <w:jc w:val="left"/>
              <w:rPr>
                <w:rFonts w:hint="eastAsia" w:ascii="仿宋" w:hAnsi="仿宋" w:eastAsia="仿宋"/>
                <w:bCs/>
                <w:color w:val="000000"/>
                <w:sz w:val="18"/>
                <w:szCs w:val="18"/>
              </w:rPr>
            </w:pPr>
            <w:r>
              <w:rPr>
                <w:rFonts w:hint="eastAsia" w:ascii="仿宋" w:hAnsi="仿宋" w:eastAsia="仿宋"/>
                <w:bCs/>
                <w:color w:val="000000"/>
                <w:sz w:val="18"/>
                <w:szCs w:val="18"/>
              </w:rPr>
              <w:t>满足询比文件技术实质性条款（星号项等否决应答的关键条款）。</w:t>
            </w:r>
          </w:p>
        </w:tc>
      </w:tr>
      <w:tr w14:paraId="51636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548" w:type="pct"/>
            <w:vMerge w:val="continue"/>
          </w:tcPr>
          <w:p w14:paraId="2E861C17">
            <w:pPr>
              <w:widowControl/>
              <w:jc w:val="left"/>
              <w:rPr>
                <w:rFonts w:hint="eastAsia" w:ascii="仿宋" w:hAnsi="仿宋" w:eastAsia="仿宋" w:cs="宋体"/>
                <w:bCs/>
                <w:color w:val="000000"/>
                <w:kern w:val="0"/>
                <w:sz w:val="18"/>
                <w:szCs w:val="18"/>
              </w:rPr>
            </w:pPr>
          </w:p>
        </w:tc>
        <w:tc>
          <w:tcPr>
            <w:tcW w:w="659" w:type="pct"/>
            <w:vMerge w:val="continue"/>
            <w:vAlign w:val="center"/>
          </w:tcPr>
          <w:p w14:paraId="69F07040">
            <w:pPr>
              <w:widowControl/>
              <w:jc w:val="left"/>
              <w:rPr>
                <w:rFonts w:hint="eastAsia" w:ascii="仿宋" w:hAnsi="仿宋" w:eastAsia="仿宋" w:cs="宋体"/>
                <w:bCs/>
                <w:color w:val="000000"/>
                <w:kern w:val="0"/>
                <w:sz w:val="18"/>
                <w:szCs w:val="18"/>
              </w:rPr>
            </w:pPr>
          </w:p>
        </w:tc>
        <w:tc>
          <w:tcPr>
            <w:tcW w:w="907" w:type="pct"/>
            <w:vAlign w:val="center"/>
          </w:tcPr>
          <w:p w14:paraId="480F358B">
            <w:pPr>
              <w:widowControl/>
              <w:jc w:val="center"/>
              <w:rPr>
                <w:rFonts w:hint="eastAsia" w:ascii="仿宋" w:hAnsi="仿宋" w:eastAsia="仿宋" w:cs="宋体"/>
                <w:bCs/>
                <w:color w:val="000000"/>
                <w:kern w:val="0"/>
                <w:sz w:val="18"/>
                <w:szCs w:val="18"/>
              </w:rPr>
            </w:pPr>
            <w:r>
              <w:rPr>
                <w:rFonts w:hint="eastAsia" w:ascii="仿宋" w:hAnsi="仿宋" w:eastAsia="仿宋"/>
                <w:bCs/>
                <w:color w:val="000000"/>
                <w:sz w:val="18"/>
                <w:szCs w:val="18"/>
              </w:rPr>
              <w:t>负面行为</w:t>
            </w:r>
          </w:p>
        </w:tc>
        <w:tc>
          <w:tcPr>
            <w:tcW w:w="2885" w:type="pct"/>
            <w:gridSpan w:val="3"/>
            <w:vAlign w:val="center"/>
          </w:tcPr>
          <w:p w14:paraId="0A85FDBA">
            <w:pPr>
              <w:widowControl/>
              <w:jc w:val="left"/>
              <w:rPr>
                <w:rFonts w:hint="eastAsia" w:ascii="仿宋" w:hAnsi="仿宋" w:eastAsia="仿宋"/>
                <w:bCs/>
                <w:color w:val="000000"/>
                <w:sz w:val="18"/>
                <w:szCs w:val="18"/>
              </w:rPr>
            </w:pPr>
            <w:r>
              <w:rPr>
                <w:rFonts w:hint="eastAsia" w:ascii="仿宋" w:hAnsi="仿宋" w:eastAsia="仿宋"/>
                <w:bCs/>
                <w:color w:val="000000"/>
                <w:sz w:val="18"/>
                <w:szCs w:val="18"/>
              </w:rPr>
              <w:t>不属于采购人认定的具体产品类别禁止合作负面行为应答人。</w:t>
            </w:r>
          </w:p>
        </w:tc>
      </w:tr>
      <w:tr w14:paraId="349E4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548" w:type="pct"/>
            <w:vMerge w:val="continue"/>
          </w:tcPr>
          <w:p w14:paraId="6EA96067">
            <w:pPr>
              <w:widowControl/>
              <w:jc w:val="left"/>
              <w:rPr>
                <w:rFonts w:hint="eastAsia" w:ascii="仿宋" w:hAnsi="仿宋" w:eastAsia="仿宋" w:cs="宋体"/>
                <w:bCs/>
                <w:color w:val="000000"/>
                <w:kern w:val="0"/>
                <w:sz w:val="18"/>
                <w:szCs w:val="18"/>
              </w:rPr>
            </w:pPr>
          </w:p>
        </w:tc>
        <w:tc>
          <w:tcPr>
            <w:tcW w:w="659" w:type="pct"/>
            <w:vMerge w:val="continue"/>
            <w:vAlign w:val="center"/>
          </w:tcPr>
          <w:p w14:paraId="72E43F35">
            <w:pPr>
              <w:widowControl/>
              <w:jc w:val="left"/>
              <w:rPr>
                <w:rFonts w:hint="eastAsia" w:ascii="仿宋" w:hAnsi="仿宋" w:eastAsia="仿宋" w:cs="宋体"/>
                <w:bCs/>
                <w:color w:val="000000"/>
                <w:kern w:val="0"/>
                <w:sz w:val="18"/>
                <w:szCs w:val="18"/>
              </w:rPr>
            </w:pPr>
          </w:p>
        </w:tc>
        <w:tc>
          <w:tcPr>
            <w:tcW w:w="907" w:type="pct"/>
            <w:vAlign w:val="center"/>
          </w:tcPr>
          <w:p w14:paraId="3959D4C2">
            <w:pPr>
              <w:widowControl/>
              <w:jc w:val="center"/>
              <w:rPr>
                <w:rFonts w:hint="eastAsia" w:ascii="仿宋" w:hAnsi="仿宋" w:eastAsia="仿宋" w:cs="宋体"/>
                <w:bCs/>
                <w:color w:val="000000"/>
                <w:kern w:val="0"/>
                <w:sz w:val="18"/>
                <w:szCs w:val="18"/>
              </w:rPr>
            </w:pPr>
            <w:r>
              <w:rPr>
                <w:rFonts w:hint="eastAsia" w:ascii="仿宋" w:hAnsi="仿宋" w:eastAsia="仿宋"/>
                <w:bCs/>
                <w:color w:val="000000"/>
                <w:sz w:val="18"/>
                <w:szCs w:val="18"/>
              </w:rPr>
              <w:t>串通应答行为认定规则</w:t>
            </w:r>
          </w:p>
        </w:tc>
        <w:tc>
          <w:tcPr>
            <w:tcW w:w="2885" w:type="pct"/>
            <w:gridSpan w:val="3"/>
            <w:vAlign w:val="center"/>
          </w:tcPr>
          <w:p w14:paraId="4643DDBC">
            <w:pPr>
              <w:widowControl/>
              <w:jc w:val="left"/>
              <w:rPr>
                <w:rFonts w:hint="eastAsia" w:ascii="仿宋" w:hAnsi="仿宋" w:eastAsia="仿宋"/>
                <w:bCs/>
                <w:color w:val="000000"/>
                <w:sz w:val="18"/>
                <w:szCs w:val="18"/>
              </w:rPr>
            </w:pPr>
            <w:r>
              <w:rPr>
                <w:rFonts w:hint="eastAsia" w:ascii="仿宋" w:hAnsi="仿宋" w:eastAsia="仿宋"/>
                <w:bCs/>
                <w:color w:val="000000"/>
                <w:sz w:val="18"/>
                <w:szCs w:val="18"/>
              </w:rPr>
              <w:t>应答人不存在串通应答行为，认定规则包括但不限于询比文件及法律法规相关规定。</w:t>
            </w:r>
          </w:p>
        </w:tc>
      </w:tr>
      <w:tr w14:paraId="65B50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548" w:type="pct"/>
            <w:vMerge w:val="continue"/>
          </w:tcPr>
          <w:p w14:paraId="36D07497">
            <w:pPr>
              <w:widowControl/>
              <w:jc w:val="left"/>
              <w:rPr>
                <w:rFonts w:hint="eastAsia" w:ascii="仿宋" w:hAnsi="仿宋" w:eastAsia="仿宋" w:cs="宋体"/>
                <w:bCs/>
                <w:color w:val="000000"/>
                <w:kern w:val="0"/>
                <w:sz w:val="18"/>
                <w:szCs w:val="18"/>
              </w:rPr>
            </w:pPr>
          </w:p>
        </w:tc>
        <w:tc>
          <w:tcPr>
            <w:tcW w:w="659" w:type="pct"/>
            <w:vMerge w:val="continue"/>
            <w:vAlign w:val="center"/>
          </w:tcPr>
          <w:p w14:paraId="761582E5">
            <w:pPr>
              <w:widowControl/>
              <w:jc w:val="left"/>
              <w:rPr>
                <w:rFonts w:hint="eastAsia" w:ascii="仿宋" w:hAnsi="仿宋" w:eastAsia="仿宋" w:cs="宋体"/>
                <w:bCs/>
                <w:color w:val="000000"/>
                <w:kern w:val="0"/>
                <w:sz w:val="18"/>
                <w:szCs w:val="18"/>
              </w:rPr>
            </w:pPr>
          </w:p>
        </w:tc>
        <w:tc>
          <w:tcPr>
            <w:tcW w:w="907" w:type="pct"/>
            <w:vAlign w:val="center"/>
          </w:tcPr>
          <w:p w14:paraId="324B7451">
            <w:pPr>
              <w:widowControl/>
              <w:jc w:val="center"/>
              <w:rPr>
                <w:rFonts w:hint="eastAsia" w:ascii="仿宋" w:hAnsi="仿宋" w:eastAsia="仿宋"/>
                <w:bCs/>
                <w:color w:val="000000"/>
                <w:sz w:val="18"/>
                <w:szCs w:val="18"/>
              </w:rPr>
            </w:pPr>
            <w:r>
              <w:rPr>
                <w:rFonts w:hint="eastAsia" w:ascii="仿宋" w:hAnsi="仿宋" w:eastAsia="仿宋"/>
                <w:bCs/>
                <w:color w:val="000000"/>
                <w:sz w:val="18"/>
                <w:szCs w:val="18"/>
              </w:rPr>
              <w:t>弄虚作假行为认定</w:t>
            </w:r>
          </w:p>
        </w:tc>
        <w:tc>
          <w:tcPr>
            <w:tcW w:w="2885" w:type="pct"/>
            <w:gridSpan w:val="3"/>
            <w:vAlign w:val="center"/>
          </w:tcPr>
          <w:p w14:paraId="13BA1B46">
            <w:pPr>
              <w:widowControl/>
              <w:jc w:val="left"/>
              <w:rPr>
                <w:rFonts w:hint="eastAsia" w:ascii="仿宋" w:hAnsi="仿宋" w:eastAsia="仿宋"/>
                <w:bCs/>
                <w:color w:val="000000"/>
                <w:sz w:val="18"/>
                <w:szCs w:val="18"/>
              </w:rPr>
            </w:pPr>
            <w:r>
              <w:rPr>
                <w:rFonts w:hint="eastAsia" w:ascii="仿宋" w:hAnsi="仿宋" w:eastAsia="仿宋"/>
                <w:bCs/>
                <w:color w:val="000000"/>
                <w:sz w:val="18"/>
                <w:szCs w:val="18"/>
              </w:rPr>
              <w:t>应答人提供的材料是否不存在弄虚作假</w:t>
            </w:r>
          </w:p>
        </w:tc>
      </w:tr>
      <w:tr w14:paraId="55DF7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548" w:type="pct"/>
            <w:vMerge w:val="continue"/>
          </w:tcPr>
          <w:p w14:paraId="6D42C802">
            <w:pPr>
              <w:widowControl/>
              <w:jc w:val="left"/>
              <w:rPr>
                <w:rFonts w:hint="eastAsia" w:ascii="仿宋" w:hAnsi="仿宋" w:eastAsia="仿宋" w:cs="宋体"/>
                <w:bCs/>
                <w:color w:val="000000"/>
                <w:kern w:val="0"/>
                <w:sz w:val="18"/>
                <w:szCs w:val="18"/>
              </w:rPr>
            </w:pPr>
          </w:p>
        </w:tc>
        <w:tc>
          <w:tcPr>
            <w:tcW w:w="659" w:type="pct"/>
            <w:vMerge w:val="continue"/>
            <w:vAlign w:val="center"/>
          </w:tcPr>
          <w:p w14:paraId="35FFF1B5">
            <w:pPr>
              <w:widowControl/>
              <w:jc w:val="left"/>
              <w:rPr>
                <w:rFonts w:hint="eastAsia" w:ascii="仿宋" w:hAnsi="仿宋" w:eastAsia="仿宋" w:cs="宋体"/>
                <w:bCs/>
                <w:color w:val="000000"/>
                <w:kern w:val="0"/>
                <w:sz w:val="18"/>
                <w:szCs w:val="18"/>
              </w:rPr>
            </w:pPr>
          </w:p>
        </w:tc>
        <w:tc>
          <w:tcPr>
            <w:tcW w:w="907" w:type="pct"/>
            <w:vAlign w:val="center"/>
          </w:tcPr>
          <w:p w14:paraId="36E885B2">
            <w:pPr>
              <w:widowControl/>
              <w:jc w:val="center"/>
              <w:rPr>
                <w:rFonts w:hint="eastAsia" w:ascii="仿宋" w:hAnsi="仿宋" w:eastAsia="仿宋" w:cs="宋体"/>
                <w:bCs/>
                <w:color w:val="000000"/>
                <w:kern w:val="0"/>
                <w:sz w:val="18"/>
                <w:szCs w:val="18"/>
              </w:rPr>
            </w:pPr>
            <w:r>
              <w:rPr>
                <w:rFonts w:hint="eastAsia" w:ascii="仿宋" w:hAnsi="仿宋" w:eastAsia="仿宋"/>
                <w:bCs/>
                <w:color w:val="000000"/>
                <w:sz w:val="18"/>
                <w:szCs w:val="18"/>
              </w:rPr>
              <w:t>澄清</w:t>
            </w:r>
          </w:p>
        </w:tc>
        <w:tc>
          <w:tcPr>
            <w:tcW w:w="2885" w:type="pct"/>
            <w:gridSpan w:val="3"/>
            <w:vAlign w:val="center"/>
          </w:tcPr>
          <w:p w14:paraId="115DC872">
            <w:pPr>
              <w:widowControl/>
              <w:jc w:val="left"/>
              <w:rPr>
                <w:rFonts w:hint="eastAsia" w:ascii="仿宋" w:hAnsi="仿宋" w:eastAsia="仿宋"/>
                <w:bCs/>
                <w:color w:val="000000"/>
                <w:sz w:val="18"/>
                <w:szCs w:val="18"/>
              </w:rPr>
            </w:pPr>
            <w:r>
              <w:rPr>
                <w:rFonts w:hint="eastAsia" w:ascii="仿宋" w:hAnsi="仿宋" w:eastAsia="仿宋"/>
                <w:bCs/>
                <w:color w:val="000000"/>
                <w:sz w:val="18"/>
                <w:szCs w:val="18"/>
              </w:rPr>
              <w:t>应答人按评审委员会要求进行澄清、说明或补正。</w:t>
            </w:r>
          </w:p>
        </w:tc>
      </w:tr>
      <w:tr w14:paraId="2A166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548" w:type="pct"/>
            <w:vMerge w:val="continue"/>
          </w:tcPr>
          <w:p w14:paraId="7992DA22">
            <w:pPr>
              <w:widowControl/>
              <w:jc w:val="left"/>
              <w:rPr>
                <w:rFonts w:hint="eastAsia" w:ascii="仿宋" w:hAnsi="仿宋" w:eastAsia="仿宋" w:cs="宋体"/>
                <w:bCs/>
                <w:color w:val="000000"/>
                <w:kern w:val="0"/>
                <w:sz w:val="18"/>
                <w:szCs w:val="18"/>
              </w:rPr>
            </w:pPr>
          </w:p>
        </w:tc>
        <w:tc>
          <w:tcPr>
            <w:tcW w:w="659" w:type="pct"/>
            <w:vMerge w:val="continue"/>
            <w:vAlign w:val="center"/>
          </w:tcPr>
          <w:p w14:paraId="11C7405E">
            <w:pPr>
              <w:widowControl/>
              <w:jc w:val="left"/>
              <w:rPr>
                <w:rFonts w:hint="eastAsia" w:ascii="仿宋" w:hAnsi="仿宋" w:eastAsia="仿宋" w:cs="宋体"/>
                <w:bCs/>
                <w:color w:val="000000"/>
                <w:kern w:val="0"/>
                <w:sz w:val="18"/>
                <w:szCs w:val="18"/>
              </w:rPr>
            </w:pPr>
          </w:p>
        </w:tc>
        <w:tc>
          <w:tcPr>
            <w:tcW w:w="907" w:type="pct"/>
            <w:vAlign w:val="center"/>
          </w:tcPr>
          <w:p w14:paraId="23FD0CEC">
            <w:pPr>
              <w:widowControl/>
              <w:jc w:val="center"/>
              <w:rPr>
                <w:rFonts w:hint="eastAsia" w:ascii="仿宋" w:hAnsi="仿宋" w:eastAsia="仿宋" w:cs="宋体"/>
                <w:bCs/>
                <w:color w:val="000000"/>
                <w:kern w:val="0"/>
                <w:sz w:val="18"/>
                <w:szCs w:val="18"/>
              </w:rPr>
            </w:pPr>
            <w:r>
              <w:rPr>
                <w:rFonts w:hint="eastAsia" w:ascii="仿宋" w:hAnsi="仿宋" w:eastAsia="仿宋"/>
                <w:bCs/>
                <w:color w:val="000000"/>
                <w:sz w:val="18"/>
                <w:szCs w:val="18"/>
              </w:rPr>
              <w:t>其他实质性要求</w:t>
            </w:r>
          </w:p>
        </w:tc>
        <w:tc>
          <w:tcPr>
            <w:tcW w:w="2885" w:type="pct"/>
            <w:gridSpan w:val="3"/>
            <w:vAlign w:val="center"/>
          </w:tcPr>
          <w:p w14:paraId="3DE58B1B">
            <w:pPr>
              <w:widowControl/>
              <w:jc w:val="left"/>
              <w:rPr>
                <w:rFonts w:hint="eastAsia" w:ascii="仿宋" w:hAnsi="仿宋" w:eastAsia="仿宋" w:cs="宋体"/>
                <w:bCs/>
                <w:color w:val="000000"/>
                <w:kern w:val="0"/>
                <w:sz w:val="18"/>
                <w:szCs w:val="18"/>
              </w:rPr>
            </w:pPr>
            <w:r>
              <w:rPr>
                <w:rFonts w:hint="eastAsia" w:ascii="仿宋" w:hAnsi="仿宋" w:eastAsia="仿宋"/>
                <w:bCs/>
                <w:color w:val="000000"/>
                <w:sz w:val="18"/>
                <w:szCs w:val="18"/>
              </w:rPr>
              <w:t>符合询比文件规定的其他实质性要求。</w:t>
            </w:r>
          </w:p>
        </w:tc>
      </w:tr>
      <w:tr w14:paraId="3A61C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548" w:type="pct"/>
            <w:vMerge w:val="continue"/>
            <w:shd w:val="clear" w:color="auto" w:fill="auto"/>
          </w:tcPr>
          <w:p w14:paraId="39A134A6">
            <w:pPr>
              <w:widowControl/>
              <w:jc w:val="center"/>
              <w:rPr>
                <w:rFonts w:hint="eastAsia" w:ascii="仿宋" w:hAnsi="仿宋" w:eastAsia="仿宋" w:cs="宋体"/>
                <w:bCs/>
                <w:color w:val="000000"/>
                <w:kern w:val="0"/>
                <w:sz w:val="18"/>
                <w:szCs w:val="18"/>
              </w:rPr>
            </w:pPr>
          </w:p>
        </w:tc>
        <w:tc>
          <w:tcPr>
            <w:tcW w:w="659" w:type="pct"/>
            <w:shd w:val="clear" w:color="auto" w:fill="auto"/>
            <w:vAlign w:val="center"/>
          </w:tcPr>
          <w:p w14:paraId="786D8E8E">
            <w:pPr>
              <w:widowControl/>
              <w:jc w:val="center"/>
              <w:rPr>
                <w:rFonts w:hint="eastAsia" w:ascii="仿宋" w:hAnsi="仿宋" w:eastAsia="仿宋" w:cs="宋体"/>
                <w:bCs/>
                <w:color w:val="000000"/>
                <w:kern w:val="0"/>
                <w:sz w:val="18"/>
                <w:szCs w:val="18"/>
              </w:rPr>
            </w:pPr>
            <w:r>
              <w:rPr>
                <w:rFonts w:hint="eastAsia" w:ascii="仿宋" w:hAnsi="仿宋" w:eastAsia="仿宋" w:cs="宋体"/>
                <w:bCs/>
                <w:color w:val="000000"/>
                <w:kern w:val="0"/>
                <w:sz w:val="18"/>
                <w:szCs w:val="18"/>
              </w:rPr>
              <w:t>资格审查</w:t>
            </w:r>
          </w:p>
        </w:tc>
        <w:tc>
          <w:tcPr>
            <w:tcW w:w="907" w:type="pct"/>
            <w:shd w:val="clear" w:color="auto" w:fill="auto"/>
            <w:vAlign w:val="center"/>
          </w:tcPr>
          <w:p w14:paraId="1E02DE04">
            <w:pPr>
              <w:widowControl/>
              <w:jc w:val="center"/>
              <w:rPr>
                <w:rFonts w:hint="eastAsia" w:ascii="仿宋" w:hAnsi="仿宋" w:eastAsia="仿宋" w:cs="宋体"/>
                <w:b/>
                <w:color w:val="000000"/>
                <w:kern w:val="0"/>
                <w:sz w:val="18"/>
                <w:szCs w:val="18"/>
              </w:rPr>
            </w:pPr>
            <w:r>
              <w:rPr>
                <w:rFonts w:hint="eastAsia" w:ascii="仿宋" w:hAnsi="仿宋" w:eastAsia="仿宋" w:cs="宋体"/>
                <w:b/>
                <w:color w:val="000000"/>
                <w:kern w:val="0"/>
                <w:sz w:val="18"/>
                <w:szCs w:val="18"/>
              </w:rPr>
              <w:t>通过情况（是否符合《资格审查情况明细表》的要求）</w:t>
            </w:r>
          </w:p>
        </w:tc>
        <w:tc>
          <w:tcPr>
            <w:tcW w:w="2885" w:type="pct"/>
            <w:gridSpan w:val="3"/>
            <w:shd w:val="clear" w:color="000000" w:fill="FFFFFF"/>
            <w:vAlign w:val="center"/>
          </w:tcPr>
          <w:p w14:paraId="61765DD2">
            <w:pPr>
              <w:widowControl/>
              <w:rPr>
                <w:rFonts w:hint="eastAsia" w:ascii="仿宋" w:hAnsi="仿宋" w:eastAsia="仿宋" w:cs="宋体"/>
                <w:bCs/>
                <w:color w:val="000000"/>
                <w:kern w:val="0"/>
                <w:sz w:val="18"/>
                <w:szCs w:val="18"/>
                <w:highlight w:val="none"/>
              </w:rPr>
            </w:pPr>
            <w:r>
              <w:rPr>
                <w:rFonts w:hint="eastAsia" w:ascii="仿宋" w:hAnsi="仿宋" w:eastAsia="仿宋" w:cs="宋体"/>
                <w:bCs/>
                <w:color w:val="000000"/>
                <w:kern w:val="0"/>
                <w:sz w:val="18"/>
                <w:szCs w:val="18"/>
                <w:highlight w:val="none"/>
                <w:lang w:val="en-US" w:eastAsia="zh-CN"/>
              </w:rPr>
              <w:t>1、</w:t>
            </w:r>
            <w:r>
              <w:rPr>
                <w:rFonts w:hint="eastAsia" w:ascii="仿宋" w:hAnsi="仿宋" w:eastAsia="仿宋" w:cs="宋体"/>
                <w:bCs/>
                <w:color w:val="000000"/>
                <w:kern w:val="0"/>
                <w:sz w:val="18"/>
                <w:szCs w:val="18"/>
                <w:highlight w:val="none"/>
              </w:rPr>
              <w:t>应答人必须是在中华人民共和国境内依法注册、具有独立法人资格的单位或其他组织。提供有效营业执照扫描件。</w:t>
            </w:r>
          </w:p>
          <w:p w14:paraId="5E8F9FB2">
            <w:pPr>
              <w:widowControl/>
              <w:rPr>
                <w:rFonts w:hint="eastAsia" w:ascii="仿宋" w:hAnsi="仿宋" w:eastAsia="仿宋" w:cs="宋体"/>
                <w:bCs/>
                <w:color w:val="000000"/>
                <w:kern w:val="0"/>
                <w:sz w:val="18"/>
                <w:szCs w:val="18"/>
                <w:highlight w:val="none"/>
              </w:rPr>
            </w:pPr>
            <w:r>
              <w:rPr>
                <w:rFonts w:hint="eastAsia" w:ascii="仿宋" w:hAnsi="仿宋" w:eastAsia="仿宋" w:cs="宋体"/>
                <w:bCs/>
                <w:color w:val="000000"/>
                <w:kern w:val="0"/>
                <w:sz w:val="18"/>
                <w:szCs w:val="18"/>
                <w:highlight w:val="none"/>
                <w:lang w:val="en-US" w:eastAsia="zh-CN"/>
              </w:rPr>
              <w:t>2、</w:t>
            </w:r>
            <w:r>
              <w:rPr>
                <w:rFonts w:hint="eastAsia" w:ascii="仿宋" w:hAnsi="仿宋" w:eastAsia="仿宋" w:cs="宋体"/>
                <w:bCs/>
                <w:color w:val="000000"/>
                <w:kern w:val="0"/>
                <w:sz w:val="18"/>
                <w:szCs w:val="18"/>
                <w:highlight w:val="none"/>
              </w:rPr>
              <w:t>可开具增值税专用发票（须提供可开具增值税专用发票的凭证或承诺）。</w:t>
            </w:r>
          </w:p>
          <w:p w14:paraId="3FE9D576">
            <w:pPr>
              <w:widowControl/>
              <w:rPr>
                <w:rFonts w:hint="eastAsia" w:ascii="仿宋" w:hAnsi="仿宋" w:eastAsia="仿宋" w:cs="宋体"/>
                <w:bCs/>
                <w:color w:val="000000"/>
                <w:kern w:val="0"/>
                <w:sz w:val="18"/>
                <w:szCs w:val="18"/>
                <w:highlight w:val="none"/>
              </w:rPr>
            </w:pPr>
            <w:r>
              <w:rPr>
                <w:rFonts w:hint="eastAsia" w:ascii="仿宋" w:hAnsi="仿宋" w:eastAsia="仿宋" w:cs="宋体"/>
                <w:bCs/>
                <w:color w:val="000000"/>
                <w:kern w:val="0"/>
                <w:sz w:val="18"/>
                <w:szCs w:val="18"/>
                <w:highlight w:val="none"/>
                <w:lang w:val="en-US" w:eastAsia="zh-CN"/>
              </w:rPr>
              <w:t>3、</w:t>
            </w:r>
            <w:r>
              <w:rPr>
                <w:rFonts w:hint="eastAsia" w:ascii="仿宋" w:hAnsi="仿宋" w:eastAsia="仿宋" w:cs="宋体"/>
                <w:bCs/>
                <w:color w:val="000000"/>
                <w:kern w:val="0"/>
                <w:sz w:val="18"/>
                <w:szCs w:val="18"/>
                <w:highlight w:val="none"/>
              </w:rPr>
              <w:t>提供2023年1月1日至本公告发布前一日止</w:t>
            </w:r>
            <w:r>
              <w:rPr>
                <w:rFonts w:hint="eastAsia" w:ascii="仿宋" w:hAnsi="仿宋" w:eastAsia="仿宋" w:cs="宋体"/>
                <w:bCs/>
                <w:color w:val="000000"/>
                <w:kern w:val="0"/>
                <w:sz w:val="18"/>
                <w:szCs w:val="18"/>
                <w:highlight w:val="none"/>
                <w:lang w:val="en-US" w:eastAsia="zh-CN"/>
              </w:rPr>
              <w:t>累计含税金额147万元及以上的本次采购产品类似软件开发或软件系统项目业绩（合同名称或合同内容至少含大模型、AI、人工智能、AIGC其中之一关键字）</w:t>
            </w:r>
            <w:r>
              <w:rPr>
                <w:rFonts w:hint="eastAsia" w:ascii="仿宋" w:hAnsi="仿宋" w:eastAsia="仿宋" w:cs="宋体"/>
                <w:bCs/>
                <w:color w:val="000000"/>
                <w:kern w:val="0"/>
                <w:sz w:val="18"/>
                <w:szCs w:val="18"/>
                <w:highlight w:val="none"/>
              </w:rPr>
              <w:t>并提供证明材料。</w:t>
            </w:r>
          </w:p>
          <w:p w14:paraId="09EFFBB0">
            <w:pPr>
              <w:widowControl/>
              <w:rPr>
                <w:rFonts w:hint="eastAsia" w:ascii="仿宋" w:hAnsi="仿宋" w:eastAsia="仿宋" w:cs="宋体"/>
                <w:bCs/>
                <w:color w:val="000000"/>
                <w:kern w:val="0"/>
                <w:sz w:val="18"/>
                <w:szCs w:val="18"/>
                <w:highlight w:val="none"/>
              </w:rPr>
            </w:pPr>
            <w:r>
              <w:rPr>
                <w:rFonts w:hint="eastAsia" w:ascii="仿宋" w:hAnsi="仿宋" w:eastAsia="仿宋" w:cs="宋体"/>
                <w:bCs/>
                <w:color w:val="000000"/>
                <w:kern w:val="0"/>
                <w:sz w:val="18"/>
                <w:szCs w:val="18"/>
                <w:highlight w:val="none"/>
              </w:rPr>
              <w:t>提供框架合同业绩的证明材料的：应答人须提供框架合同扫描件；需同时提供对应的订单或发票扫描件，框架执行金额和时间以订单或发票为准，如同时提供订单和发票，以订单为准。框架合同必须涵盖以下页面：合同封面、合同服务内容、合同金额及合同大签页。</w:t>
            </w:r>
          </w:p>
          <w:p w14:paraId="03DFDF5D">
            <w:pPr>
              <w:widowControl/>
              <w:rPr>
                <w:rFonts w:hint="eastAsia" w:ascii="仿宋" w:hAnsi="仿宋" w:eastAsia="仿宋" w:cs="宋体"/>
                <w:bCs/>
                <w:color w:val="000000"/>
                <w:kern w:val="0"/>
                <w:sz w:val="18"/>
                <w:szCs w:val="18"/>
                <w:highlight w:val="none"/>
              </w:rPr>
            </w:pPr>
            <w:r>
              <w:rPr>
                <w:rFonts w:hint="eastAsia" w:ascii="仿宋" w:hAnsi="仿宋" w:eastAsia="仿宋" w:cs="宋体"/>
                <w:bCs/>
                <w:color w:val="000000"/>
                <w:kern w:val="0"/>
                <w:sz w:val="18"/>
                <w:szCs w:val="18"/>
                <w:highlight w:val="none"/>
              </w:rPr>
              <w:t>提供单项合同业绩证明材料的：应答人须提供单项合同扫描件。单项合同必须涵盖以下页面：合同封面、合同服务内容、合同金额及合同大签页。</w:t>
            </w:r>
          </w:p>
          <w:p w14:paraId="07147540">
            <w:pPr>
              <w:widowControl/>
              <w:rPr>
                <w:rFonts w:hint="eastAsia" w:ascii="仿宋" w:hAnsi="仿宋" w:eastAsia="仿宋" w:cs="宋体"/>
                <w:bCs/>
                <w:color w:val="000000"/>
                <w:kern w:val="0"/>
                <w:sz w:val="18"/>
                <w:szCs w:val="18"/>
                <w:highlight w:val="none"/>
              </w:rPr>
            </w:pPr>
            <w:r>
              <w:rPr>
                <w:rFonts w:hint="eastAsia" w:ascii="仿宋" w:hAnsi="仿宋" w:eastAsia="仿宋" w:cs="宋体"/>
                <w:bCs/>
                <w:color w:val="000000"/>
                <w:kern w:val="0"/>
                <w:sz w:val="18"/>
                <w:szCs w:val="18"/>
                <w:highlight w:val="none"/>
                <w:lang w:val="en-US" w:eastAsia="zh-CN"/>
              </w:rPr>
              <w:t>4、</w:t>
            </w:r>
            <w:r>
              <w:rPr>
                <w:rFonts w:hint="eastAsia" w:ascii="仿宋" w:hAnsi="仿宋" w:eastAsia="仿宋" w:cs="宋体"/>
                <w:bCs/>
                <w:color w:val="000000"/>
                <w:kern w:val="0"/>
                <w:sz w:val="18"/>
                <w:szCs w:val="18"/>
                <w:highlight w:val="none"/>
              </w:rPr>
              <w:t>单位负责人为同一人或者存在控股、管理关系的不同单位，不得参加同一标包应答或者未划分标包的同一项目应答。</w:t>
            </w:r>
          </w:p>
          <w:p w14:paraId="690CC958">
            <w:pPr>
              <w:widowControl/>
              <w:rPr>
                <w:rFonts w:hint="eastAsia" w:ascii="仿宋" w:hAnsi="仿宋" w:eastAsia="仿宋" w:cs="宋体"/>
                <w:bCs/>
                <w:color w:val="000000"/>
                <w:kern w:val="0"/>
                <w:sz w:val="18"/>
                <w:szCs w:val="18"/>
                <w:highlight w:val="none"/>
              </w:rPr>
            </w:pPr>
            <w:r>
              <w:rPr>
                <w:rFonts w:hint="eastAsia" w:ascii="仿宋" w:hAnsi="仿宋" w:eastAsia="仿宋" w:cs="宋体"/>
                <w:bCs/>
                <w:color w:val="000000"/>
                <w:kern w:val="0"/>
                <w:sz w:val="18"/>
                <w:szCs w:val="18"/>
                <w:highlight w:val="none"/>
                <w:lang w:val="en-US" w:eastAsia="zh-CN"/>
              </w:rPr>
              <w:t>5、</w:t>
            </w:r>
            <w:r>
              <w:rPr>
                <w:rFonts w:hint="eastAsia" w:ascii="仿宋" w:hAnsi="仿宋" w:eastAsia="仿宋" w:cs="宋体"/>
                <w:bCs/>
                <w:color w:val="000000"/>
                <w:kern w:val="0"/>
                <w:sz w:val="18"/>
                <w:szCs w:val="18"/>
                <w:highlight w:val="none"/>
              </w:rPr>
              <w:t>本项目不接受联合体参与应答，不接受代理商应答。</w:t>
            </w:r>
          </w:p>
          <w:p w14:paraId="138AD60A">
            <w:pPr>
              <w:widowControl/>
              <w:rPr>
                <w:rFonts w:hint="eastAsia" w:ascii="仿宋" w:hAnsi="仿宋" w:eastAsia="仿宋" w:cs="宋体"/>
                <w:bCs/>
                <w:color w:val="000000"/>
                <w:kern w:val="0"/>
                <w:sz w:val="18"/>
                <w:szCs w:val="18"/>
                <w:highlight w:val="yellow"/>
              </w:rPr>
            </w:pPr>
            <w:r>
              <w:rPr>
                <w:rFonts w:hint="eastAsia" w:ascii="仿宋" w:hAnsi="仿宋" w:eastAsia="仿宋" w:cs="宋体"/>
                <w:bCs/>
                <w:color w:val="000000"/>
                <w:kern w:val="0"/>
                <w:sz w:val="18"/>
                <w:szCs w:val="18"/>
                <w:highlight w:val="none"/>
              </w:rPr>
              <w:t>法律法规规定的其他必须符合的要求。</w:t>
            </w:r>
          </w:p>
        </w:tc>
      </w:tr>
      <w:tr w14:paraId="609E3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07" w:type="pct"/>
            <w:gridSpan w:val="2"/>
            <w:vAlign w:val="center"/>
          </w:tcPr>
          <w:p w14:paraId="556A771B">
            <w:pPr>
              <w:snapToGrid w:val="0"/>
              <w:spacing w:before="76" w:beforeLines="20" w:after="76" w:afterLines="20"/>
              <w:jc w:val="center"/>
              <w:rPr>
                <w:rFonts w:hint="eastAsia" w:ascii="仿宋" w:hAnsi="仿宋" w:eastAsia="仿宋"/>
                <w:b/>
                <w:color w:val="000000"/>
                <w:kern w:val="0"/>
                <w:sz w:val="18"/>
                <w:szCs w:val="18"/>
              </w:rPr>
            </w:pPr>
            <w:r>
              <w:rPr>
                <w:rFonts w:hint="eastAsia" w:ascii="仿宋" w:hAnsi="仿宋" w:eastAsia="仿宋"/>
                <w:b/>
                <w:color w:val="000000"/>
                <w:kern w:val="0"/>
                <w:sz w:val="18"/>
                <w:szCs w:val="18"/>
              </w:rPr>
              <w:t>条款号</w:t>
            </w:r>
          </w:p>
        </w:tc>
        <w:tc>
          <w:tcPr>
            <w:tcW w:w="907" w:type="pct"/>
            <w:vAlign w:val="center"/>
          </w:tcPr>
          <w:p w14:paraId="70681D0C">
            <w:pPr>
              <w:snapToGrid w:val="0"/>
              <w:spacing w:before="76" w:beforeLines="20" w:after="76" w:afterLines="20"/>
              <w:jc w:val="center"/>
              <w:rPr>
                <w:rFonts w:hint="eastAsia" w:ascii="仿宋" w:hAnsi="仿宋" w:eastAsia="仿宋"/>
                <w:b/>
                <w:color w:val="000000"/>
                <w:kern w:val="0"/>
                <w:sz w:val="18"/>
                <w:szCs w:val="18"/>
              </w:rPr>
            </w:pPr>
            <w:r>
              <w:rPr>
                <w:rFonts w:hint="eastAsia" w:ascii="仿宋" w:hAnsi="仿宋" w:eastAsia="仿宋"/>
                <w:b/>
                <w:color w:val="000000"/>
                <w:kern w:val="0"/>
                <w:sz w:val="18"/>
                <w:szCs w:val="18"/>
              </w:rPr>
              <w:t>评审内容</w:t>
            </w:r>
          </w:p>
        </w:tc>
        <w:tc>
          <w:tcPr>
            <w:tcW w:w="1072" w:type="pct"/>
            <w:vAlign w:val="center"/>
          </w:tcPr>
          <w:p w14:paraId="652F582F">
            <w:pPr>
              <w:snapToGrid w:val="0"/>
              <w:spacing w:before="76" w:beforeLines="20" w:after="76" w:afterLines="20"/>
              <w:jc w:val="center"/>
              <w:rPr>
                <w:rFonts w:hint="eastAsia" w:ascii="仿宋" w:hAnsi="仿宋" w:eastAsia="仿宋"/>
                <w:b/>
                <w:color w:val="000000"/>
                <w:kern w:val="0"/>
                <w:sz w:val="18"/>
                <w:szCs w:val="18"/>
              </w:rPr>
            </w:pPr>
            <w:r>
              <w:rPr>
                <w:rFonts w:hint="eastAsia" w:ascii="仿宋" w:hAnsi="仿宋" w:eastAsia="仿宋"/>
                <w:b/>
                <w:color w:val="000000"/>
                <w:kern w:val="0"/>
                <w:sz w:val="18"/>
                <w:szCs w:val="18"/>
              </w:rPr>
              <w:t>评分因素</w:t>
            </w:r>
          </w:p>
        </w:tc>
        <w:tc>
          <w:tcPr>
            <w:tcW w:w="907" w:type="pct"/>
            <w:vAlign w:val="center"/>
          </w:tcPr>
          <w:p w14:paraId="6456E29B">
            <w:pPr>
              <w:snapToGrid w:val="0"/>
              <w:spacing w:before="76" w:beforeLines="20" w:after="76" w:afterLines="20"/>
              <w:jc w:val="center"/>
              <w:rPr>
                <w:rFonts w:hint="eastAsia" w:ascii="仿宋" w:hAnsi="仿宋" w:eastAsia="仿宋"/>
                <w:b/>
                <w:color w:val="000000"/>
                <w:kern w:val="0"/>
                <w:sz w:val="18"/>
                <w:szCs w:val="18"/>
              </w:rPr>
            </w:pPr>
            <w:r>
              <w:rPr>
                <w:rFonts w:hint="eastAsia" w:ascii="仿宋" w:hAnsi="仿宋" w:eastAsia="仿宋"/>
                <w:b/>
                <w:color w:val="000000"/>
                <w:kern w:val="0"/>
                <w:sz w:val="18"/>
                <w:szCs w:val="18"/>
              </w:rPr>
              <w:t>权重比值</w:t>
            </w:r>
          </w:p>
        </w:tc>
        <w:tc>
          <w:tcPr>
            <w:tcW w:w="905" w:type="pct"/>
            <w:vAlign w:val="center"/>
          </w:tcPr>
          <w:p w14:paraId="744044D9">
            <w:pPr>
              <w:snapToGrid w:val="0"/>
              <w:spacing w:before="76" w:beforeLines="20" w:after="76" w:afterLines="20"/>
              <w:jc w:val="center"/>
              <w:rPr>
                <w:rFonts w:hint="eastAsia" w:ascii="仿宋" w:hAnsi="仿宋" w:eastAsia="仿宋"/>
                <w:b/>
                <w:color w:val="000000"/>
                <w:kern w:val="0"/>
                <w:sz w:val="18"/>
                <w:szCs w:val="18"/>
              </w:rPr>
            </w:pPr>
            <w:r>
              <w:rPr>
                <w:rFonts w:hint="eastAsia" w:ascii="仿宋" w:hAnsi="仿宋" w:eastAsia="仿宋"/>
                <w:b/>
                <w:color w:val="000000"/>
                <w:kern w:val="0"/>
                <w:sz w:val="18"/>
                <w:szCs w:val="18"/>
              </w:rPr>
              <w:t>评分标准</w:t>
            </w:r>
          </w:p>
        </w:tc>
      </w:tr>
      <w:tr w14:paraId="4DDDC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5" w:hRule="atLeast"/>
        </w:trPr>
        <w:tc>
          <w:tcPr>
            <w:tcW w:w="548" w:type="pct"/>
            <w:vMerge w:val="restart"/>
            <w:vAlign w:val="center"/>
          </w:tcPr>
          <w:p w14:paraId="2FFC2BA8">
            <w:pPr>
              <w:snapToGrid w:val="0"/>
              <w:spacing w:before="76" w:beforeLines="20" w:after="76" w:afterLines="20"/>
              <w:jc w:val="center"/>
              <w:rPr>
                <w:rFonts w:hint="eastAsia" w:ascii="仿宋" w:hAnsi="仿宋" w:eastAsia="仿宋"/>
                <w:color w:val="000000"/>
                <w:sz w:val="18"/>
                <w:szCs w:val="18"/>
              </w:rPr>
            </w:pPr>
            <w:r>
              <w:rPr>
                <w:rFonts w:ascii="仿宋" w:hAnsi="仿宋" w:eastAsia="仿宋"/>
                <w:color w:val="000000"/>
                <w:sz w:val="18"/>
                <w:szCs w:val="18"/>
              </w:rPr>
              <w:t>3.</w:t>
            </w:r>
            <w:r>
              <w:rPr>
                <w:rFonts w:hint="eastAsia" w:ascii="仿宋" w:hAnsi="仿宋" w:eastAsia="仿宋"/>
                <w:color w:val="000000"/>
                <w:sz w:val="18"/>
                <w:szCs w:val="18"/>
              </w:rPr>
              <w:t>2.2</w:t>
            </w:r>
          </w:p>
        </w:tc>
        <w:tc>
          <w:tcPr>
            <w:tcW w:w="659" w:type="pct"/>
            <w:vMerge w:val="restart"/>
            <w:vAlign w:val="center"/>
          </w:tcPr>
          <w:p w14:paraId="78239FA6">
            <w:pPr>
              <w:widowControl/>
              <w:jc w:val="center"/>
              <w:rPr>
                <w:rFonts w:hint="eastAsia" w:ascii="仿宋" w:hAnsi="仿宋" w:eastAsia="仿宋"/>
                <w:bCs/>
                <w:color w:val="000000"/>
                <w:sz w:val="18"/>
                <w:szCs w:val="18"/>
              </w:rPr>
            </w:pPr>
            <w:r>
              <w:rPr>
                <w:rFonts w:hint="eastAsia" w:ascii="仿宋" w:hAnsi="仿宋" w:eastAsia="仿宋"/>
                <w:bCs/>
                <w:color w:val="000000"/>
                <w:sz w:val="18"/>
                <w:szCs w:val="18"/>
              </w:rPr>
              <w:t>详细</w:t>
            </w:r>
          </w:p>
          <w:p w14:paraId="09B0986C">
            <w:pPr>
              <w:widowControl/>
              <w:jc w:val="center"/>
              <w:rPr>
                <w:rFonts w:hint="eastAsia" w:ascii="仿宋" w:hAnsi="仿宋" w:eastAsia="仿宋"/>
                <w:bCs/>
                <w:color w:val="000000"/>
                <w:sz w:val="18"/>
                <w:szCs w:val="18"/>
              </w:rPr>
            </w:pPr>
            <w:r>
              <w:rPr>
                <w:rFonts w:hint="eastAsia" w:ascii="仿宋" w:hAnsi="仿宋" w:eastAsia="仿宋"/>
                <w:bCs/>
                <w:color w:val="000000"/>
                <w:sz w:val="18"/>
                <w:szCs w:val="18"/>
              </w:rPr>
              <w:t>评审</w:t>
            </w:r>
          </w:p>
          <w:p w14:paraId="56D4171D">
            <w:pPr>
              <w:widowControl/>
              <w:jc w:val="center"/>
              <w:rPr>
                <w:rFonts w:hint="eastAsia" w:ascii="仿宋" w:hAnsi="仿宋" w:eastAsia="仿宋"/>
                <w:color w:val="000000"/>
                <w:kern w:val="0"/>
                <w:sz w:val="18"/>
                <w:szCs w:val="18"/>
              </w:rPr>
            </w:pPr>
            <w:r>
              <w:rPr>
                <w:rFonts w:hint="eastAsia" w:ascii="仿宋" w:hAnsi="仿宋" w:eastAsia="仿宋"/>
                <w:bCs/>
                <w:color w:val="000000"/>
                <w:sz w:val="18"/>
                <w:szCs w:val="18"/>
              </w:rPr>
              <w:t>标准</w:t>
            </w:r>
          </w:p>
        </w:tc>
        <w:tc>
          <w:tcPr>
            <w:tcW w:w="907" w:type="pct"/>
            <w:vAlign w:val="center"/>
          </w:tcPr>
          <w:p w14:paraId="21879000">
            <w:pPr>
              <w:snapToGrid w:val="0"/>
              <w:spacing w:before="76" w:beforeLines="20" w:after="76" w:afterLines="20"/>
              <w:jc w:val="center"/>
              <w:rPr>
                <w:rFonts w:hint="eastAsia" w:ascii="仿宋" w:hAnsi="仿宋" w:eastAsia="仿宋"/>
                <w:color w:val="000000"/>
                <w:sz w:val="18"/>
                <w:szCs w:val="18"/>
              </w:rPr>
            </w:pPr>
            <w:r>
              <w:rPr>
                <w:rFonts w:hint="eastAsia" w:ascii="仿宋" w:hAnsi="仿宋" w:eastAsia="仿宋"/>
                <w:color w:val="000000"/>
                <w:kern w:val="0"/>
                <w:sz w:val="18"/>
                <w:szCs w:val="18"/>
              </w:rPr>
              <w:t>技术</w:t>
            </w:r>
          </w:p>
        </w:tc>
        <w:tc>
          <w:tcPr>
            <w:tcW w:w="1072" w:type="pct"/>
            <w:vAlign w:val="center"/>
          </w:tcPr>
          <w:p w14:paraId="68AC0905">
            <w:pPr>
              <w:snapToGrid w:val="0"/>
              <w:spacing w:before="76" w:beforeLines="20" w:after="76" w:afterLines="20"/>
              <w:jc w:val="center"/>
              <w:rPr>
                <w:rFonts w:hint="eastAsia" w:ascii="仿宋" w:hAnsi="仿宋" w:eastAsia="仿宋"/>
                <w:color w:val="000000"/>
                <w:kern w:val="0"/>
                <w:sz w:val="18"/>
                <w:szCs w:val="18"/>
              </w:rPr>
            </w:pPr>
            <w:r>
              <w:rPr>
                <w:rFonts w:hint="eastAsia" w:ascii="仿宋" w:hAnsi="仿宋" w:eastAsia="仿宋" w:cs="Times New Roman"/>
                <w:color w:val="000000"/>
                <w:kern w:val="0"/>
                <w:sz w:val="18"/>
                <w:szCs w:val="18"/>
                <w:lang w:val="en-US" w:eastAsia="zh-CN"/>
              </w:rPr>
              <w:t>\</w:t>
            </w:r>
          </w:p>
        </w:tc>
        <w:tc>
          <w:tcPr>
            <w:tcW w:w="907" w:type="pct"/>
            <w:vAlign w:val="center"/>
          </w:tcPr>
          <w:p w14:paraId="2AE2E76C">
            <w:pPr>
              <w:snapToGrid w:val="0"/>
              <w:spacing w:before="76" w:beforeLines="20" w:after="76" w:afterLines="20"/>
              <w:jc w:val="center"/>
              <w:rPr>
                <w:rFonts w:hint="eastAsia" w:ascii="仿宋" w:hAnsi="仿宋" w:eastAsia="仿宋"/>
                <w:color w:val="000000"/>
                <w:kern w:val="0"/>
                <w:sz w:val="18"/>
                <w:szCs w:val="18"/>
              </w:rPr>
            </w:pPr>
            <w:r>
              <w:rPr>
                <w:rFonts w:hint="eastAsia" w:ascii="仿宋" w:hAnsi="仿宋" w:eastAsia="仿宋"/>
                <w:color w:val="000000"/>
                <w:kern w:val="0"/>
                <w:sz w:val="18"/>
                <w:szCs w:val="18"/>
                <w:lang w:val="en-US" w:eastAsia="zh-CN"/>
              </w:rPr>
              <w:t>4</w:t>
            </w:r>
            <w:r>
              <w:rPr>
                <w:rFonts w:hint="eastAsia" w:ascii="仿宋" w:hAnsi="仿宋" w:eastAsia="仿宋"/>
                <w:color w:val="000000"/>
                <w:kern w:val="0"/>
                <w:sz w:val="18"/>
                <w:szCs w:val="18"/>
              </w:rPr>
              <w:t>0%</w:t>
            </w:r>
          </w:p>
        </w:tc>
        <w:tc>
          <w:tcPr>
            <w:tcW w:w="905" w:type="pct"/>
            <w:vAlign w:val="center"/>
          </w:tcPr>
          <w:p w14:paraId="5DD4F592">
            <w:pPr>
              <w:snapToGrid w:val="0"/>
              <w:spacing w:before="76" w:beforeLines="20" w:after="76" w:afterLines="20"/>
              <w:jc w:val="center"/>
              <w:rPr>
                <w:rFonts w:hint="eastAsia" w:ascii="仿宋" w:hAnsi="仿宋" w:eastAsia="仿宋"/>
                <w:color w:val="000000"/>
                <w:kern w:val="0"/>
                <w:sz w:val="18"/>
                <w:szCs w:val="18"/>
              </w:rPr>
            </w:pPr>
            <w:r>
              <w:rPr>
                <w:rFonts w:hint="eastAsia" w:ascii="仿宋" w:hAnsi="仿宋" w:eastAsia="仿宋"/>
                <w:color w:val="000000"/>
                <w:kern w:val="0"/>
                <w:sz w:val="18"/>
                <w:szCs w:val="18"/>
              </w:rPr>
              <w:t>采用100分制，详见详细评审表</w:t>
            </w:r>
          </w:p>
        </w:tc>
      </w:tr>
      <w:tr w14:paraId="06D91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48" w:type="pct"/>
            <w:vMerge w:val="continue"/>
            <w:vAlign w:val="center"/>
          </w:tcPr>
          <w:p w14:paraId="718B0D38">
            <w:pPr>
              <w:snapToGrid w:val="0"/>
              <w:spacing w:before="76" w:beforeLines="20" w:after="76" w:afterLines="20"/>
              <w:jc w:val="center"/>
              <w:rPr>
                <w:rFonts w:hint="eastAsia" w:ascii="仿宋" w:hAnsi="仿宋" w:eastAsia="仿宋"/>
                <w:color w:val="000000"/>
                <w:kern w:val="0"/>
                <w:sz w:val="18"/>
                <w:szCs w:val="18"/>
              </w:rPr>
            </w:pPr>
          </w:p>
        </w:tc>
        <w:tc>
          <w:tcPr>
            <w:tcW w:w="659" w:type="pct"/>
            <w:vMerge w:val="continue"/>
          </w:tcPr>
          <w:p w14:paraId="7E871DD8">
            <w:pPr>
              <w:snapToGrid w:val="0"/>
              <w:spacing w:before="76" w:beforeLines="20" w:after="76" w:afterLines="20"/>
              <w:jc w:val="center"/>
              <w:rPr>
                <w:rFonts w:hint="eastAsia" w:ascii="仿宋" w:hAnsi="仿宋" w:eastAsia="仿宋"/>
                <w:color w:val="000000"/>
                <w:kern w:val="0"/>
                <w:sz w:val="18"/>
                <w:szCs w:val="18"/>
              </w:rPr>
            </w:pPr>
          </w:p>
        </w:tc>
        <w:tc>
          <w:tcPr>
            <w:tcW w:w="907" w:type="pct"/>
            <w:vAlign w:val="center"/>
          </w:tcPr>
          <w:p w14:paraId="2090D517">
            <w:pPr>
              <w:snapToGrid w:val="0"/>
              <w:spacing w:before="76" w:beforeLines="20" w:after="76" w:afterLines="20"/>
              <w:jc w:val="center"/>
              <w:rPr>
                <w:rFonts w:hint="eastAsia" w:ascii="仿宋" w:hAnsi="仿宋" w:eastAsia="仿宋"/>
                <w:color w:val="000000"/>
                <w:kern w:val="0"/>
                <w:sz w:val="18"/>
                <w:szCs w:val="18"/>
              </w:rPr>
            </w:pPr>
            <w:r>
              <w:rPr>
                <w:rFonts w:hint="eastAsia" w:ascii="仿宋" w:hAnsi="仿宋" w:eastAsia="仿宋"/>
                <w:color w:val="000000"/>
                <w:kern w:val="0"/>
                <w:sz w:val="18"/>
                <w:szCs w:val="18"/>
              </w:rPr>
              <w:t>价格</w:t>
            </w:r>
          </w:p>
        </w:tc>
        <w:tc>
          <w:tcPr>
            <w:tcW w:w="1072" w:type="pct"/>
            <w:vAlign w:val="center"/>
          </w:tcPr>
          <w:p w14:paraId="6F4BA34D">
            <w:pPr>
              <w:snapToGrid w:val="0"/>
              <w:spacing w:before="76" w:beforeLines="20" w:after="76" w:afterLines="20"/>
              <w:jc w:val="center"/>
              <w:rPr>
                <w:rFonts w:hint="eastAsia" w:ascii="仿宋" w:hAnsi="仿宋" w:eastAsia="仿宋"/>
                <w:color w:val="000000"/>
                <w:kern w:val="0"/>
                <w:sz w:val="18"/>
                <w:szCs w:val="18"/>
              </w:rPr>
            </w:pPr>
            <w:r>
              <w:rPr>
                <w:rFonts w:hint="eastAsia" w:ascii="仿宋" w:hAnsi="仿宋" w:eastAsia="仿宋" w:cs="Times New Roman"/>
                <w:color w:val="000000"/>
                <w:kern w:val="0"/>
                <w:sz w:val="18"/>
                <w:szCs w:val="18"/>
                <w:lang w:val="en-US" w:eastAsia="zh-CN"/>
              </w:rPr>
              <w:t>\</w:t>
            </w:r>
          </w:p>
        </w:tc>
        <w:tc>
          <w:tcPr>
            <w:tcW w:w="907" w:type="pct"/>
            <w:vAlign w:val="center"/>
          </w:tcPr>
          <w:p w14:paraId="43C4B9E8">
            <w:pPr>
              <w:snapToGrid w:val="0"/>
              <w:spacing w:before="76" w:beforeLines="20" w:after="76" w:afterLines="20"/>
              <w:jc w:val="center"/>
              <w:rPr>
                <w:rFonts w:hint="eastAsia" w:ascii="仿宋" w:hAnsi="仿宋" w:eastAsia="仿宋"/>
                <w:color w:val="000000"/>
                <w:kern w:val="0"/>
                <w:sz w:val="18"/>
                <w:szCs w:val="18"/>
              </w:rPr>
            </w:pPr>
            <w:r>
              <w:rPr>
                <w:rFonts w:hint="eastAsia" w:ascii="仿宋" w:hAnsi="仿宋" w:eastAsia="仿宋"/>
                <w:color w:val="000000"/>
                <w:kern w:val="0"/>
                <w:sz w:val="18"/>
                <w:szCs w:val="18"/>
                <w:lang w:val="en-US" w:eastAsia="zh-CN"/>
              </w:rPr>
              <w:t>6</w:t>
            </w:r>
            <w:r>
              <w:rPr>
                <w:rFonts w:hint="eastAsia" w:ascii="仿宋" w:hAnsi="仿宋" w:eastAsia="仿宋"/>
                <w:color w:val="000000"/>
                <w:kern w:val="0"/>
                <w:sz w:val="18"/>
                <w:szCs w:val="18"/>
              </w:rPr>
              <w:t>0%</w:t>
            </w:r>
          </w:p>
        </w:tc>
        <w:tc>
          <w:tcPr>
            <w:tcW w:w="905" w:type="pct"/>
            <w:vAlign w:val="center"/>
          </w:tcPr>
          <w:p w14:paraId="6D1CD9B6">
            <w:pPr>
              <w:snapToGrid w:val="0"/>
              <w:spacing w:before="76" w:beforeLines="20" w:after="76" w:afterLines="20"/>
              <w:jc w:val="center"/>
              <w:rPr>
                <w:rFonts w:hint="eastAsia" w:ascii="仿宋" w:hAnsi="仿宋" w:eastAsia="仿宋"/>
                <w:color w:val="000000"/>
                <w:kern w:val="0"/>
                <w:sz w:val="18"/>
                <w:szCs w:val="18"/>
              </w:rPr>
            </w:pPr>
            <w:r>
              <w:rPr>
                <w:rFonts w:hint="eastAsia" w:ascii="仿宋" w:hAnsi="仿宋" w:eastAsia="仿宋"/>
                <w:color w:val="000000"/>
                <w:kern w:val="0"/>
                <w:sz w:val="18"/>
                <w:szCs w:val="18"/>
              </w:rPr>
              <w:t>采用100分制，详见详细评审表</w:t>
            </w:r>
          </w:p>
        </w:tc>
      </w:tr>
      <w:tr w14:paraId="34606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vAlign w:val="center"/>
          </w:tcPr>
          <w:p w14:paraId="68723D72">
            <w:pPr>
              <w:snapToGrid w:val="0"/>
              <w:spacing w:before="76" w:beforeLines="20" w:after="76" w:afterLines="20"/>
              <w:jc w:val="center"/>
              <w:rPr>
                <w:rFonts w:hint="eastAsia" w:ascii="仿宋" w:hAnsi="仿宋" w:eastAsia="仿宋"/>
                <w:color w:val="000000"/>
                <w:kern w:val="0"/>
                <w:sz w:val="18"/>
                <w:szCs w:val="18"/>
              </w:rPr>
            </w:pPr>
            <w:r>
              <w:rPr>
                <w:rFonts w:ascii="仿宋" w:hAnsi="仿宋" w:eastAsia="仿宋"/>
                <w:color w:val="000000"/>
                <w:kern w:val="0"/>
                <w:sz w:val="18"/>
                <w:szCs w:val="18"/>
              </w:rPr>
              <w:t>3.</w:t>
            </w:r>
            <w:r>
              <w:rPr>
                <w:rFonts w:hint="eastAsia" w:ascii="仿宋" w:hAnsi="仿宋" w:eastAsia="仿宋"/>
                <w:color w:val="000000"/>
                <w:kern w:val="0"/>
                <w:sz w:val="18"/>
                <w:szCs w:val="18"/>
              </w:rPr>
              <w:t>3.2.2</w:t>
            </w:r>
          </w:p>
        </w:tc>
        <w:tc>
          <w:tcPr>
            <w:tcW w:w="659" w:type="pct"/>
          </w:tcPr>
          <w:p w14:paraId="01AC1F27">
            <w:pPr>
              <w:widowControl/>
              <w:jc w:val="center"/>
              <w:rPr>
                <w:rFonts w:hint="eastAsia" w:ascii="仿宋" w:hAnsi="仿宋" w:eastAsia="仿宋"/>
                <w:bCs/>
                <w:color w:val="000000"/>
                <w:sz w:val="18"/>
                <w:szCs w:val="18"/>
              </w:rPr>
            </w:pPr>
            <w:r>
              <w:rPr>
                <w:rFonts w:hint="eastAsia" w:ascii="仿宋" w:hAnsi="仿宋" w:eastAsia="仿宋"/>
                <w:bCs/>
                <w:color w:val="000000"/>
                <w:sz w:val="18"/>
                <w:szCs w:val="18"/>
              </w:rPr>
              <w:t>评分计算原则</w:t>
            </w:r>
          </w:p>
        </w:tc>
        <w:tc>
          <w:tcPr>
            <w:tcW w:w="3792" w:type="pct"/>
            <w:gridSpan w:val="4"/>
            <w:vAlign w:val="center"/>
          </w:tcPr>
          <w:p w14:paraId="4333C6DA">
            <w:pPr>
              <w:snapToGrid w:val="0"/>
              <w:spacing w:before="76" w:beforeLines="20" w:after="76" w:afterLines="20"/>
              <w:rPr>
                <w:rFonts w:hint="eastAsia" w:ascii="仿宋" w:hAnsi="仿宋" w:eastAsia="仿宋"/>
                <w:color w:val="000000"/>
                <w:kern w:val="0"/>
                <w:sz w:val="18"/>
                <w:szCs w:val="18"/>
              </w:rPr>
            </w:pPr>
            <w:r>
              <w:rPr>
                <w:rFonts w:hint="eastAsia" w:ascii="仿宋" w:hAnsi="仿宋" w:eastAsia="仿宋"/>
                <w:color w:val="000000"/>
                <w:kern w:val="0"/>
                <w:sz w:val="18"/>
                <w:szCs w:val="18"/>
              </w:rPr>
              <w:t>详见3.3.2.2内容</w:t>
            </w:r>
          </w:p>
        </w:tc>
      </w:tr>
      <w:tr w14:paraId="04354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8" w:type="pct"/>
            <w:vAlign w:val="center"/>
          </w:tcPr>
          <w:p w14:paraId="7291AFCC">
            <w:pPr>
              <w:snapToGrid w:val="0"/>
              <w:spacing w:before="76" w:beforeLines="20" w:after="76" w:afterLines="20"/>
              <w:jc w:val="center"/>
              <w:rPr>
                <w:rFonts w:hint="eastAsia" w:ascii="仿宋" w:hAnsi="仿宋" w:eastAsia="仿宋"/>
                <w:color w:val="000000"/>
                <w:kern w:val="0"/>
                <w:sz w:val="18"/>
                <w:szCs w:val="18"/>
              </w:rPr>
            </w:pPr>
            <w:r>
              <w:rPr>
                <w:rFonts w:ascii="仿宋" w:hAnsi="仿宋" w:eastAsia="仿宋"/>
                <w:color w:val="000000"/>
                <w:kern w:val="0"/>
                <w:sz w:val="18"/>
                <w:szCs w:val="18"/>
              </w:rPr>
              <w:t>3.</w:t>
            </w:r>
            <w:r>
              <w:rPr>
                <w:rFonts w:hint="eastAsia" w:ascii="仿宋" w:hAnsi="仿宋" w:eastAsia="仿宋"/>
                <w:color w:val="000000"/>
                <w:kern w:val="0"/>
                <w:sz w:val="18"/>
                <w:szCs w:val="18"/>
              </w:rPr>
              <w:t>3.4</w:t>
            </w:r>
          </w:p>
        </w:tc>
        <w:tc>
          <w:tcPr>
            <w:tcW w:w="659" w:type="pct"/>
            <w:vAlign w:val="center"/>
          </w:tcPr>
          <w:p w14:paraId="5A121008">
            <w:pPr>
              <w:widowControl/>
              <w:jc w:val="center"/>
              <w:rPr>
                <w:rFonts w:hint="eastAsia" w:ascii="仿宋" w:hAnsi="仿宋" w:eastAsia="仿宋"/>
                <w:bCs/>
                <w:color w:val="000000"/>
                <w:sz w:val="18"/>
                <w:szCs w:val="18"/>
              </w:rPr>
            </w:pPr>
            <w:r>
              <w:rPr>
                <w:rFonts w:hint="eastAsia" w:ascii="仿宋" w:hAnsi="仿宋" w:eastAsia="仿宋"/>
                <w:bCs/>
                <w:color w:val="000000"/>
                <w:sz w:val="18"/>
                <w:szCs w:val="18"/>
              </w:rPr>
              <w:t>中选候选人推荐原则</w:t>
            </w:r>
          </w:p>
        </w:tc>
        <w:tc>
          <w:tcPr>
            <w:tcW w:w="3792" w:type="pct"/>
            <w:gridSpan w:val="4"/>
            <w:vAlign w:val="center"/>
          </w:tcPr>
          <w:p w14:paraId="62CB6F5D">
            <w:pPr>
              <w:widowControl/>
              <w:rPr>
                <w:rFonts w:hint="eastAsia" w:ascii="仿宋" w:hAnsi="仿宋" w:eastAsia="仿宋"/>
                <w:color w:val="000000"/>
                <w:spacing w:val="4"/>
                <w:kern w:val="0"/>
                <w:sz w:val="18"/>
                <w:szCs w:val="18"/>
              </w:rPr>
            </w:pPr>
            <w:r>
              <w:rPr>
                <w:rFonts w:hint="eastAsia" w:ascii="仿宋" w:hAnsi="仿宋" w:eastAsia="仿宋"/>
                <w:color w:val="000000"/>
                <w:spacing w:val="4"/>
                <w:kern w:val="0"/>
                <w:sz w:val="18"/>
                <w:szCs w:val="18"/>
              </w:rPr>
              <w:t>根据评审标准和方法，评审委员会对通过详细评审的潜在供应商按综合得分从高到低进行排名。并据此推荐排名第一的供应商为</w:t>
            </w:r>
            <w:r>
              <w:rPr>
                <w:rFonts w:hint="eastAsia" w:ascii="仿宋" w:hAnsi="仿宋" w:eastAsia="仿宋"/>
                <w:color w:val="000000"/>
                <w:spacing w:val="4"/>
                <w:kern w:val="0"/>
                <w:sz w:val="18"/>
                <w:szCs w:val="18"/>
                <w:lang w:val="en-US" w:eastAsia="zh-CN"/>
              </w:rPr>
              <w:t>中选</w:t>
            </w:r>
            <w:r>
              <w:rPr>
                <w:rFonts w:hint="eastAsia" w:ascii="仿宋" w:hAnsi="仿宋" w:eastAsia="仿宋"/>
                <w:color w:val="000000"/>
                <w:spacing w:val="4"/>
                <w:kern w:val="0"/>
                <w:sz w:val="18"/>
                <w:szCs w:val="18"/>
              </w:rPr>
              <w:t>候选人，份额分配比例为100%。</w:t>
            </w:r>
          </w:p>
          <w:p w14:paraId="6B21D0EF">
            <w:pPr>
              <w:widowControl/>
              <w:rPr>
                <w:rFonts w:hint="eastAsia" w:ascii="仿宋" w:hAnsi="仿宋" w:eastAsia="仿宋"/>
                <w:color w:val="000000"/>
                <w:spacing w:val="4"/>
                <w:kern w:val="0"/>
                <w:sz w:val="18"/>
                <w:szCs w:val="18"/>
              </w:rPr>
            </w:pPr>
            <w:r>
              <w:rPr>
                <w:rFonts w:hint="eastAsia" w:ascii="仿宋" w:hAnsi="仿宋" w:eastAsia="仿宋"/>
                <w:color w:val="000000"/>
                <w:spacing w:val="4"/>
                <w:kern w:val="0"/>
                <w:sz w:val="18"/>
                <w:szCs w:val="18"/>
              </w:rPr>
              <w:t>如有多于一家公司综合得分相等时，则应答价格低的优先排名；如果价格也相同时，则由评审委员会现场无记名投票，得票高的优先排名。</w:t>
            </w:r>
          </w:p>
        </w:tc>
      </w:tr>
    </w:tbl>
    <w:p w14:paraId="0C3BE679">
      <w:pPr>
        <w:rPr>
          <w:rFonts w:hint="eastAsia" w:ascii="仿宋" w:hAnsi="仿宋" w:eastAsia="仿宋"/>
          <w:b/>
          <w:bCs/>
          <w:color w:val="000000"/>
        </w:rPr>
      </w:pPr>
      <w:r>
        <w:rPr>
          <w:rFonts w:hint="eastAsia" w:ascii="仿宋" w:hAnsi="仿宋" w:eastAsia="仿宋"/>
          <w:b/>
          <w:bCs/>
          <w:color w:val="000000"/>
        </w:rPr>
        <w:t xml:space="preserve">备注：评审办法前附表与后续正文不一致的，以评标办法前附表内容为准。 </w:t>
      </w:r>
    </w:p>
    <w:p w14:paraId="20BA047F">
      <w:pPr>
        <w:rPr>
          <w:rFonts w:hint="eastAsia" w:ascii="仿宋" w:hAnsi="仿宋" w:eastAsia="仿宋"/>
          <w:b/>
          <w:bCs/>
          <w:color w:val="000000"/>
          <w:highlight w:val="none"/>
        </w:rPr>
      </w:pPr>
      <w:r>
        <w:rPr>
          <w:rFonts w:hint="eastAsia" w:ascii="仿宋" w:hAnsi="仿宋" w:eastAsia="仿宋"/>
          <w:b/>
          <w:bCs/>
          <w:color w:val="000000"/>
          <w:highlight w:val="none"/>
        </w:rPr>
        <w:t>详细评审表：</w:t>
      </w:r>
      <w:bookmarkEnd w:id="0"/>
    </w:p>
    <w:tbl>
      <w:tblPr>
        <w:tblStyle w:val="37"/>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0" w:type="dxa"/>
          <w:left w:w="108" w:type="dxa"/>
          <w:bottom w:w="0" w:type="dxa"/>
          <w:right w:w="108" w:type="dxa"/>
        </w:tblCellMar>
      </w:tblPr>
      <w:tblGrid>
        <w:gridCol w:w="638"/>
        <w:gridCol w:w="1060"/>
        <w:gridCol w:w="638"/>
        <w:gridCol w:w="6381"/>
      </w:tblGrid>
      <w:tr w14:paraId="001C5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0" w:hRule="atLeast"/>
          <w:jc w:val="center"/>
        </w:trPr>
        <w:tc>
          <w:tcPr>
            <w:tcW w:w="364" w:type="pct"/>
            <w:tcBorders>
              <w:tl2br w:val="nil"/>
              <w:tr2bl w:val="nil"/>
            </w:tcBorders>
            <w:shd w:val="clear" w:color="auto" w:fill="auto"/>
            <w:noWrap/>
            <w:vAlign w:val="center"/>
          </w:tcPr>
          <w:p w14:paraId="7F849775">
            <w:pPr>
              <w:jc w:val="center"/>
              <w:rPr>
                <w:rFonts w:hint="eastAsia" w:ascii="仿宋" w:hAnsi="仿宋" w:eastAsia="仿宋"/>
                <w:b/>
                <w:bCs/>
                <w:color w:val="000000"/>
              </w:rPr>
            </w:pPr>
            <w:r>
              <w:rPr>
                <w:rFonts w:hint="eastAsia" w:ascii="仿宋" w:hAnsi="仿宋" w:eastAsia="仿宋"/>
                <w:b/>
                <w:bCs/>
                <w:color w:val="000000"/>
                <w:lang w:val="en-US" w:eastAsia="zh-CN"/>
              </w:rPr>
              <w:t>分类</w:t>
            </w:r>
          </w:p>
        </w:tc>
        <w:tc>
          <w:tcPr>
            <w:tcW w:w="605" w:type="pct"/>
            <w:tcBorders>
              <w:tl2br w:val="nil"/>
              <w:tr2bl w:val="nil"/>
            </w:tcBorders>
            <w:shd w:val="clear" w:color="auto" w:fill="auto"/>
            <w:noWrap/>
            <w:vAlign w:val="center"/>
          </w:tcPr>
          <w:p w14:paraId="2ACF61C9">
            <w:pPr>
              <w:jc w:val="center"/>
              <w:rPr>
                <w:rFonts w:hint="eastAsia" w:ascii="仿宋" w:hAnsi="仿宋" w:eastAsia="仿宋"/>
                <w:b/>
                <w:bCs/>
                <w:color w:val="000000"/>
              </w:rPr>
            </w:pPr>
            <w:r>
              <w:rPr>
                <w:rFonts w:hint="eastAsia" w:ascii="仿宋" w:hAnsi="仿宋" w:eastAsia="仿宋"/>
                <w:b/>
                <w:bCs/>
                <w:color w:val="000000"/>
                <w:lang w:val="en-US" w:eastAsia="zh-CN"/>
              </w:rPr>
              <w:t>评分因素</w:t>
            </w:r>
          </w:p>
        </w:tc>
        <w:tc>
          <w:tcPr>
            <w:tcW w:w="364" w:type="pct"/>
            <w:tcBorders>
              <w:tl2br w:val="nil"/>
              <w:tr2bl w:val="nil"/>
            </w:tcBorders>
            <w:shd w:val="clear" w:color="auto" w:fill="auto"/>
            <w:noWrap/>
            <w:vAlign w:val="center"/>
          </w:tcPr>
          <w:p w14:paraId="329B0D6F">
            <w:pPr>
              <w:jc w:val="center"/>
              <w:rPr>
                <w:rFonts w:hint="eastAsia" w:ascii="仿宋" w:hAnsi="仿宋" w:eastAsia="仿宋"/>
                <w:b/>
                <w:bCs/>
                <w:color w:val="000000"/>
              </w:rPr>
            </w:pPr>
            <w:r>
              <w:rPr>
                <w:rFonts w:hint="eastAsia" w:ascii="仿宋" w:hAnsi="仿宋" w:eastAsia="仿宋"/>
                <w:b/>
                <w:bCs/>
                <w:color w:val="000000"/>
                <w:lang w:val="en-US" w:eastAsia="zh-CN"/>
              </w:rPr>
              <w:t>分值</w:t>
            </w:r>
          </w:p>
        </w:tc>
        <w:tc>
          <w:tcPr>
            <w:tcW w:w="3664" w:type="pct"/>
            <w:tcBorders>
              <w:tl2br w:val="nil"/>
              <w:tr2bl w:val="nil"/>
            </w:tcBorders>
            <w:shd w:val="clear" w:color="auto" w:fill="auto"/>
            <w:noWrap/>
            <w:vAlign w:val="center"/>
          </w:tcPr>
          <w:p w14:paraId="29310373">
            <w:pPr>
              <w:jc w:val="center"/>
              <w:rPr>
                <w:rFonts w:hint="eastAsia" w:ascii="仿宋" w:hAnsi="仿宋" w:eastAsia="仿宋"/>
                <w:b/>
                <w:bCs/>
                <w:color w:val="000000"/>
              </w:rPr>
            </w:pPr>
            <w:r>
              <w:rPr>
                <w:rFonts w:hint="eastAsia" w:ascii="仿宋" w:hAnsi="仿宋" w:eastAsia="仿宋"/>
                <w:b/>
                <w:bCs/>
                <w:color w:val="000000"/>
                <w:lang w:val="en-US" w:eastAsia="zh-CN"/>
              </w:rPr>
              <w:t>评审标准</w:t>
            </w:r>
          </w:p>
        </w:tc>
      </w:tr>
      <w:tr w14:paraId="5572E9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800" w:hRule="atLeast"/>
          <w:jc w:val="center"/>
        </w:trPr>
        <w:tc>
          <w:tcPr>
            <w:tcW w:w="364" w:type="pct"/>
            <w:tcBorders>
              <w:tl2br w:val="nil"/>
              <w:tr2bl w:val="nil"/>
            </w:tcBorders>
            <w:shd w:val="clear" w:color="auto" w:fill="auto"/>
            <w:vAlign w:val="center"/>
          </w:tcPr>
          <w:p w14:paraId="13AF4848">
            <w:pPr>
              <w:jc w:val="center"/>
              <w:rPr>
                <w:rFonts w:hint="eastAsia" w:ascii="仿宋" w:hAnsi="仿宋" w:eastAsia="仿宋"/>
                <w:b w:val="0"/>
                <w:bCs w:val="0"/>
                <w:color w:val="000000"/>
              </w:rPr>
            </w:pPr>
            <w:bookmarkStart w:id="1" w:name="_GoBack" w:colFirst="0" w:colLast="2"/>
            <w:r>
              <w:rPr>
                <w:rFonts w:hint="eastAsia" w:ascii="仿宋" w:hAnsi="仿宋" w:eastAsia="仿宋"/>
                <w:b w:val="0"/>
                <w:bCs w:val="0"/>
                <w:color w:val="000000"/>
                <w:lang w:val="en-US" w:eastAsia="zh-CN"/>
              </w:rPr>
              <w:t>价格</w:t>
            </w:r>
          </w:p>
        </w:tc>
        <w:tc>
          <w:tcPr>
            <w:tcW w:w="605" w:type="pct"/>
            <w:tcBorders>
              <w:tl2br w:val="nil"/>
              <w:tr2bl w:val="nil"/>
            </w:tcBorders>
            <w:shd w:val="clear" w:color="auto" w:fill="auto"/>
            <w:noWrap/>
            <w:vAlign w:val="center"/>
          </w:tcPr>
          <w:p w14:paraId="697E991D">
            <w:pPr>
              <w:jc w:val="center"/>
              <w:rPr>
                <w:rFonts w:hint="eastAsia" w:ascii="仿宋" w:hAnsi="仿宋" w:eastAsia="仿宋"/>
                <w:b w:val="0"/>
                <w:bCs w:val="0"/>
                <w:color w:val="000000"/>
              </w:rPr>
            </w:pPr>
            <w:r>
              <w:rPr>
                <w:rFonts w:hint="eastAsia" w:ascii="仿宋" w:hAnsi="仿宋" w:eastAsia="仿宋"/>
                <w:b w:val="0"/>
                <w:bCs w:val="0"/>
                <w:color w:val="000000"/>
                <w:lang w:val="en-US" w:eastAsia="zh-CN"/>
              </w:rPr>
              <w:t>价格评分</w:t>
            </w:r>
          </w:p>
        </w:tc>
        <w:tc>
          <w:tcPr>
            <w:tcW w:w="364" w:type="pct"/>
            <w:tcBorders>
              <w:tl2br w:val="nil"/>
              <w:tr2bl w:val="nil"/>
            </w:tcBorders>
            <w:shd w:val="clear" w:color="auto" w:fill="auto"/>
            <w:noWrap/>
            <w:vAlign w:val="center"/>
          </w:tcPr>
          <w:p w14:paraId="5AED0015">
            <w:pPr>
              <w:jc w:val="center"/>
              <w:rPr>
                <w:rFonts w:hint="eastAsia" w:ascii="仿宋" w:hAnsi="仿宋" w:eastAsia="仿宋"/>
                <w:b w:val="0"/>
                <w:bCs w:val="0"/>
                <w:color w:val="000000"/>
              </w:rPr>
            </w:pPr>
            <w:r>
              <w:rPr>
                <w:rFonts w:hint="eastAsia" w:ascii="仿宋" w:hAnsi="仿宋" w:eastAsia="仿宋"/>
                <w:b w:val="0"/>
                <w:bCs w:val="0"/>
                <w:color w:val="000000"/>
                <w:lang w:val="en-US" w:eastAsia="zh-CN"/>
              </w:rPr>
              <w:t>100</w:t>
            </w:r>
          </w:p>
        </w:tc>
        <w:tc>
          <w:tcPr>
            <w:tcW w:w="3664" w:type="pct"/>
            <w:tcBorders>
              <w:tl2br w:val="nil"/>
              <w:tr2bl w:val="nil"/>
            </w:tcBorders>
            <w:shd w:val="clear" w:color="auto" w:fill="auto"/>
            <w:vAlign w:val="center"/>
          </w:tcPr>
          <w:p w14:paraId="65413E3A">
            <w:pPr>
              <w:rPr>
                <w:rFonts w:hint="eastAsia" w:ascii="仿宋" w:hAnsi="仿宋" w:eastAsia="仿宋"/>
                <w:b w:val="0"/>
                <w:bCs w:val="0"/>
                <w:color w:val="000000"/>
              </w:rPr>
            </w:pPr>
            <w:r>
              <w:rPr>
                <w:rFonts w:hint="eastAsia" w:ascii="仿宋" w:hAnsi="仿宋" w:eastAsia="仿宋"/>
                <w:b w:val="0"/>
                <w:bCs w:val="0"/>
                <w:color w:val="000000"/>
                <w:lang w:val="en-US" w:eastAsia="zh-CN"/>
              </w:rPr>
              <w:t>设置最高报价限价（超出限价的否决应答）。</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价格评分采用向下引导的中间价法。等于基准价的为满分,高于基准价的，每高1%扣0.8分，低于基准价的，每低1%扣0.4分，不足1%线性得分，扣完为止。</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基准价=经修正的有效评审价平均值* 0.9。有效评审价指的是通过资格后审的应答应答人的评审价。“经修正的有效评审价平均值”为去掉有效评审价中价格排序最高的20%（含，向下取整）应答人以及价格排序最低的20%（含，向下取整）应答人之后其它应答人评审价的算术平均值。</w:t>
            </w:r>
          </w:p>
        </w:tc>
      </w:tr>
      <w:tr w14:paraId="301751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700" w:hRule="atLeast"/>
          <w:jc w:val="center"/>
        </w:trPr>
        <w:tc>
          <w:tcPr>
            <w:tcW w:w="364" w:type="pct"/>
            <w:vMerge w:val="restart"/>
            <w:tcBorders>
              <w:tl2br w:val="nil"/>
              <w:tr2bl w:val="nil"/>
            </w:tcBorders>
            <w:shd w:val="clear" w:color="auto" w:fill="auto"/>
            <w:vAlign w:val="center"/>
          </w:tcPr>
          <w:p w14:paraId="45A8E6F8">
            <w:pPr>
              <w:jc w:val="center"/>
              <w:rPr>
                <w:rFonts w:hint="eastAsia" w:ascii="仿宋" w:hAnsi="仿宋" w:eastAsia="仿宋"/>
                <w:b w:val="0"/>
                <w:bCs w:val="0"/>
                <w:color w:val="000000"/>
              </w:rPr>
            </w:pPr>
            <w:r>
              <w:rPr>
                <w:rFonts w:hint="eastAsia" w:ascii="仿宋" w:hAnsi="仿宋" w:eastAsia="仿宋"/>
                <w:b w:val="0"/>
                <w:bCs w:val="0"/>
                <w:color w:val="000000"/>
                <w:lang w:val="en-US" w:eastAsia="zh-CN"/>
              </w:rPr>
              <w:t>技术部分（70分）</w:t>
            </w:r>
          </w:p>
        </w:tc>
        <w:tc>
          <w:tcPr>
            <w:tcW w:w="605" w:type="pct"/>
            <w:vMerge w:val="restart"/>
            <w:tcBorders>
              <w:tl2br w:val="nil"/>
              <w:tr2bl w:val="nil"/>
            </w:tcBorders>
            <w:shd w:val="clear" w:color="auto" w:fill="auto"/>
            <w:vAlign w:val="center"/>
          </w:tcPr>
          <w:p w14:paraId="26EB9DBD">
            <w:pPr>
              <w:jc w:val="center"/>
              <w:rPr>
                <w:rFonts w:hint="eastAsia" w:ascii="仿宋" w:hAnsi="仿宋" w:eastAsia="仿宋"/>
                <w:b w:val="0"/>
                <w:bCs w:val="0"/>
                <w:color w:val="000000"/>
              </w:rPr>
            </w:pPr>
            <w:r>
              <w:rPr>
                <w:rFonts w:hint="eastAsia" w:ascii="仿宋" w:hAnsi="仿宋" w:eastAsia="仿宋"/>
                <w:b w:val="0"/>
                <w:bCs w:val="0"/>
                <w:color w:val="000000"/>
                <w:lang w:val="en-US" w:eastAsia="zh-CN"/>
              </w:rPr>
              <w:t>技术应答及方案</w:t>
            </w:r>
          </w:p>
        </w:tc>
        <w:tc>
          <w:tcPr>
            <w:tcW w:w="364" w:type="pct"/>
            <w:vMerge w:val="restart"/>
            <w:tcBorders>
              <w:tl2br w:val="nil"/>
              <w:tr2bl w:val="nil"/>
            </w:tcBorders>
            <w:shd w:val="clear" w:color="auto" w:fill="auto"/>
            <w:vAlign w:val="center"/>
          </w:tcPr>
          <w:p w14:paraId="3A8F0535">
            <w:pPr>
              <w:jc w:val="center"/>
              <w:rPr>
                <w:rFonts w:hint="eastAsia" w:ascii="仿宋" w:hAnsi="仿宋" w:eastAsia="仿宋"/>
                <w:b w:val="0"/>
                <w:bCs w:val="0"/>
                <w:color w:val="000000"/>
              </w:rPr>
            </w:pPr>
            <w:r>
              <w:rPr>
                <w:rFonts w:hint="eastAsia" w:ascii="仿宋" w:hAnsi="仿宋" w:eastAsia="仿宋"/>
                <w:b w:val="0"/>
                <w:bCs w:val="0"/>
                <w:color w:val="000000"/>
                <w:lang w:val="en-US" w:eastAsia="zh-CN"/>
              </w:rPr>
              <w:t>55</w:t>
            </w:r>
          </w:p>
        </w:tc>
        <w:tc>
          <w:tcPr>
            <w:tcW w:w="3664" w:type="pct"/>
            <w:tcBorders>
              <w:tl2br w:val="nil"/>
              <w:tr2bl w:val="nil"/>
            </w:tcBorders>
            <w:shd w:val="clear" w:color="auto" w:fill="auto"/>
            <w:vAlign w:val="center"/>
          </w:tcPr>
          <w:p w14:paraId="4EEB60DE">
            <w:pPr>
              <w:rPr>
                <w:rFonts w:hint="eastAsia" w:ascii="仿宋" w:hAnsi="仿宋" w:eastAsia="仿宋"/>
                <w:b w:val="0"/>
                <w:bCs w:val="0"/>
                <w:color w:val="000000"/>
              </w:rPr>
            </w:pPr>
            <w:r>
              <w:rPr>
                <w:rFonts w:hint="eastAsia" w:ascii="仿宋" w:hAnsi="仿宋" w:eastAsia="仿宋"/>
                <w:b w:val="0"/>
                <w:bCs w:val="0"/>
                <w:color w:val="000000"/>
                <w:lang w:val="en-US" w:eastAsia="zh-CN"/>
              </w:rPr>
              <w:t>技术方案（20分）：</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服务实施方案的完整性、先进性（20分）：至少应包含本次采购OA办公助手系统软件开发及运营支撑服务项目“对项目需求的理解”、“对接接口的理解”、“项目难点”、“软件基本功能设计”、“质量控制”、“进度控制”、“扩展性和安全性”、“自主可控适配”等内容，评分标准如下：</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1、服务实施方案阐述完整、可行性高，与工作要求契合度高，得15分-20分（含）；</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2、针对本服务实施方案阐述基本完整、具备一定可行性，基本契合工作要求，得10分-15分（含）分；</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3、针对本服务实施方案阐述不完整、可行性较低，与工作要求契合度低，得5分-10分（含）分。</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4、定位认识模糊，或方案阐述混乱、基本无可行性，与工作要求基本无契合，得0分-5分（含）。</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未提供技术方案，得0分。</w:t>
            </w:r>
          </w:p>
        </w:tc>
      </w:tr>
      <w:tr w14:paraId="582ED8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3840" w:hRule="atLeast"/>
          <w:jc w:val="center"/>
        </w:trPr>
        <w:tc>
          <w:tcPr>
            <w:tcW w:w="364" w:type="pct"/>
            <w:vMerge w:val="continue"/>
            <w:tcBorders>
              <w:tl2br w:val="nil"/>
              <w:tr2bl w:val="nil"/>
            </w:tcBorders>
            <w:shd w:val="clear" w:color="auto" w:fill="auto"/>
            <w:vAlign w:val="center"/>
          </w:tcPr>
          <w:p w14:paraId="7AC425DD">
            <w:pPr>
              <w:jc w:val="center"/>
              <w:rPr>
                <w:rFonts w:hint="eastAsia" w:ascii="仿宋" w:hAnsi="仿宋" w:eastAsia="仿宋"/>
                <w:b w:val="0"/>
                <w:bCs w:val="0"/>
                <w:color w:val="000000"/>
              </w:rPr>
            </w:pPr>
          </w:p>
        </w:tc>
        <w:tc>
          <w:tcPr>
            <w:tcW w:w="605" w:type="pct"/>
            <w:vMerge w:val="continue"/>
            <w:tcBorders>
              <w:tl2br w:val="nil"/>
              <w:tr2bl w:val="nil"/>
            </w:tcBorders>
            <w:shd w:val="clear" w:color="auto" w:fill="auto"/>
            <w:vAlign w:val="center"/>
          </w:tcPr>
          <w:p w14:paraId="2202D5B5">
            <w:pPr>
              <w:jc w:val="center"/>
              <w:rPr>
                <w:rFonts w:hint="eastAsia" w:ascii="仿宋" w:hAnsi="仿宋" w:eastAsia="仿宋"/>
                <w:b w:val="0"/>
                <w:bCs w:val="0"/>
                <w:color w:val="000000"/>
              </w:rPr>
            </w:pPr>
          </w:p>
        </w:tc>
        <w:tc>
          <w:tcPr>
            <w:tcW w:w="364" w:type="pct"/>
            <w:vMerge w:val="continue"/>
            <w:tcBorders>
              <w:tl2br w:val="nil"/>
              <w:tr2bl w:val="nil"/>
            </w:tcBorders>
            <w:shd w:val="clear" w:color="auto" w:fill="auto"/>
            <w:vAlign w:val="center"/>
          </w:tcPr>
          <w:p w14:paraId="4AA16307">
            <w:pPr>
              <w:jc w:val="center"/>
              <w:rPr>
                <w:rFonts w:hint="eastAsia" w:ascii="仿宋" w:hAnsi="仿宋" w:eastAsia="仿宋"/>
                <w:b w:val="0"/>
                <w:bCs w:val="0"/>
                <w:color w:val="000000"/>
              </w:rPr>
            </w:pPr>
          </w:p>
        </w:tc>
        <w:tc>
          <w:tcPr>
            <w:tcW w:w="3664" w:type="pct"/>
            <w:tcBorders>
              <w:tl2br w:val="nil"/>
              <w:tr2bl w:val="nil"/>
            </w:tcBorders>
            <w:shd w:val="clear" w:color="auto" w:fill="auto"/>
            <w:vAlign w:val="center"/>
          </w:tcPr>
          <w:p w14:paraId="666B28A9">
            <w:pPr>
              <w:rPr>
                <w:rFonts w:hint="eastAsia" w:ascii="仿宋" w:hAnsi="仿宋" w:eastAsia="仿宋"/>
                <w:b w:val="0"/>
                <w:bCs w:val="0"/>
                <w:color w:val="000000"/>
              </w:rPr>
            </w:pPr>
            <w:r>
              <w:rPr>
                <w:rFonts w:hint="eastAsia" w:ascii="仿宋" w:hAnsi="仿宋" w:eastAsia="仿宋"/>
                <w:b w:val="0"/>
                <w:bCs w:val="0"/>
                <w:color w:val="000000"/>
                <w:lang w:val="en-US" w:eastAsia="zh-CN"/>
              </w:rPr>
              <w:t>视频演示（30分）：设定以下演示项，每个最小得分项全部满足演示打分要求得该项满分，不满足或部分满足不得分。</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视频格式为mp4，时间控制在10分钟内。</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功能要求：</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演示1：智能问答（8分）</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1）用户通过对话能力界面，实现各类业务知识的问答（1分）</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2）问题支持tips引导和多轮对话功能，针对无法理解的意图可进行反问（2分）</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3）输出内容支持markdown格式输出，并支持思考链展示（1分）</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4）能够以文字、图片、Word、PPT、视频等方式展示（2分）</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5）回复内容提供附件下载功能，提供回复内容的来源文件信息展示（2分）</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演示2：辅助办公（8分）</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为用户提供辅助办公功能，从自然语言内容中精准理解用户意图</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1）实现人员搜索、文档检索，支持档案检索（2分）</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2）实现系统导航，外出审批及日程提醒场景（2分）</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3）实现会议室预订，个人服务预约，访客管理，场地预订（4分）</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演示3：O了助手：（8分）</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1）在APP侧，通过用户输入，进行意图识别，提取关键信息，实现各类业务知识问答，判断意图后，针对非知识查询类意图，可自动使用对应智能体能力（3分）</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2）支持对用户输入意图识别后直接完成O了功能菜单导航，并进行菜单导航提示（3分）</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3）对会议制度进行智能检索，意图识别后需支持拒绝回答。（2分）</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演示4：公文助手智能体编排（6分）</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1）公文助手可进行智能体编排全流程可视化，包括智能体创建、可视化的节点拖拉拽编排、编排节点测试（3分）</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2）实现流程编排快速完成版本发布，迭代优化更新，及最后的页面使用对话功能。（3分）</w:t>
            </w:r>
          </w:p>
        </w:tc>
      </w:tr>
      <w:tr w14:paraId="4830D6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940" w:hRule="atLeast"/>
          <w:jc w:val="center"/>
        </w:trPr>
        <w:tc>
          <w:tcPr>
            <w:tcW w:w="364" w:type="pct"/>
            <w:vMerge w:val="continue"/>
            <w:tcBorders>
              <w:tl2br w:val="nil"/>
              <w:tr2bl w:val="nil"/>
            </w:tcBorders>
            <w:shd w:val="clear" w:color="auto" w:fill="auto"/>
            <w:vAlign w:val="center"/>
          </w:tcPr>
          <w:p w14:paraId="746919FB">
            <w:pPr>
              <w:jc w:val="center"/>
              <w:rPr>
                <w:rFonts w:hint="eastAsia" w:ascii="仿宋" w:hAnsi="仿宋" w:eastAsia="仿宋"/>
                <w:b w:val="0"/>
                <w:bCs w:val="0"/>
                <w:color w:val="000000"/>
              </w:rPr>
            </w:pPr>
          </w:p>
        </w:tc>
        <w:tc>
          <w:tcPr>
            <w:tcW w:w="605" w:type="pct"/>
            <w:vMerge w:val="continue"/>
            <w:tcBorders>
              <w:tl2br w:val="nil"/>
              <w:tr2bl w:val="nil"/>
            </w:tcBorders>
            <w:shd w:val="clear" w:color="auto" w:fill="auto"/>
            <w:vAlign w:val="center"/>
          </w:tcPr>
          <w:p w14:paraId="2D82DE91">
            <w:pPr>
              <w:jc w:val="center"/>
              <w:rPr>
                <w:rFonts w:hint="eastAsia" w:ascii="仿宋" w:hAnsi="仿宋" w:eastAsia="仿宋"/>
                <w:b w:val="0"/>
                <w:bCs w:val="0"/>
                <w:color w:val="000000"/>
              </w:rPr>
            </w:pPr>
          </w:p>
        </w:tc>
        <w:tc>
          <w:tcPr>
            <w:tcW w:w="364" w:type="pct"/>
            <w:vMerge w:val="continue"/>
            <w:tcBorders>
              <w:tl2br w:val="nil"/>
              <w:tr2bl w:val="nil"/>
            </w:tcBorders>
            <w:shd w:val="clear" w:color="auto" w:fill="auto"/>
            <w:vAlign w:val="center"/>
          </w:tcPr>
          <w:p w14:paraId="7D88CBD1">
            <w:pPr>
              <w:jc w:val="center"/>
              <w:rPr>
                <w:rFonts w:hint="eastAsia" w:ascii="仿宋" w:hAnsi="仿宋" w:eastAsia="仿宋"/>
                <w:b w:val="0"/>
                <w:bCs w:val="0"/>
                <w:color w:val="000000"/>
              </w:rPr>
            </w:pPr>
          </w:p>
        </w:tc>
        <w:tc>
          <w:tcPr>
            <w:tcW w:w="3664" w:type="pct"/>
            <w:tcBorders>
              <w:tl2br w:val="nil"/>
              <w:tr2bl w:val="nil"/>
            </w:tcBorders>
            <w:shd w:val="clear" w:color="auto" w:fill="auto"/>
            <w:vAlign w:val="center"/>
          </w:tcPr>
          <w:p w14:paraId="241D0D1B">
            <w:pPr>
              <w:rPr>
                <w:rFonts w:hint="eastAsia" w:ascii="仿宋" w:hAnsi="仿宋" w:eastAsia="仿宋"/>
                <w:b w:val="0"/>
                <w:bCs w:val="0"/>
                <w:color w:val="000000"/>
              </w:rPr>
            </w:pPr>
            <w:r>
              <w:rPr>
                <w:rFonts w:hint="eastAsia" w:ascii="仿宋" w:hAnsi="仿宋" w:eastAsia="仿宋"/>
                <w:b w:val="0"/>
                <w:bCs w:val="0"/>
                <w:color w:val="000000"/>
                <w:lang w:val="en-US" w:eastAsia="zh-CN"/>
              </w:rPr>
              <w:t>技术应答（5分）：应答内容为全部“满足”不扣分，每1个应答为“不满足”或“部分满足”扣2分，扣完为止。对★关键应答项，不应答或应答内容不满足采购文件要求的，否决其应答。</w:t>
            </w:r>
          </w:p>
        </w:tc>
      </w:tr>
      <w:tr w14:paraId="5B114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460" w:hRule="atLeast"/>
          <w:jc w:val="center"/>
        </w:trPr>
        <w:tc>
          <w:tcPr>
            <w:tcW w:w="364" w:type="pct"/>
            <w:vMerge w:val="continue"/>
            <w:tcBorders>
              <w:tl2br w:val="nil"/>
              <w:tr2bl w:val="nil"/>
            </w:tcBorders>
            <w:shd w:val="clear" w:color="auto" w:fill="auto"/>
            <w:vAlign w:val="center"/>
          </w:tcPr>
          <w:p w14:paraId="40A87A5C">
            <w:pPr>
              <w:jc w:val="center"/>
              <w:rPr>
                <w:rFonts w:hint="eastAsia" w:ascii="仿宋" w:hAnsi="仿宋" w:eastAsia="仿宋"/>
                <w:b w:val="0"/>
                <w:bCs w:val="0"/>
                <w:color w:val="000000"/>
              </w:rPr>
            </w:pPr>
          </w:p>
        </w:tc>
        <w:tc>
          <w:tcPr>
            <w:tcW w:w="605" w:type="pct"/>
            <w:tcBorders>
              <w:tl2br w:val="nil"/>
              <w:tr2bl w:val="nil"/>
            </w:tcBorders>
            <w:shd w:val="clear" w:color="auto" w:fill="auto"/>
            <w:vAlign w:val="center"/>
          </w:tcPr>
          <w:p w14:paraId="12A44AD4">
            <w:pPr>
              <w:jc w:val="center"/>
              <w:rPr>
                <w:rFonts w:hint="eastAsia" w:ascii="仿宋" w:hAnsi="仿宋" w:eastAsia="仿宋"/>
                <w:b w:val="0"/>
                <w:bCs w:val="0"/>
                <w:color w:val="000000"/>
              </w:rPr>
            </w:pPr>
            <w:r>
              <w:rPr>
                <w:rFonts w:hint="eastAsia" w:ascii="仿宋" w:hAnsi="仿宋" w:eastAsia="仿宋"/>
                <w:b w:val="0"/>
                <w:bCs w:val="0"/>
                <w:color w:val="000000"/>
                <w:lang w:val="en-US" w:eastAsia="zh-CN"/>
              </w:rPr>
              <w:t>人员投入</w:t>
            </w:r>
          </w:p>
        </w:tc>
        <w:tc>
          <w:tcPr>
            <w:tcW w:w="364" w:type="pct"/>
            <w:tcBorders>
              <w:tl2br w:val="nil"/>
              <w:tr2bl w:val="nil"/>
            </w:tcBorders>
            <w:shd w:val="clear" w:color="auto" w:fill="auto"/>
            <w:vAlign w:val="center"/>
          </w:tcPr>
          <w:p w14:paraId="0D355047">
            <w:pPr>
              <w:jc w:val="center"/>
              <w:rPr>
                <w:rFonts w:hint="eastAsia" w:ascii="仿宋" w:hAnsi="仿宋" w:eastAsia="仿宋"/>
                <w:b w:val="0"/>
                <w:bCs w:val="0"/>
                <w:color w:val="000000"/>
              </w:rPr>
            </w:pPr>
            <w:r>
              <w:rPr>
                <w:rFonts w:hint="eastAsia" w:ascii="仿宋" w:hAnsi="仿宋" w:eastAsia="仿宋"/>
                <w:b w:val="0"/>
                <w:bCs w:val="0"/>
                <w:color w:val="000000"/>
                <w:lang w:val="en-US" w:eastAsia="zh-CN"/>
              </w:rPr>
              <w:t>10</w:t>
            </w:r>
          </w:p>
        </w:tc>
        <w:tc>
          <w:tcPr>
            <w:tcW w:w="3664" w:type="pct"/>
            <w:tcBorders>
              <w:tl2br w:val="nil"/>
              <w:tr2bl w:val="nil"/>
            </w:tcBorders>
            <w:shd w:val="clear" w:color="auto" w:fill="auto"/>
            <w:vAlign w:val="center"/>
          </w:tcPr>
          <w:p w14:paraId="16FA8D9B">
            <w:pPr>
              <w:rPr>
                <w:rFonts w:hint="eastAsia" w:ascii="仿宋" w:hAnsi="仿宋" w:eastAsia="仿宋"/>
                <w:b w:val="0"/>
                <w:bCs w:val="0"/>
                <w:color w:val="000000"/>
              </w:rPr>
            </w:pPr>
            <w:r>
              <w:rPr>
                <w:rFonts w:hint="eastAsia" w:ascii="仿宋" w:hAnsi="仿宋" w:eastAsia="仿宋"/>
                <w:b w:val="0"/>
                <w:bCs w:val="0"/>
                <w:color w:val="000000"/>
                <w:lang w:val="en-US" w:eastAsia="zh-CN"/>
              </w:rPr>
              <w:t>包括项目经理资质、项目投入人员数量、具体人员资质等，满分10分。</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1、项目经理1名（4分）：</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具备研究生学历,学历专业为计算机、网络工程、软件工程、通信电子信息和自动化等相关专业，具有10年及以上工作经验，并具备PMP证书或信息系统项目管理师认证证书，全部满足得4分，否则不得分。</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2、项目人员（不含项目经理）（6分）：</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1）人员数量达到8个及以上，且团队成员均满足具备人工智能相关项目的经验，提供甲方盖章的项目经验证明或业绩合同关键页扫描件（合同封面、合同服务内容及合同盖章页），合同中包含AI，大模型、人工智能、自然语言、AIGC等关键字;团队成员需拥有本科及以上学历，学历专业为计算机、网络工程、软件工程、通信电子信息和自动化等相关专业，以上全部满足得4分，否则不得分；</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（2）项目人员资质：提供系统架构设计师证书、软件设计师证书、CISSP（认证信息系统安全专家）证书,每提供以上一种证书得1分，本项满分2分。</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注：以上同一类证书不同子类，不重复计分。同一种证书不重复计分。</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本项须提供：</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人员清单表（包括姓名、性别、年龄、学历、拟任职位、资格证书）、身份证（正、反面）、学历证书、有效资质证书、项目经验证明、业绩合同等扫描件，提供近3个月的由社保机构出具的社保证明材料扫描件，工作经验以学历证书毕业时间为准。</w:t>
            </w:r>
          </w:p>
        </w:tc>
      </w:tr>
      <w:tr w14:paraId="19D939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1672" w:hRule="atLeast"/>
          <w:jc w:val="center"/>
        </w:trPr>
        <w:tc>
          <w:tcPr>
            <w:tcW w:w="364" w:type="pct"/>
            <w:vMerge w:val="continue"/>
            <w:tcBorders>
              <w:tl2br w:val="nil"/>
              <w:tr2bl w:val="nil"/>
            </w:tcBorders>
            <w:shd w:val="clear" w:color="auto" w:fill="auto"/>
            <w:vAlign w:val="center"/>
          </w:tcPr>
          <w:p w14:paraId="536742BD">
            <w:pPr>
              <w:jc w:val="center"/>
              <w:rPr>
                <w:rFonts w:hint="eastAsia" w:ascii="仿宋" w:hAnsi="仿宋" w:eastAsia="仿宋"/>
                <w:b w:val="0"/>
                <w:bCs w:val="0"/>
                <w:color w:val="000000"/>
              </w:rPr>
            </w:pPr>
          </w:p>
        </w:tc>
        <w:tc>
          <w:tcPr>
            <w:tcW w:w="605" w:type="pct"/>
            <w:tcBorders>
              <w:tl2br w:val="nil"/>
              <w:tr2bl w:val="nil"/>
            </w:tcBorders>
            <w:shd w:val="clear" w:color="auto" w:fill="auto"/>
            <w:vAlign w:val="center"/>
          </w:tcPr>
          <w:p w14:paraId="202B7648">
            <w:pPr>
              <w:jc w:val="center"/>
              <w:rPr>
                <w:rFonts w:hint="eastAsia" w:ascii="仿宋" w:hAnsi="仿宋" w:eastAsia="仿宋"/>
                <w:b w:val="0"/>
                <w:bCs w:val="0"/>
                <w:color w:val="000000"/>
              </w:rPr>
            </w:pPr>
            <w:r>
              <w:rPr>
                <w:rFonts w:hint="eastAsia" w:ascii="仿宋" w:hAnsi="仿宋" w:eastAsia="仿宋"/>
                <w:b w:val="0"/>
                <w:bCs w:val="0"/>
                <w:color w:val="000000"/>
                <w:lang w:val="en-US" w:eastAsia="zh-CN"/>
              </w:rPr>
              <w:t>实施计划及服务</w:t>
            </w:r>
          </w:p>
        </w:tc>
        <w:tc>
          <w:tcPr>
            <w:tcW w:w="364" w:type="pct"/>
            <w:tcBorders>
              <w:tl2br w:val="nil"/>
              <w:tr2bl w:val="nil"/>
            </w:tcBorders>
            <w:shd w:val="clear" w:color="auto" w:fill="auto"/>
            <w:vAlign w:val="center"/>
          </w:tcPr>
          <w:p w14:paraId="628CA8E0">
            <w:pPr>
              <w:jc w:val="center"/>
              <w:rPr>
                <w:rFonts w:hint="eastAsia" w:ascii="仿宋" w:hAnsi="仿宋" w:eastAsia="仿宋"/>
                <w:b w:val="0"/>
                <w:bCs w:val="0"/>
                <w:color w:val="000000"/>
              </w:rPr>
            </w:pPr>
            <w:r>
              <w:rPr>
                <w:rFonts w:hint="eastAsia" w:ascii="仿宋" w:hAnsi="仿宋" w:eastAsia="仿宋"/>
                <w:b w:val="0"/>
                <w:bCs w:val="0"/>
                <w:color w:val="000000"/>
                <w:lang w:val="en-US" w:eastAsia="zh-CN"/>
              </w:rPr>
              <w:t>5</w:t>
            </w:r>
          </w:p>
        </w:tc>
        <w:tc>
          <w:tcPr>
            <w:tcW w:w="3664" w:type="pct"/>
            <w:tcBorders>
              <w:tl2br w:val="nil"/>
              <w:tr2bl w:val="nil"/>
            </w:tcBorders>
            <w:shd w:val="clear" w:color="auto" w:fill="auto"/>
            <w:vAlign w:val="center"/>
          </w:tcPr>
          <w:p w14:paraId="5FEF3F0E">
            <w:pPr>
              <w:rPr>
                <w:rFonts w:hint="eastAsia" w:ascii="仿宋" w:hAnsi="仿宋" w:eastAsia="仿宋"/>
                <w:b w:val="0"/>
                <w:bCs w:val="0"/>
                <w:color w:val="000000"/>
              </w:rPr>
            </w:pPr>
            <w:r>
              <w:rPr>
                <w:rFonts w:hint="eastAsia" w:ascii="仿宋" w:hAnsi="仿宋" w:eastAsia="仿宋"/>
                <w:b w:val="0"/>
                <w:bCs w:val="0"/>
                <w:color w:val="000000"/>
                <w:lang w:val="en-US" w:eastAsia="zh-CN"/>
              </w:rPr>
              <w:t>1、项目进度计划（3分），达到基本进度计划（合同签订后50日内完成系统开发部署上线）要求得0分，承诺每提前10天完成加1分，满分3分。</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2、项目售后服务水平承诺（2分），承诺提供7*24小时技术支持服务、关键故障4小时人员到达现场服务得2分；承诺提供5*8小时技术支持服务、关键故障8小时人员到达现场服务得1分；未承诺不得分。</w:t>
            </w:r>
          </w:p>
        </w:tc>
      </w:tr>
      <w:tr w14:paraId="02D3DB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400" w:hRule="atLeast"/>
          <w:jc w:val="center"/>
        </w:trPr>
        <w:tc>
          <w:tcPr>
            <w:tcW w:w="364" w:type="pct"/>
            <w:vMerge w:val="restart"/>
            <w:tcBorders>
              <w:tl2br w:val="nil"/>
              <w:tr2bl w:val="nil"/>
            </w:tcBorders>
            <w:shd w:val="clear" w:color="auto" w:fill="auto"/>
            <w:vAlign w:val="center"/>
          </w:tcPr>
          <w:p w14:paraId="6BFFD40B">
            <w:pPr>
              <w:jc w:val="center"/>
              <w:rPr>
                <w:rFonts w:hint="eastAsia" w:ascii="仿宋" w:hAnsi="仿宋" w:eastAsia="仿宋"/>
                <w:b w:val="0"/>
                <w:bCs w:val="0"/>
                <w:color w:val="000000"/>
              </w:rPr>
            </w:pPr>
            <w:r>
              <w:rPr>
                <w:rFonts w:hint="eastAsia" w:ascii="仿宋" w:hAnsi="仿宋" w:eastAsia="仿宋"/>
                <w:b w:val="0"/>
                <w:bCs w:val="0"/>
                <w:color w:val="000000"/>
                <w:lang w:val="en-US" w:eastAsia="zh-CN"/>
              </w:rPr>
              <w:t>综合评估（30分）</w:t>
            </w:r>
          </w:p>
        </w:tc>
        <w:tc>
          <w:tcPr>
            <w:tcW w:w="605" w:type="pct"/>
            <w:tcBorders>
              <w:tl2br w:val="nil"/>
              <w:tr2bl w:val="nil"/>
            </w:tcBorders>
            <w:shd w:val="clear" w:color="auto" w:fill="auto"/>
            <w:vAlign w:val="center"/>
          </w:tcPr>
          <w:p w14:paraId="23F87C91">
            <w:pPr>
              <w:jc w:val="center"/>
              <w:rPr>
                <w:rFonts w:hint="eastAsia" w:ascii="仿宋" w:hAnsi="仿宋" w:eastAsia="仿宋"/>
                <w:b w:val="0"/>
                <w:bCs w:val="0"/>
                <w:color w:val="000000"/>
              </w:rPr>
            </w:pPr>
            <w:r>
              <w:rPr>
                <w:rFonts w:hint="eastAsia" w:ascii="仿宋" w:hAnsi="仿宋" w:eastAsia="仿宋"/>
                <w:b w:val="0"/>
                <w:bCs w:val="0"/>
                <w:color w:val="000000"/>
                <w:lang w:val="en-US" w:eastAsia="zh-CN"/>
              </w:rPr>
              <w:t>企业认证</w:t>
            </w:r>
          </w:p>
        </w:tc>
        <w:tc>
          <w:tcPr>
            <w:tcW w:w="364" w:type="pct"/>
            <w:tcBorders>
              <w:tl2br w:val="nil"/>
              <w:tr2bl w:val="nil"/>
            </w:tcBorders>
            <w:shd w:val="clear" w:color="auto" w:fill="auto"/>
            <w:vAlign w:val="center"/>
          </w:tcPr>
          <w:p w14:paraId="5AFD4C77">
            <w:pPr>
              <w:jc w:val="center"/>
              <w:rPr>
                <w:rFonts w:hint="eastAsia" w:ascii="仿宋" w:hAnsi="仿宋" w:eastAsia="仿宋"/>
                <w:b w:val="0"/>
                <w:bCs w:val="0"/>
                <w:color w:val="000000"/>
              </w:rPr>
            </w:pPr>
            <w:r>
              <w:rPr>
                <w:rFonts w:hint="eastAsia" w:ascii="仿宋" w:hAnsi="仿宋" w:eastAsia="仿宋"/>
                <w:b w:val="0"/>
                <w:bCs w:val="0"/>
                <w:color w:val="000000"/>
                <w:lang w:val="en-US" w:eastAsia="zh-CN"/>
              </w:rPr>
              <w:t>10</w:t>
            </w:r>
          </w:p>
        </w:tc>
        <w:tc>
          <w:tcPr>
            <w:tcW w:w="3664" w:type="pct"/>
            <w:tcBorders>
              <w:tl2br w:val="nil"/>
              <w:tr2bl w:val="nil"/>
            </w:tcBorders>
            <w:shd w:val="clear" w:color="auto" w:fill="auto"/>
            <w:vAlign w:val="center"/>
          </w:tcPr>
          <w:p w14:paraId="3D5FC6D4">
            <w:pPr>
              <w:rPr>
                <w:rFonts w:hint="eastAsia" w:ascii="仿宋" w:hAnsi="仿宋" w:eastAsia="仿宋"/>
                <w:b w:val="0"/>
                <w:bCs w:val="0"/>
                <w:color w:val="000000"/>
              </w:rPr>
            </w:pPr>
            <w:r>
              <w:rPr>
                <w:rFonts w:hint="eastAsia" w:ascii="仿宋" w:hAnsi="仿宋" w:eastAsia="仿宋"/>
                <w:b w:val="0"/>
                <w:bCs w:val="0"/>
                <w:color w:val="000000"/>
                <w:lang w:val="en-US" w:eastAsia="zh-CN"/>
              </w:rPr>
              <w:t>应答人需满足以下资质认证，满分10分：</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1、提供质量管理体系认证、信息技术服务管理体系认证、信息安全管理体系认证证书，ITSS三级及以上证书，每提供1个得1分，最高得3分;</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2、提供中国通信企业协会通信网络安全服务能力风险评估一级及以上评定证书、CCRC信息安全服务信息安全风险评估服务三级及以上资质认证证书、CCRC信息安全服务软件安全开发服务三级及以上资质认证证书，每提供1个得1.5分，最高得3分;</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3、具有大模型或人工智能或aigc的相关软件软著著作权，每提供1个得2分，最高得4分。</w:t>
            </w:r>
            <w:r>
              <w:rPr>
                <w:rFonts w:hint="eastAsia" w:ascii="仿宋" w:hAnsi="仿宋" w:eastAsia="仿宋"/>
                <w:b w:val="0"/>
                <w:bCs w:val="0"/>
                <w:color w:val="000000"/>
                <w:lang w:val="en-US" w:eastAsia="zh-CN"/>
              </w:rPr>
              <w:br w:type="textWrapping"/>
            </w:r>
            <w:r>
              <w:rPr>
                <w:rFonts w:hint="eastAsia" w:ascii="仿宋" w:hAnsi="仿宋" w:eastAsia="仿宋"/>
                <w:b w:val="0"/>
                <w:bCs w:val="0"/>
                <w:color w:val="000000"/>
                <w:lang w:val="en-US" w:eastAsia="zh-CN"/>
              </w:rPr>
              <w:t>提供有效证书扫描件或网站查询截图，未提供不得分。</w:t>
            </w:r>
          </w:p>
        </w:tc>
      </w:tr>
      <w:tr w14:paraId="6BF1E0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3220" w:hRule="atLeast"/>
          <w:jc w:val="center"/>
        </w:trPr>
        <w:tc>
          <w:tcPr>
            <w:tcW w:w="364" w:type="pct"/>
            <w:vMerge w:val="continue"/>
            <w:tcBorders>
              <w:tl2br w:val="nil"/>
              <w:tr2bl w:val="nil"/>
            </w:tcBorders>
            <w:shd w:val="clear" w:color="auto" w:fill="auto"/>
            <w:vAlign w:val="center"/>
          </w:tcPr>
          <w:p w14:paraId="3F50B279">
            <w:pPr>
              <w:jc w:val="center"/>
              <w:rPr>
                <w:rFonts w:hint="eastAsia" w:ascii="仿宋" w:hAnsi="仿宋" w:eastAsia="仿宋"/>
                <w:b w:val="0"/>
                <w:bCs w:val="0"/>
                <w:color w:val="000000"/>
              </w:rPr>
            </w:pPr>
          </w:p>
        </w:tc>
        <w:tc>
          <w:tcPr>
            <w:tcW w:w="605" w:type="pct"/>
            <w:tcBorders>
              <w:tl2br w:val="nil"/>
              <w:tr2bl w:val="nil"/>
            </w:tcBorders>
            <w:shd w:val="clear" w:color="auto" w:fill="auto"/>
            <w:vAlign w:val="center"/>
          </w:tcPr>
          <w:p w14:paraId="5EAA0F35">
            <w:pPr>
              <w:jc w:val="center"/>
              <w:rPr>
                <w:rFonts w:hint="eastAsia" w:ascii="仿宋" w:hAnsi="仿宋" w:eastAsia="仿宋"/>
                <w:b w:val="0"/>
                <w:bCs w:val="0"/>
                <w:color w:val="000000"/>
              </w:rPr>
            </w:pPr>
            <w:r>
              <w:rPr>
                <w:rFonts w:hint="eastAsia" w:ascii="仿宋" w:hAnsi="仿宋" w:eastAsia="仿宋"/>
                <w:b w:val="0"/>
                <w:bCs w:val="0"/>
                <w:color w:val="000000"/>
                <w:lang w:val="en-US" w:eastAsia="zh-CN"/>
              </w:rPr>
              <w:t>业绩</w:t>
            </w:r>
          </w:p>
        </w:tc>
        <w:tc>
          <w:tcPr>
            <w:tcW w:w="364" w:type="pct"/>
            <w:tcBorders>
              <w:tl2br w:val="nil"/>
              <w:tr2bl w:val="nil"/>
            </w:tcBorders>
            <w:shd w:val="clear" w:color="auto" w:fill="auto"/>
            <w:vAlign w:val="center"/>
          </w:tcPr>
          <w:p w14:paraId="6E17E904">
            <w:pPr>
              <w:jc w:val="center"/>
              <w:rPr>
                <w:rFonts w:hint="eastAsia" w:ascii="仿宋" w:hAnsi="仿宋" w:eastAsia="仿宋"/>
                <w:b w:val="0"/>
                <w:bCs w:val="0"/>
                <w:color w:val="000000"/>
              </w:rPr>
            </w:pPr>
            <w:r>
              <w:rPr>
                <w:rFonts w:hint="eastAsia" w:ascii="仿宋" w:hAnsi="仿宋" w:eastAsia="仿宋"/>
                <w:b w:val="0"/>
                <w:bCs w:val="0"/>
                <w:color w:val="000000"/>
                <w:lang w:val="en-US" w:eastAsia="zh-CN"/>
              </w:rPr>
              <w:t>17</w:t>
            </w:r>
          </w:p>
        </w:tc>
        <w:tc>
          <w:tcPr>
            <w:tcW w:w="3664" w:type="pct"/>
            <w:tcBorders>
              <w:tl2br w:val="nil"/>
              <w:tr2bl w:val="nil"/>
            </w:tcBorders>
            <w:shd w:val="clear" w:color="auto" w:fill="auto"/>
            <w:vAlign w:val="center"/>
          </w:tcPr>
          <w:p w14:paraId="4E424D66">
            <w:pPr>
              <w:rPr>
                <w:rFonts w:hint="eastAsia" w:ascii="仿宋" w:hAnsi="仿宋" w:eastAsia="仿宋"/>
                <w:b w:val="0"/>
                <w:bCs w:val="0"/>
                <w:color w:val="000000"/>
                <w:lang w:val="en-US" w:eastAsia="zh-CN"/>
              </w:rPr>
            </w:pPr>
            <w:r>
              <w:rPr>
                <w:rFonts w:hint="eastAsia" w:ascii="仿宋" w:hAnsi="仿宋" w:eastAsia="仿宋"/>
                <w:b w:val="0"/>
                <w:bCs w:val="0"/>
                <w:color w:val="000000"/>
                <w:lang w:val="en-US" w:eastAsia="zh-CN"/>
              </w:rPr>
              <w:t>提供2023年1月1日至本公告发布前一日止本次采购产品类似软件开发或软件系统项目业绩（合同名称或合同内容至少含大模型、AI、人工智能、AIGC其中之一关键字），合同累计含税金额达到147万元的得0分,累计含税金额达到588万元的得17分，中间线性得分。</w:t>
            </w:r>
          </w:p>
          <w:p w14:paraId="74AE03A0">
            <w:pPr>
              <w:rPr>
                <w:rFonts w:hint="eastAsia" w:ascii="仿宋" w:hAnsi="仿宋" w:eastAsia="仿宋"/>
                <w:b w:val="0"/>
                <w:bCs w:val="0"/>
                <w:color w:val="000000"/>
                <w:lang w:val="en-US" w:eastAsia="zh-CN"/>
              </w:rPr>
            </w:pPr>
            <w:r>
              <w:rPr>
                <w:rFonts w:hint="eastAsia" w:ascii="仿宋" w:hAnsi="仿宋" w:eastAsia="仿宋"/>
                <w:b w:val="0"/>
                <w:bCs w:val="0"/>
                <w:color w:val="000000"/>
                <w:lang w:val="en-US" w:eastAsia="zh-CN"/>
              </w:rPr>
              <w:t>提供框架合同业绩的证明材料的：应答人须提供框架合同扫描件；需同时提供对应的订单或发票扫描件，框架执行金额和时间以订单或发票为准，如同时提供订单和发票，以订单为准。框架合同必须涵盖以下页面：合同封面、合同服务内容、合同金额及合同大签页。</w:t>
            </w:r>
          </w:p>
          <w:p w14:paraId="008C4DF2">
            <w:pPr>
              <w:rPr>
                <w:rFonts w:hint="eastAsia" w:ascii="仿宋" w:hAnsi="仿宋" w:eastAsia="仿宋"/>
                <w:b w:val="0"/>
                <w:bCs w:val="0"/>
                <w:color w:val="000000"/>
              </w:rPr>
            </w:pPr>
            <w:r>
              <w:rPr>
                <w:rFonts w:hint="eastAsia" w:ascii="仿宋" w:hAnsi="仿宋" w:eastAsia="仿宋"/>
                <w:b w:val="0"/>
                <w:bCs w:val="0"/>
                <w:color w:val="000000"/>
                <w:lang w:val="en-US" w:eastAsia="zh-CN"/>
              </w:rPr>
              <w:t>提供单项合同业绩证明材料的：应答人须提供单项合同扫描件。单项合同必须涵盖以下页面：合同封面、合同服务内容、合同金额及合同大签页。</w:t>
            </w:r>
          </w:p>
        </w:tc>
      </w:tr>
      <w:tr w14:paraId="25D6D8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750" w:hRule="atLeast"/>
          <w:jc w:val="center"/>
        </w:trPr>
        <w:tc>
          <w:tcPr>
            <w:tcW w:w="364" w:type="pct"/>
            <w:vMerge w:val="continue"/>
            <w:tcBorders>
              <w:tl2br w:val="nil"/>
              <w:tr2bl w:val="nil"/>
            </w:tcBorders>
            <w:shd w:val="clear" w:color="auto" w:fill="auto"/>
            <w:vAlign w:val="center"/>
          </w:tcPr>
          <w:p w14:paraId="4BDA9E9B">
            <w:pPr>
              <w:jc w:val="center"/>
              <w:rPr>
                <w:rFonts w:hint="eastAsia" w:ascii="仿宋" w:hAnsi="仿宋" w:eastAsia="仿宋"/>
                <w:b w:val="0"/>
                <w:bCs w:val="0"/>
                <w:color w:val="000000"/>
              </w:rPr>
            </w:pPr>
          </w:p>
        </w:tc>
        <w:tc>
          <w:tcPr>
            <w:tcW w:w="605" w:type="pct"/>
            <w:tcBorders>
              <w:tl2br w:val="nil"/>
              <w:tr2bl w:val="nil"/>
            </w:tcBorders>
            <w:shd w:val="clear" w:color="auto" w:fill="auto"/>
            <w:vAlign w:val="center"/>
          </w:tcPr>
          <w:p w14:paraId="39CEB96B">
            <w:pPr>
              <w:jc w:val="center"/>
              <w:rPr>
                <w:rFonts w:hint="eastAsia" w:ascii="仿宋" w:hAnsi="仿宋" w:eastAsia="仿宋"/>
                <w:b w:val="0"/>
                <w:bCs w:val="0"/>
                <w:color w:val="000000"/>
              </w:rPr>
            </w:pPr>
            <w:r>
              <w:rPr>
                <w:rFonts w:hint="eastAsia" w:ascii="仿宋" w:hAnsi="仿宋" w:eastAsia="仿宋"/>
                <w:b w:val="0"/>
                <w:bCs w:val="0"/>
                <w:color w:val="000000"/>
                <w:lang w:val="en-US" w:eastAsia="zh-CN"/>
              </w:rPr>
              <w:t>标书制作</w:t>
            </w:r>
          </w:p>
        </w:tc>
        <w:tc>
          <w:tcPr>
            <w:tcW w:w="364" w:type="pct"/>
            <w:tcBorders>
              <w:tl2br w:val="nil"/>
              <w:tr2bl w:val="nil"/>
            </w:tcBorders>
            <w:shd w:val="clear" w:color="auto" w:fill="auto"/>
            <w:vAlign w:val="center"/>
          </w:tcPr>
          <w:p w14:paraId="7101BF3C">
            <w:pPr>
              <w:jc w:val="center"/>
              <w:rPr>
                <w:rFonts w:hint="eastAsia" w:ascii="仿宋" w:hAnsi="仿宋" w:eastAsia="仿宋"/>
                <w:b w:val="0"/>
                <w:bCs w:val="0"/>
                <w:color w:val="000000"/>
              </w:rPr>
            </w:pPr>
            <w:r>
              <w:rPr>
                <w:rFonts w:hint="eastAsia" w:ascii="仿宋" w:hAnsi="仿宋" w:eastAsia="仿宋"/>
                <w:b w:val="0"/>
                <w:bCs w:val="0"/>
                <w:color w:val="000000"/>
                <w:lang w:val="en-US" w:eastAsia="zh-CN"/>
              </w:rPr>
              <w:t>3</w:t>
            </w:r>
          </w:p>
        </w:tc>
        <w:tc>
          <w:tcPr>
            <w:tcW w:w="3664" w:type="pct"/>
            <w:tcBorders>
              <w:tl2br w:val="nil"/>
              <w:tr2bl w:val="nil"/>
            </w:tcBorders>
            <w:shd w:val="clear" w:color="auto" w:fill="auto"/>
            <w:vAlign w:val="center"/>
          </w:tcPr>
          <w:p w14:paraId="66A9214E">
            <w:pPr>
              <w:rPr>
                <w:rFonts w:hint="eastAsia" w:ascii="仿宋" w:hAnsi="仿宋" w:eastAsia="仿宋"/>
                <w:b w:val="0"/>
                <w:bCs w:val="0"/>
                <w:color w:val="000000"/>
              </w:rPr>
            </w:pPr>
            <w:r>
              <w:rPr>
                <w:rFonts w:hint="eastAsia" w:ascii="仿宋" w:hAnsi="仿宋" w:eastAsia="仿宋"/>
                <w:b w:val="0"/>
                <w:bCs w:val="0"/>
                <w:color w:val="000000"/>
                <w:lang w:val="en-US" w:eastAsia="zh-CN"/>
              </w:rPr>
              <w:t>根据应答人对采购文件的理解及应答文件的制作，由评委根据应答文件应答及编制情况打分。优：3（含）-2分；良：2（含）-1分；差: 1（含）以下。</w:t>
            </w:r>
          </w:p>
        </w:tc>
      </w:tr>
      <w:bookmarkEnd w:id="1"/>
    </w:tbl>
    <w:p w14:paraId="71653790">
      <w:pPr>
        <w:rPr>
          <w:rFonts w:hint="eastAsia" w:ascii="仿宋" w:hAnsi="仿宋" w:eastAsia="仿宋"/>
          <w:b/>
          <w:bCs/>
          <w:color w:val="000000"/>
        </w:rPr>
      </w:pPr>
    </w:p>
    <w:sectPr>
      <w:footerReference r:id="rId3" w:type="default"/>
      <w:pgSz w:w="11906" w:h="16838"/>
      <w:pgMar w:top="1440" w:right="1701" w:bottom="1440" w:left="1701" w:header="851" w:footer="992" w:gutter="0"/>
      <w:cols w:space="720" w:num="1"/>
      <w:docGrid w:type="linesAndChars" w:linePitch="38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5A259">
    <w:pPr>
      <w:pStyle w:val="26"/>
      <w:jc w:val="center"/>
    </w:pPr>
    <w:r>
      <w:rPr>
        <w:rStyle w:val="40"/>
      </w:rPr>
      <w:fldChar w:fldCharType="begin"/>
    </w:r>
    <w:r>
      <w:rPr>
        <w:rStyle w:val="40"/>
      </w:rPr>
      <w:instrText xml:space="preserve"> PAGE </w:instrText>
    </w:r>
    <w:r>
      <w:rPr>
        <w:rStyle w:val="40"/>
      </w:rPr>
      <w:fldChar w:fldCharType="separate"/>
    </w:r>
    <w:r>
      <w:rPr>
        <w:rStyle w:val="40"/>
      </w:rPr>
      <w:t>5</w:t>
    </w:r>
    <w:r>
      <w:rPr>
        <w:rStyle w:val="4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F9604E"/>
    <w:multiLevelType w:val="multilevel"/>
    <w:tmpl w:val="EDF9604E"/>
    <w:lvl w:ilvl="0" w:tentative="0">
      <w:start w:val="3"/>
      <w:numFmt w:val="chineseCounting"/>
      <w:suff w:val="space"/>
      <w:lvlText w:val="第%1章"/>
      <w:lvlJc w:val="center"/>
      <w:pPr>
        <w:tabs>
          <w:tab w:val="left" w:pos="1558"/>
        </w:tabs>
        <w:ind w:left="3397" w:firstLine="288"/>
      </w:pPr>
      <w:rPr>
        <w:rFonts w:hint="eastAsia" w:ascii="仿宋" w:hAnsi="仿宋" w:eastAsia="仿宋" w:cs="黑体"/>
        <w:sz w:val="30"/>
        <w:szCs w:val="30"/>
        <w:lang w:val="en-US"/>
      </w:rPr>
    </w:lvl>
    <w:lvl w:ilvl="1" w:tentative="0">
      <w:start w:val="1"/>
      <w:numFmt w:val="decimal"/>
      <w:pStyle w:val="4"/>
      <w:isLgl/>
      <w:suff w:val="space"/>
      <w:lvlText w:val="%1.%2"/>
      <w:lvlJc w:val="left"/>
      <w:pPr>
        <w:ind w:left="1558" w:firstLine="0"/>
      </w:pPr>
      <w:rPr>
        <w:rFonts w:hint="eastAsia"/>
        <w:b w:val="0"/>
      </w:rPr>
    </w:lvl>
    <w:lvl w:ilvl="2" w:tentative="0">
      <w:start w:val="1"/>
      <w:numFmt w:val="decimal"/>
      <w:lvlText w:val="%1.%2.%3"/>
      <w:lvlJc w:val="left"/>
      <w:pPr>
        <w:tabs>
          <w:tab w:val="left" w:pos="2278"/>
        </w:tabs>
        <w:ind w:left="2278" w:hanging="720"/>
      </w:pPr>
      <w:rPr>
        <w:rFonts w:hint="eastAsia"/>
      </w:rPr>
    </w:lvl>
    <w:lvl w:ilvl="3" w:tentative="0">
      <w:start w:val="1"/>
      <w:numFmt w:val="decimal"/>
      <w:lvlText w:val="%1.%2.%3.%4"/>
      <w:lvlJc w:val="left"/>
      <w:pPr>
        <w:tabs>
          <w:tab w:val="left" w:pos="2422"/>
        </w:tabs>
        <w:ind w:left="2422" w:hanging="864"/>
      </w:pPr>
      <w:rPr>
        <w:rFonts w:hint="eastAsia"/>
      </w:rPr>
    </w:lvl>
    <w:lvl w:ilvl="4" w:tentative="0">
      <w:start w:val="1"/>
      <w:numFmt w:val="decimal"/>
      <w:lvlText w:val="%1.%2.%3.%4.%5"/>
      <w:lvlJc w:val="left"/>
      <w:pPr>
        <w:tabs>
          <w:tab w:val="left" w:pos="2566"/>
        </w:tabs>
        <w:ind w:left="2566" w:hanging="1008"/>
      </w:pPr>
      <w:rPr>
        <w:rFonts w:hint="eastAsia"/>
      </w:rPr>
    </w:lvl>
    <w:lvl w:ilvl="5" w:tentative="0">
      <w:start w:val="1"/>
      <w:numFmt w:val="decimal"/>
      <w:lvlText w:val="%1.%2.%3.%4.%5.%6"/>
      <w:lvlJc w:val="left"/>
      <w:pPr>
        <w:tabs>
          <w:tab w:val="left" w:pos="2710"/>
        </w:tabs>
        <w:ind w:left="2710" w:hanging="1152"/>
      </w:pPr>
      <w:rPr>
        <w:rFonts w:hint="eastAsia"/>
      </w:rPr>
    </w:lvl>
    <w:lvl w:ilvl="6" w:tentative="0">
      <w:start w:val="1"/>
      <w:numFmt w:val="decimal"/>
      <w:lvlText w:val="%1.%2.%3.%4.%5.%6.%7"/>
      <w:lvlJc w:val="left"/>
      <w:pPr>
        <w:tabs>
          <w:tab w:val="left" w:pos="2854"/>
        </w:tabs>
        <w:ind w:left="2854" w:hanging="1296"/>
      </w:pPr>
      <w:rPr>
        <w:rFonts w:hint="eastAsia"/>
      </w:rPr>
    </w:lvl>
    <w:lvl w:ilvl="7" w:tentative="0">
      <w:start w:val="1"/>
      <w:numFmt w:val="decimal"/>
      <w:lvlText w:val="%1.%2.%3.%4.%5.%6.%7.%8"/>
      <w:lvlJc w:val="left"/>
      <w:pPr>
        <w:tabs>
          <w:tab w:val="left" w:pos="2998"/>
        </w:tabs>
        <w:ind w:left="2998" w:hanging="1440"/>
      </w:pPr>
      <w:rPr>
        <w:rFonts w:hint="eastAsia"/>
      </w:rPr>
    </w:lvl>
    <w:lvl w:ilvl="8" w:tentative="0">
      <w:start w:val="1"/>
      <w:numFmt w:val="decimal"/>
      <w:lvlText w:val="%1.%2.%3.%4.%5.%6.%7.%8.%9"/>
      <w:lvlJc w:val="left"/>
      <w:pPr>
        <w:tabs>
          <w:tab w:val="left" w:pos="3142"/>
        </w:tabs>
        <w:ind w:left="3142" w:hanging="1584"/>
      </w:pPr>
      <w:rPr>
        <w:rFonts w:hint="eastAsia"/>
      </w:rPr>
    </w:lvl>
  </w:abstractNum>
  <w:abstractNum w:abstractNumId="1">
    <w:nsid w:val="3F316DE4"/>
    <w:multiLevelType w:val="multilevel"/>
    <w:tmpl w:val="3F316DE4"/>
    <w:lvl w:ilvl="0" w:tentative="0">
      <w:start w:val="1"/>
      <w:numFmt w:val="decimal"/>
      <w:pStyle w:val="66"/>
      <w:lvlText w:val="2.1.%1"/>
      <w:lvlJc w:val="left"/>
      <w:pPr>
        <w:tabs>
          <w:tab w:val="left" w:pos="0"/>
        </w:tabs>
        <w:ind w:left="425" w:hanging="425"/>
      </w:pPr>
      <w:rPr>
        <w:rFonts w:hint="eastAsia"/>
      </w:rPr>
    </w:lvl>
    <w:lvl w:ilvl="1" w:tentative="0">
      <w:start w:val="1"/>
      <w:numFmt w:val="decimal"/>
      <w:lvlText w:val="2.%2 "/>
      <w:lvlJc w:val="left"/>
      <w:pPr>
        <w:tabs>
          <w:tab w:val="left" w:pos="0"/>
        </w:tabs>
        <w:ind w:left="567" w:hanging="567"/>
      </w:pPr>
      <w:rPr>
        <w:rFonts w:hint="eastAsia"/>
      </w:rPr>
    </w:lvl>
    <w:lvl w:ilvl="2" w:tentative="0">
      <w:start w:val="1"/>
      <w:numFmt w:val="decimal"/>
      <w:lvlText w:val="%1.%2.%3."/>
      <w:lvlJc w:val="left"/>
      <w:pPr>
        <w:tabs>
          <w:tab w:val="left" w:pos="0"/>
        </w:tabs>
        <w:ind w:left="709" w:hanging="709"/>
      </w:pPr>
      <w:rPr>
        <w:rFonts w:hint="eastAsia"/>
      </w:rPr>
    </w:lvl>
    <w:lvl w:ilvl="3" w:tentative="0">
      <w:start w:val="1"/>
      <w:numFmt w:val="decimal"/>
      <w:lvlText w:val="%1.%2.%3.%4."/>
      <w:lvlJc w:val="left"/>
      <w:pPr>
        <w:tabs>
          <w:tab w:val="left" w:pos="0"/>
        </w:tabs>
        <w:ind w:left="851" w:hanging="851"/>
      </w:pPr>
      <w:rPr>
        <w:rFonts w:hint="eastAsia"/>
      </w:rPr>
    </w:lvl>
    <w:lvl w:ilvl="4" w:tentative="0">
      <w:start w:val="1"/>
      <w:numFmt w:val="decimal"/>
      <w:lvlText w:val="%1.%2.%3.%4.%5."/>
      <w:lvlJc w:val="left"/>
      <w:pPr>
        <w:tabs>
          <w:tab w:val="left" w:pos="0"/>
        </w:tabs>
        <w:ind w:left="992" w:hanging="992"/>
      </w:pPr>
      <w:rPr>
        <w:rFonts w:hint="eastAsia"/>
      </w:rPr>
    </w:lvl>
    <w:lvl w:ilvl="5" w:tentative="0">
      <w:start w:val="1"/>
      <w:numFmt w:val="decimal"/>
      <w:lvlText w:val="%1.%2.%3.%4.%5.%6."/>
      <w:lvlJc w:val="left"/>
      <w:pPr>
        <w:tabs>
          <w:tab w:val="left" w:pos="0"/>
        </w:tabs>
        <w:ind w:left="1134" w:hanging="1134"/>
      </w:pPr>
      <w:rPr>
        <w:rFonts w:hint="eastAsia"/>
      </w:rPr>
    </w:lvl>
    <w:lvl w:ilvl="6" w:tentative="0">
      <w:start w:val="1"/>
      <w:numFmt w:val="decimal"/>
      <w:lvlText w:val="%1.%2.%3.%4.%5.%6.%7."/>
      <w:lvlJc w:val="left"/>
      <w:pPr>
        <w:tabs>
          <w:tab w:val="left" w:pos="0"/>
        </w:tabs>
        <w:ind w:left="1276" w:hanging="1276"/>
      </w:pPr>
      <w:rPr>
        <w:rFonts w:hint="eastAsia"/>
      </w:rPr>
    </w:lvl>
    <w:lvl w:ilvl="7" w:tentative="0">
      <w:start w:val="1"/>
      <w:numFmt w:val="decimal"/>
      <w:lvlText w:val="%1.%2.%3.%4.%5.%6.%7.%8."/>
      <w:lvlJc w:val="left"/>
      <w:pPr>
        <w:tabs>
          <w:tab w:val="left" w:pos="0"/>
        </w:tabs>
        <w:ind w:left="1418" w:hanging="1418"/>
      </w:pPr>
      <w:rPr>
        <w:rFonts w:hint="eastAsia"/>
      </w:rPr>
    </w:lvl>
    <w:lvl w:ilvl="8" w:tentative="0">
      <w:start w:val="1"/>
      <w:numFmt w:val="decimal"/>
      <w:lvlText w:val="%1.%2.%3.%4.%5.%6.%7.%8.%9."/>
      <w:lvlJc w:val="left"/>
      <w:pPr>
        <w:tabs>
          <w:tab w:val="left" w:pos="0"/>
        </w:tabs>
        <w:ind w:left="1559" w:hanging="1559"/>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JmNjE2OTAyMDU0MTg3MDlkZmFmOWUyNDAwNDdiNGYifQ=="/>
  </w:docVars>
  <w:rsids>
    <w:rsidRoot w:val="00C31D55"/>
    <w:rsid w:val="0000165B"/>
    <w:rsid w:val="00002668"/>
    <w:rsid w:val="000055AC"/>
    <w:rsid w:val="00006DBC"/>
    <w:rsid w:val="00010A3E"/>
    <w:rsid w:val="00011CD2"/>
    <w:rsid w:val="00011D7E"/>
    <w:rsid w:val="00011F58"/>
    <w:rsid w:val="00014171"/>
    <w:rsid w:val="0001551E"/>
    <w:rsid w:val="00016CEA"/>
    <w:rsid w:val="0001725C"/>
    <w:rsid w:val="00017A4D"/>
    <w:rsid w:val="00020E6D"/>
    <w:rsid w:val="000224F7"/>
    <w:rsid w:val="000227C5"/>
    <w:rsid w:val="00024C77"/>
    <w:rsid w:val="00030333"/>
    <w:rsid w:val="00030B3A"/>
    <w:rsid w:val="00033EFE"/>
    <w:rsid w:val="00034705"/>
    <w:rsid w:val="00035296"/>
    <w:rsid w:val="000352DD"/>
    <w:rsid w:val="000365EA"/>
    <w:rsid w:val="00037097"/>
    <w:rsid w:val="000370FF"/>
    <w:rsid w:val="00040F17"/>
    <w:rsid w:val="00042584"/>
    <w:rsid w:val="00053058"/>
    <w:rsid w:val="00053A52"/>
    <w:rsid w:val="0005497F"/>
    <w:rsid w:val="0005675B"/>
    <w:rsid w:val="00056D8B"/>
    <w:rsid w:val="000577B3"/>
    <w:rsid w:val="000578CD"/>
    <w:rsid w:val="0005799E"/>
    <w:rsid w:val="000618EA"/>
    <w:rsid w:val="00062477"/>
    <w:rsid w:val="00065357"/>
    <w:rsid w:val="00071DBA"/>
    <w:rsid w:val="000728EA"/>
    <w:rsid w:val="0007666E"/>
    <w:rsid w:val="00080C1A"/>
    <w:rsid w:val="00082069"/>
    <w:rsid w:val="00083045"/>
    <w:rsid w:val="000833CB"/>
    <w:rsid w:val="00084E3F"/>
    <w:rsid w:val="00085AEB"/>
    <w:rsid w:val="00092C2E"/>
    <w:rsid w:val="00094D41"/>
    <w:rsid w:val="00096339"/>
    <w:rsid w:val="000A28DA"/>
    <w:rsid w:val="000A4409"/>
    <w:rsid w:val="000A688C"/>
    <w:rsid w:val="000A7250"/>
    <w:rsid w:val="000A7D58"/>
    <w:rsid w:val="000B11A0"/>
    <w:rsid w:val="000B42FE"/>
    <w:rsid w:val="000B5724"/>
    <w:rsid w:val="000C17AA"/>
    <w:rsid w:val="000C29FA"/>
    <w:rsid w:val="000C3D44"/>
    <w:rsid w:val="000C489F"/>
    <w:rsid w:val="000C5934"/>
    <w:rsid w:val="000C70D2"/>
    <w:rsid w:val="000D02BB"/>
    <w:rsid w:val="000D160F"/>
    <w:rsid w:val="000D3662"/>
    <w:rsid w:val="000D54F8"/>
    <w:rsid w:val="000D6614"/>
    <w:rsid w:val="000D6E29"/>
    <w:rsid w:val="000D6FBE"/>
    <w:rsid w:val="000E5C95"/>
    <w:rsid w:val="000E5E7C"/>
    <w:rsid w:val="000E5FA8"/>
    <w:rsid w:val="000E6277"/>
    <w:rsid w:val="000F2D35"/>
    <w:rsid w:val="000F5FE5"/>
    <w:rsid w:val="000F6FE1"/>
    <w:rsid w:val="001014D5"/>
    <w:rsid w:val="00104FC5"/>
    <w:rsid w:val="00105AA5"/>
    <w:rsid w:val="00105B57"/>
    <w:rsid w:val="001060EC"/>
    <w:rsid w:val="00106A2A"/>
    <w:rsid w:val="0011219E"/>
    <w:rsid w:val="00112D23"/>
    <w:rsid w:val="001135CE"/>
    <w:rsid w:val="00117CA9"/>
    <w:rsid w:val="00123B7D"/>
    <w:rsid w:val="00124678"/>
    <w:rsid w:val="0012786A"/>
    <w:rsid w:val="0013034C"/>
    <w:rsid w:val="0013062F"/>
    <w:rsid w:val="00131658"/>
    <w:rsid w:val="0013411C"/>
    <w:rsid w:val="001345BD"/>
    <w:rsid w:val="00136B87"/>
    <w:rsid w:val="0013763D"/>
    <w:rsid w:val="001404C4"/>
    <w:rsid w:val="001453C5"/>
    <w:rsid w:val="00147621"/>
    <w:rsid w:val="0014762A"/>
    <w:rsid w:val="00147FB5"/>
    <w:rsid w:val="00151447"/>
    <w:rsid w:val="00151FAB"/>
    <w:rsid w:val="0015329D"/>
    <w:rsid w:val="00154B29"/>
    <w:rsid w:val="00154BF3"/>
    <w:rsid w:val="00157313"/>
    <w:rsid w:val="001609CF"/>
    <w:rsid w:val="00161FB9"/>
    <w:rsid w:val="00162672"/>
    <w:rsid w:val="00162D92"/>
    <w:rsid w:val="00163258"/>
    <w:rsid w:val="001636DE"/>
    <w:rsid w:val="00167A90"/>
    <w:rsid w:val="00172446"/>
    <w:rsid w:val="001730DF"/>
    <w:rsid w:val="001738F1"/>
    <w:rsid w:val="001759B2"/>
    <w:rsid w:val="00175A52"/>
    <w:rsid w:val="00177676"/>
    <w:rsid w:val="00180594"/>
    <w:rsid w:val="001872B3"/>
    <w:rsid w:val="001920C1"/>
    <w:rsid w:val="00193956"/>
    <w:rsid w:val="00193D2E"/>
    <w:rsid w:val="001959D9"/>
    <w:rsid w:val="00195AC0"/>
    <w:rsid w:val="001965D6"/>
    <w:rsid w:val="001A116E"/>
    <w:rsid w:val="001A1846"/>
    <w:rsid w:val="001A226A"/>
    <w:rsid w:val="001A3E12"/>
    <w:rsid w:val="001A5077"/>
    <w:rsid w:val="001A5F66"/>
    <w:rsid w:val="001A60DB"/>
    <w:rsid w:val="001A780A"/>
    <w:rsid w:val="001B1B6F"/>
    <w:rsid w:val="001B5F1D"/>
    <w:rsid w:val="001C00DC"/>
    <w:rsid w:val="001C1EB7"/>
    <w:rsid w:val="001C3919"/>
    <w:rsid w:val="001C5180"/>
    <w:rsid w:val="001C54D4"/>
    <w:rsid w:val="001C6E87"/>
    <w:rsid w:val="001C7286"/>
    <w:rsid w:val="001D1377"/>
    <w:rsid w:val="001D23D9"/>
    <w:rsid w:val="001D2705"/>
    <w:rsid w:val="001D375F"/>
    <w:rsid w:val="001D6C53"/>
    <w:rsid w:val="001D73F4"/>
    <w:rsid w:val="001E16C1"/>
    <w:rsid w:val="001E371B"/>
    <w:rsid w:val="001E56B6"/>
    <w:rsid w:val="001E653F"/>
    <w:rsid w:val="001F1C2F"/>
    <w:rsid w:val="001F2993"/>
    <w:rsid w:val="001F48E2"/>
    <w:rsid w:val="001F4E78"/>
    <w:rsid w:val="001F504F"/>
    <w:rsid w:val="001F69E2"/>
    <w:rsid w:val="001F7C0B"/>
    <w:rsid w:val="00200232"/>
    <w:rsid w:val="00200BEA"/>
    <w:rsid w:val="002065EB"/>
    <w:rsid w:val="00207266"/>
    <w:rsid w:val="00207358"/>
    <w:rsid w:val="00211523"/>
    <w:rsid w:val="002133FD"/>
    <w:rsid w:val="00213B1C"/>
    <w:rsid w:val="00220C69"/>
    <w:rsid w:val="00223BB5"/>
    <w:rsid w:val="00224456"/>
    <w:rsid w:val="00224609"/>
    <w:rsid w:val="0022501D"/>
    <w:rsid w:val="00226F02"/>
    <w:rsid w:val="00227DB7"/>
    <w:rsid w:val="0023339D"/>
    <w:rsid w:val="00233F18"/>
    <w:rsid w:val="0023456B"/>
    <w:rsid w:val="00235732"/>
    <w:rsid w:val="002374C3"/>
    <w:rsid w:val="00237DAF"/>
    <w:rsid w:val="00240411"/>
    <w:rsid w:val="0024300F"/>
    <w:rsid w:val="002430DE"/>
    <w:rsid w:val="0024425A"/>
    <w:rsid w:val="00244D52"/>
    <w:rsid w:val="00247321"/>
    <w:rsid w:val="00247884"/>
    <w:rsid w:val="00247E4F"/>
    <w:rsid w:val="0025096F"/>
    <w:rsid w:val="00251698"/>
    <w:rsid w:val="002556C1"/>
    <w:rsid w:val="00256494"/>
    <w:rsid w:val="0025755F"/>
    <w:rsid w:val="002619D3"/>
    <w:rsid w:val="00262084"/>
    <w:rsid w:val="00263946"/>
    <w:rsid w:val="00267B75"/>
    <w:rsid w:val="00270E79"/>
    <w:rsid w:val="00273181"/>
    <w:rsid w:val="00274C61"/>
    <w:rsid w:val="00275488"/>
    <w:rsid w:val="00276170"/>
    <w:rsid w:val="00277361"/>
    <w:rsid w:val="00280046"/>
    <w:rsid w:val="002808C2"/>
    <w:rsid w:val="00281895"/>
    <w:rsid w:val="00282C00"/>
    <w:rsid w:val="002848E8"/>
    <w:rsid w:val="00285002"/>
    <w:rsid w:val="002912E5"/>
    <w:rsid w:val="00296FB0"/>
    <w:rsid w:val="002977C3"/>
    <w:rsid w:val="002A31A6"/>
    <w:rsid w:val="002A4CAD"/>
    <w:rsid w:val="002A57B4"/>
    <w:rsid w:val="002A606C"/>
    <w:rsid w:val="002A63D6"/>
    <w:rsid w:val="002B07CB"/>
    <w:rsid w:val="002B271D"/>
    <w:rsid w:val="002B2DBC"/>
    <w:rsid w:val="002B610A"/>
    <w:rsid w:val="002C0317"/>
    <w:rsid w:val="002C11FE"/>
    <w:rsid w:val="002C1A9F"/>
    <w:rsid w:val="002C1F7C"/>
    <w:rsid w:val="002C446D"/>
    <w:rsid w:val="002C4DE8"/>
    <w:rsid w:val="002C607F"/>
    <w:rsid w:val="002C6F2C"/>
    <w:rsid w:val="002C7F8D"/>
    <w:rsid w:val="002D0673"/>
    <w:rsid w:val="002D3C6B"/>
    <w:rsid w:val="002D3F7C"/>
    <w:rsid w:val="002D5AC3"/>
    <w:rsid w:val="002E4A6B"/>
    <w:rsid w:val="002E5A36"/>
    <w:rsid w:val="002E7F6B"/>
    <w:rsid w:val="002F140F"/>
    <w:rsid w:val="002F4C62"/>
    <w:rsid w:val="002F5548"/>
    <w:rsid w:val="002F5C10"/>
    <w:rsid w:val="00302D18"/>
    <w:rsid w:val="00304BAC"/>
    <w:rsid w:val="00304D7F"/>
    <w:rsid w:val="0030539C"/>
    <w:rsid w:val="003066EF"/>
    <w:rsid w:val="003109D7"/>
    <w:rsid w:val="00311FBD"/>
    <w:rsid w:val="003152EC"/>
    <w:rsid w:val="003168DE"/>
    <w:rsid w:val="003179F8"/>
    <w:rsid w:val="00317C08"/>
    <w:rsid w:val="00317F76"/>
    <w:rsid w:val="00321868"/>
    <w:rsid w:val="003225E3"/>
    <w:rsid w:val="00324A2F"/>
    <w:rsid w:val="00325CE2"/>
    <w:rsid w:val="00326B9B"/>
    <w:rsid w:val="003305F0"/>
    <w:rsid w:val="00331D34"/>
    <w:rsid w:val="00332EBF"/>
    <w:rsid w:val="003336F4"/>
    <w:rsid w:val="003350E5"/>
    <w:rsid w:val="00340248"/>
    <w:rsid w:val="00342CA6"/>
    <w:rsid w:val="00343793"/>
    <w:rsid w:val="0034452F"/>
    <w:rsid w:val="00345331"/>
    <w:rsid w:val="003471DD"/>
    <w:rsid w:val="00350958"/>
    <w:rsid w:val="00352D6D"/>
    <w:rsid w:val="00356B6A"/>
    <w:rsid w:val="003574EF"/>
    <w:rsid w:val="00361CD2"/>
    <w:rsid w:val="00363BAE"/>
    <w:rsid w:val="0036480C"/>
    <w:rsid w:val="00365051"/>
    <w:rsid w:val="003653EE"/>
    <w:rsid w:val="0036572F"/>
    <w:rsid w:val="00370088"/>
    <w:rsid w:val="00374A9F"/>
    <w:rsid w:val="00374FD7"/>
    <w:rsid w:val="00375173"/>
    <w:rsid w:val="00375782"/>
    <w:rsid w:val="00380A80"/>
    <w:rsid w:val="00381F8E"/>
    <w:rsid w:val="00382623"/>
    <w:rsid w:val="00382A74"/>
    <w:rsid w:val="0038337F"/>
    <w:rsid w:val="00384CFA"/>
    <w:rsid w:val="00387449"/>
    <w:rsid w:val="00387BE1"/>
    <w:rsid w:val="00395628"/>
    <w:rsid w:val="003966A4"/>
    <w:rsid w:val="0039700E"/>
    <w:rsid w:val="003A0269"/>
    <w:rsid w:val="003A22F2"/>
    <w:rsid w:val="003A39EF"/>
    <w:rsid w:val="003A4129"/>
    <w:rsid w:val="003A61A5"/>
    <w:rsid w:val="003A6864"/>
    <w:rsid w:val="003A7B17"/>
    <w:rsid w:val="003B0E45"/>
    <w:rsid w:val="003B3BED"/>
    <w:rsid w:val="003B4431"/>
    <w:rsid w:val="003B5210"/>
    <w:rsid w:val="003B5605"/>
    <w:rsid w:val="003B5EB6"/>
    <w:rsid w:val="003B67A3"/>
    <w:rsid w:val="003B6D44"/>
    <w:rsid w:val="003B7A81"/>
    <w:rsid w:val="003C1CA7"/>
    <w:rsid w:val="003C61E9"/>
    <w:rsid w:val="003C7561"/>
    <w:rsid w:val="003C7928"/>
    <w:rsid w:val="003C7C54"/>
    <w:rsid w:val="003D063B"/>
    <w:rsid w:val="003D1E0B"/>
    <w:rsid w:val="003D1EFA"/>
    <w:rsid w:val="003D2EF6"/>
    <w:rsid w:val="003D41C8"/>
    <w:rsid w:val="003D59E0"/>
    <w:rsid w:val="003D6DC9"/>
    <w:rsid w:val="003E10C1"/>
    <w:rsid w:val="003E794B"/>
    <w:rsid w:val="003F360C"/>
    <w:rsid w:val="003F60F1"/>
    <w:rsid w:val="003F795C"/>
    <w:rsid w:val="00400138"/>
    <w:rsid w:val="004011D2"/>
    <w:rsid w:val="004055F1"/>
    <w:rsid w:val="00407BD1"/>
    <w:rsid w:val="0041267C"/>
    <w:rsid w:val="00412855"/>
    <w:rsid w:val="00414C51"/>
    <w:rsid w:val="004151B4"/>
    <w:rsid w:val="004166D8"/>
    <w:rsid w:val="004223E1"/>
    <w:rsid w:val="004226C7"/>
    <w:rsid w:val="00423970"/>
    <w:rsid w:val="00426B96"/>
    <w:rsid w:val="0043002B"/>
    <w:rsid w:val="004369D4"/>
    <w:rsid w:val="00440AA3"/>
    <w:rsid w:val="004416B7"/>
    <w:rsid w:val="00441BA6"/>
    <w:rsid w:val="00442E9E"/>
    <w:rsid w:val="004463F2"/>
    <w:rsid w:val="004472C3"/>
    <w:rsid w:val="00453075"/>
    <w:rsid w:val="00460838"/>
    <w:rsid w:val="004611AD"/>
    <w:rsid w:val="004627E9"/>
    <w:rsid w:val="00463598"/>
    <w:rsid w:val="004663B1"/>
    <w:rsid w:val="00466DB6"/>
    <w:rsid w:val="00467FDA"/>
    <w:rsid w:val="00470024"/>
    <w:rsid w:val="00473658"/>
    <w:rsid w:val="00474EF6"/>
    <w:rsid w:val="00480BA0"/>
    <w:rsid w:val="00482693"/>
    <w:rsid w:val="00483653"/>
    <w:rsid w:val="00484086"/>
    <w:rsid w:val="0048667A"/>
    <w:rsid w:val="004917CD"/>
    <w:rsid w:val="00492A51"/>
    <w:rsid w:val="00493168"/>
    <w:rsid w:val="00494435"/>
    <w:rsid w:val="00495459"/>
    <w:rsid w:val="00495CD3"/>
    <w:rsid w:val="0049659C"/>
    <w:rsid w:val="004A0AAD"/>
    <w:rsid w:val="004A2717"/>
    <w:rsid w:val="004A4E12"/>
    <w:rsid w:val="004A51B2"/>
    <w:rsid w:val="004B19C9"/>
    <w:rsid w:val="004B1AF0"/>
    <w:rsid w:val="004B3224"/>
    <w:rsid w:val="004B3E69"/>
    <w:rsid w:val="004B4B2C"/>
    <w:rsid w:val="004B598A"/>
    <w:rsid w:val="004C0763"/>
    <w:rsid w:val="004C180A"/>
    <w:rsid w:val="004C3243"/>
    <w:rsid w:val="004C48F0"/>
    <w:rsid w:val="004C6542"/>
    <w:rsid w:val="004D0B16"/>
    <w:rsid w:val="004D0C03"/>
    <w:rsid w:val="004D0FD1"/>
    <w:rsid w:val="004D1F26"/>
    <w:rsid w:val="004D4E05"/>
    <w:rsid w:val="004D5644"/>
    <w:rsid w:val="004D7389"/>
    <w:rsid w:val="004E0367"/>
    <w:rsid w:val="004E2D38"/>
    <w:rsid w:val="004E75CF"/>
    <w:rsid w:val="004F1E70"/>
    <w:rsid w:val="004F3C3B"/>
    <w:rsid w:val="004F3DD9"/>
    <w:rsid w:val="005018B4"/>
    <w:rsid w:val="00501BCD"/>
    <w:rsid w:val="00502E90"/>
    <w:rsid w:val="005043A5"/>
    <w:rsid w:val="005058EC"/>
    <w:rsid w:val="0050609C"/>
    <w:rsid w:val="005075AC"/>
    <w:rsid w:val="00510D2F"/>
    <w:rsid w:val="00511842"/>
    <w:rsid w:val="005151D8"/>
    <w:rsid w:val="0051562E"/>
    <w:rsid w:val="00520A6A"/>
    <w:rsid w:val="00520B2D"/>
    <w:rsid w:val="00522632"/>
    <w:rsid w:val="0052403E"/>
    <w:rsid w:val="00524463"/>
    <w:rsid w:val="00525620"/>
    <w:rsid w:val="005311D5"/>
    <w:rsid w:val="00532CA9"/>
    <w:rsid w:val="00532F29"/>
    <w:rsid w:val="00533254"/>
    <w:rsid w:val="0053395D"/>
    <w:rsid w:val="0053413A"/>
    <w:rsid w:val="00534635"/>
    <w:rsid w:val="005374CA"/>
    <w:rsid w:val="00540406"/>
    <w:rsid w:val="00540447"/>
    <w:rsid w:val="00541945"/>
    <w:rsid w:val="005444AC"/>
    <w:rsid w:val="0054467D"/>
    <w:rsid w:val="00546886"/>
    <w:rsid w:val="00550136"/>
    <w:rsid w:val="005505A9"/>
    <w:rsid w:val="00550949"/>
    <w:rsid w:val="00553F1D"/>
    <w:rsid w:val="00554471"/>
    <w:rsid w:val="00554704"/>
    <w:rsid w:val="0055501B"/>
    <w:rsid w:val="00555AB6"/>
    <w:rsid w:val="00560349"/>
    <w:rsid w:val="00562135"/>
    <w:rsid w:val="00563240"/>
    <w:rsid w:val="005637E0"/>
    <w:rsid w:val="0056635B"/>
    <w:rsid w:val="00566416"/>
    <w:rsid w:val="00566CB6"/>
    <w:rsid w:val="00566F4D"/>
    <w:rsid w:val="0057081A"/>
    <w:rsid w:val="00571A6D"/>
    <w:rsid w:val="00573B44"/>
    <w:rsid w:val="00575725"/>
    <w:rsid w:val="00575A46"/>
    <w:rsid w:val="0057749B"/>
    <w:rsid w:val="00581791"/>
    <w:rsid w:val="00581B38"/>
    <w:rsid w:val="00585F0B"/>
    <w:rsid w:val="00586787"/>
    <w:rsid w:val="00587B7E"/>
    <w:rsid w:val="00590759"/>
    <w:rsid w:val="00591493"/>
    <w:rsid w:val="0059326F"/>
    <w:rsid w:val="00596569"/>
    <w:rsid w:val="0059660B"/>
    <w:rsid w:val="00596A81"/>
    <w:rsid w:val="005A0413"/>
    <w:rsid w:val="005A3404"/>
    <w:rsid w:val="005A53F6"/>
    <w:rsid w:val="005B1A74"/>
    <w:rsid w:val="005B7080"/>
    <w:rsid w:val="005B7341"/>
    <w:rsid w:val="005C0188"/>
    <w:rsid w:val="005C2992"/>
    <w:rsid w:val="005C3F69"/>
    <w:rsid w:val="005C41A4"/>
    <w:rsid w:val="005D0D2A"/>
    <w:rsid w:val="005D7701"/>
    <w:rsid w:val="005D7995"/>
    <w:rsid w:val="005D7D9C"/>
    <w:rsid w:val="005E1417"/>
    <w:rsid w:val="005E1FD8"/>
    <w:rsid w:val="005E30A9"/>
    <w:rsid w:val="005E447F"/>
    <w:rsid w:val="005E4B3B"/>
    <w:rsid w:val="005E66F2"/>
    <w:rsid w:val="005E739F"/>
    <w:rsid w:val="005F0D66"/>
    <w:rsid w:val="005F0E61"/>
    <w:rsid w:val="005F14FF"/>
    <w:rsid w:val="005F191F"/>
    <w:rsid w:val="005F2BD7"/>
    <w:rsid w:val="005F5AC7"/>
    <w:rsid w:val="00600577"/>
    <w:rsid w:val="006005BD"/>
    <w:rsid w:val="00601605"/>
    <w:rsid w:val="00603B48"/>
    <w:rsid w:val="00604197"/>
    <w:rsid w:val="00604E93"/>
    <w:rsid w:val="00605529"/>
    <w:rsid w:val="00605734"/>
    <w:rsid w:val="006072F4"/>
    <w:rsid w:val="00611644"/>
    <w:rsid w:val="00611704"/>
    <w:rsid w:val="00612445"/>
    <w:rsid w:val="00613BB9"/>
    <w:rsid w:val="00613DC7"/>
    <w:rsid w:val="00616F6D"/>
    <w:rsid w:val="00620370"/>
    <w:rsid w:val="0062180D"/>
    <w:rsid w:val="00622D0E"/>
    <w:rsid w:val="00622DAE"/>
    <w:rsid w:val="00624CD7"/>
    <w:rsid w:val="00624F0F"/>
    <w:rsid w:val="00626B78"/>
    <w:rsid w:val="006272D3"/>
    <w:rsid w:val="006277CE"/>
    <w:rsid w:val="00627A32"/>
    <w:rsid w:val="00627C51"/>
    <w:rsid w:val="00627DA7"/>
    <w:rsid w:val="00630BBC"/>
    <w:rsid w:val="006334C8"/>
    <w:rsid w:val="006336BB"/>
    <w:rsid w:val="00633F49"/>
    <w:rsid w:val="00634CE0"/>
    <w:rsid w:val="00644533"/>
    <w:rsid w:val="006458CA"/>
    <w:rsid w:val="00646026"/>
    <w:rsid w:val="00646477"/>
    <w:rsid w:val="00652DE7"/>
    <w:rsid w:val="0065606C"/>
    <w:rsid w:val="006617C2"/>
    <w:rsid w:val="006620D5"/>
    <w:rsid w:val="00662A9F"/>
    <w:rsid w:val="00663485"/>
    <w:rsid w:val="00665858"/>
    <w:rsid w:val="00665C66"/>
    <w:rsid w:val="00674D19"/>
    <w:rsid w:val="00675408"/>
    <w:rsid w:val="00676907"/>
    <w:rsid w:val="00676DE5"/>
    <w:rsid w:val="00681090"/>
    <w:rsid w:val="006829BB"/>
    <w:rsid w:val="00687D68"/>
    <w:rsid w:val="00696195"/>
    <w:rsid w:val="0069737B"/>
    <w:rsid w:val="0069750C"/>
    <w:rsid w:val="006A0495"/>
    <w:rsid w:val="006A0780"/>
    <w:rsid w:val="006A30FA"/>
    <w:rsid w:val="006A3295"/>
    <w:rsid w:val="006A46D6"/>
    <w:rsid w:val="006A70F0"/>
    <w:rsid w:val="006A7278"/>
    <w:rsid w:val="006A765E"/>
    <w:rsid w:val="006A7E5B"/>
    <w:rsid w:val="006B17CB"/>
    <w:rsid w:val="006B201B"/>
    <w:rsid w:val="006B3FA1"/>
    <w:rsid w:val="006B4F22"/>
    <w:rsid w:val="006B7742"/>
    <w:rsid w:val="006C236D"/>
    <w:rsid w:val="006C3531"/>
    <w:rsid w:val="006C6482"/>
    <w:rsid w:val="006C65C2"/>
    <w:rsid w:val="006C7D48"/>
    <w:rsid w:val="006D0F80"/>
    <w:rsid w:val="006D11FE"/>
    <w:rsid w:val="006D13F8"/>
    <w:rsid w:val="006D22B8"/>
    <w:rsid w:val="006D3FB9"/>
    <w:rsid w:val="006D66F4"/>
    <w:rsid w:val="006D6BBD"/>
    <w:rsid w:val="006D7210"/>
    <w:rsid w:val="006D7F41"/>
    <w:rsid w:val="006E06C0"/>
    <w:rsid w:val="006E43A2"/>
    <w:rsid w:val="006E59E3"/>
    <w:rsid w:val="006E7D5D"/>
    <w:rsid w:val="006F0B9C"/>
    <w:rsid w:val="006F0D0A"/>
    <w:rsid w:val="006F631A"/>
    <w:rsid w:val="00700BFB"/>
    <w:rsid w:val="00701BD1"/>
    <w:rsid w:val="00701F43"/>
    <w:rsid w:val="007021A9"/>
    <w:rsid w:val="00702824"/>
    <w:rsid w:val="0070439D"/>
    <w:rsid w:val="007051C7"/>
    <w:rsid w:val="00706B3A"/>
    <w:rsid w:val="00711198"/>
    <w:rsid w:val="007116E6"/>
    <w:rsid w:val="00712629"/>
    <w:rsid w:val="007150CD"/>
    <w:rsid w:val="00716D73"/>
    <w:rsid w:val="00721AFA"/>
    <w:rsid w:val="00726076"/>
    <w:rsid w:val="007275F8"/>
    <w:rsid w:val="00727BFE"/>
    <w:rsid w:val="00730C47"/>
    <w:rsid w:val="00734886"/>
    <w:rsid w:val="007365B8"/>
    <w:rsid w:val="00736D87"/>
    <w:rsid w:val="0074255B"/>
    <w:rsid w:val="00747804"/>
    <w:rsid w:val="007522AE"/>
    <w:rsid w:val="00753187"/>
    <w:rsid w:val="007537A3"/>
    <w:rsid w:val="007554FA"/>
    <w:rsid w:val="00755862"/>
    <w:rsid w:val="00755A5D"/>
    <w:rsid w:val="007632BA"/>
    <w:rsid w:val="0077014F"/>
    <w:rsid w:val="00770312"/>
    <w:rsid w:val="007707C0"/>
    <w:rsid w:val="00774A4B"/>
    <w:rsid w:val="007771B9"/>
    <w:rsid w:val="007801B9"/>
    <w:rsid w:val="007819BB"/>
    <w:rsid w:val="007842B2"/>
    <w:rsid w:val="007853CA"/>
    <w:rsid w:val="00786E0B"/>
    <w:rsid w:val="00787E47"/>
    <w:rsid w:val="00787F31"/>
    <w:rsid w:val="00790301"/>
    <w:rsid w:val="00793ADF"/>
    <w:rsid w:val="00793EA0"/>
    <w:rsid w:val="00793ECA"/>
    <w:rsid w:val="007953EB"/>
    <w:rsid w:val="00796145"/>
    <w:rsid w:val="007977A5"/>
    <w:rsid w:val="007A1357"/>
    <w:rsid w:val="007A1F68"/>
    <w:rsid w:val="007A23B5"/>
    <w:rsid w:val="007A29EC"/>
    <w:rsid w:val="007A415D"/>
    <w:rsid w:val="007A4915"/>
    <w:rsid w:val="007A583C"/>
    <w:rsid w:val="007B0CB5"/>
    <w:rsid w:val="007B1A1D"/>
    <w:rsid w:val="007B3937"/>
    <w:rsid w:val="007B4048"/>
    <w:rsid w:val="007C12AF"/>
    <w:rsid w:val="007C489B"/>
    <w:rsid w:val="007C73A6"/>
    <w:rsid w:val="007C7554"/>
    <w:rsid w:val="007C7834"/>
    <w:rsid w:val="007D254E"/>
    <w:rsid w:val="007D39B1"/>
    <w:rsid w:val="007D4E97"/>
    <w:rsid w:val="007D5BCD"/>
    <w:rsid w:val="007D6890"/>
    <w:rsid w:val="007D75DE"/>
    <w:rsid w:val="007E0E71"/>
    <w:rsid w:val="007E1CAC"/>
    <w:rsid w:val="007E37FC"/>
    <w:rsid w:val="007F11CF"/>
    <w:rsid w:val="007F2921"/>
    <w:rsid w:val="007F3FB7"/>
    <w:rsid w:val="007F46C4"/>
    <w:rsid w:val="007F6A3D"/>
    <w:rsid w:val="007F75F7"/>
    <w:rsid w:val="007F7D95"/>
    <w:rsid w:val="008042CB"/>
    <w:rsid w:val="00804E62"/>
    <w:rsid w:val="008054E6"/>
    <w:rsid w:val="008066B7"/>
    <w:rsid w:val="00806AC1"/>
    <w:rsid w:val="008070FF"/>
    <w:rsid w:val="00812920"/>
    <w:rsid w:val="008144DF"/>
    <w:rsid w:val="0082056C"/>
    <w:rsid w:val="00820E95"/>
    <w:rsid w:val="00821191"/>
    <w:rsid w:val="00821D94"/>
    <w:rsid w:val="00831D23"/>
    <w:rsid w:val="008324F1"/>
    <w:rsid w:val="008333E3"/>
    <w:rsid w:val="00834E70"/>
    <w:rsid w:val="00835214"/>
    <w:rsid w:val="00835F0D"/>
    <w:rsid w:val="00836263"/>
    <w:rsid w:val="008366A6"/>
    <w:rsid w:val="008403F7"/>
    <w:rsid w:val="00841A04"/>
    <w:rsid w:val="008436EC"/>
    <w:rsid w:val="00843D33"/>
    <w:rsid w:val="00845EAA"/>
    <w:rsid w:val="00850E67"/>
    <w:rsid w:val="00852FA7"/>
    <w:rsid w:val="00860306"/>
    <w:rsid w:val="00860921"/>
    <w:rsid w:val="008612F0"/>
    <w:rsid w:val="008638A2"/>
    <w:rsid w:val="008666F8"/>
    <w:rsid w:val="008703F6"/>
    <w:rsid w:val="00871AB9"/>
    <w:rsid w:val="00875C22"/>
    <w:rsid w:val="00877089"/>
    <w:rsid w:val="008836F3"/>
    <w:rsid w:val="008845FC"/>
    <w:rsid w:val="0088504D"/>
    <w:rsid w:val="008862AB"/>
    <w:rsid w:val="00886CB4"/>
    <w:rsid w:val="00893D17"/>
    <w:rsid w:val="008947A2"/>
    <w:rsid w:val="008953C5"/>
    <w:rsid w:val="008968CC"/>
    <w:rsid w:val="00896CDF"/>
    <w:rsid w:val="008974DB"/>
    <w:rsid w:val="008A3020"/>
    <w:rsid w:val="008A687B"/>
    <w:rsid w:val="008A78FF"/>
    <w:rsid w:val="008B016E"/>
    <w:rsid w:val="008B081C"/>
    <w:rsid w:val="008B16A1"/>
    <w:rsid w:val="008B1FE0"/>
    <w:rsid w:val="008B33A5"/>
    <w:rsid w:val="008C02A0"/>
    <w:rsid w:val="008C0F60"/>
    <w:rsid w:val="008C7458"/>
    <w:rsid w:val="008D123E"/>
    <w:rsid w:val="008D1D1D"/>
    <w:rsid w:val="008D5892"/>
    <w:rsid w:val="008D68B3"/>
    <w:rsid w:val="008D6BF3"/>
    <w:rsid w:val="008D7264"/>
    <w:rsid w:val="008D77D8"/>
    <w:rsid w:val="008E0F1A"/>
    <w:rsid w:val="008E40DA"/>
    <w:rsid w:val="008E4215"/>
    <w:rsid w:val="008E5067"/>
    <w:rsid w:val="008E65A4"/>
    <w:rsid w:val="008E6672"/>
    <w:rsid w:val="008F304D"/>
    <w:rsid w:val="008F49E2"/>
    <w:rsid w:val="008F6F63"/>
    <w:rsid w:val="0090066A"/>
    <w:rsid w:val="00900FD8"/>
    <w:rsid w:val="0090118F"/>
    <w:rsid w:val="00901489"/>
    <w:rsid w:val="00902AAF"/>
    <w:rsid w:val="00903353"/>
    <w:rsid w:val="00903A91"/>
    <w:rsid w:val="009046D8"/>
    <w:rsid w:val="00904E8A"/>
    <w:rsid w:val="00906A56"/>
    <w:rsid w:val="00907876"/>
    <w:rsid w:val="009140F3"/>
    <w:rsid w:val="00915FF9"/>
    <w:rsid w:val="009169E9"/>
    <w:rsid w:val="00916C72"/>
    <w:rsid w:val="00917C14"/>
    <w:rsid w:val="009205A1"/>
    <w:rsid w:val="00920676"/>
    <w:rsid w:val="00920899"/>
    <w:rsid w:val="009212B4"/>
    <w:rsid w:val="00925320"/>
    <w:rsid w:val="00925670"/>
    <w:rsid w:val="0092654B"/>
    <w:rsid w:val="009273D6"/>
    <w:rsid w:val="0092762C"/>
    <w:rsid w:val="0093012C"/>
    <w:rsid w:val="009312CF"/>
    <w:rsid w:val="00931D8A"/>
    <w:rsid w:val="009325B2"/>
    <w:rsid w:val="009357AA"/>
    <w:rsid w:val="00937316"/>
    <w:rsid w:val="00941966"/>
    <w:rsid w:val="00942A0B"/>
    <w:rsid w:val="009430D5"/>
    <w:rsid w:val="00943675"/>
    <w:rsid w:val="009440A6"/>
    <w:rsid w:val="009442CC"/>
    <w:rsid w:val="00944B37"/>
    <w:rsid w:val="00947D8F"/>
    <w:rsid w:val="00954201"/>
    <w:rsid w:val="00954F1A"/>
    <w:rsid w:val="009577FB"/>
    <w:rsid w:val="00960257"/>
    <w:rsid w:val="009603FE"/>
    <w:rsid w:val="00961795"/>
    <w:rsid w:val="00963201"/>
    <w:rsid w:val="00963DEF"/>
    <w:rsid w:val="00964176"/>
    <w:rsid w:val="00964591"/>
    <w:rsid w:val="0096591F"/>
    <w:rsid w:val="0096693D"/>
    <w:rsid w:val="0097126D"/>
    <w:rsid w:val="0097335B"/>
    <w:rsid w:val="00973A50"/>
    <w:rsid w:val="00975F28"/>
    <w:rsid w:val="009770E2"/>
    <w:rsid w:val="0097735E"/>
    <w:rsid w:val="00984AFC"/>
    <w:rsid w:val="00986761"/>
    <w:rsid w:val="0099141B"/>
    <w:rsid w:val="00993093"/>
    <w:rsid w:val="009933A4"/>
    <w:rsid w:val="00994BC6"/>
    <w:rsid w:val="009952A4"/>
    <w:rsid w:val="00995CC5"/>
    <w:rsid w:val="00996E52"/>
    <w:rsid w:val="00997D2F"/>
    <w:rsid w:val="009A2077"/>
    <w:rsid w:val="009A256B"/>
    <w:rsid w:val="009A4828"/>
    <w:rsid w:val="009A486D"/>
    <w:rsid w:val="009A4E50"/>
    <w:rsid w:val="009B0BC3"/>
    <w:rsid w:val="009B2E27"/>
    <w:rsid w:val="009C01D5"/>
    <w:rsid w:val="009C1119"/>
    <w:rsid w:val="009C1A8B"/>
    <w:rsid w:val="009C1EAD"/>
    <w:rsid w:val="009C3607"/>
    <w:rsid w:val="009C60B7"/>
    <w:rsid w:val="009C6B36"/>
    <w:rsid w:val="009D2126"/>
    <w:rsid w:val="009D30D8"/>
    <w:rsid w:val="009D5AA3"/>
    <w:rsid w:val="009D6A68"/>
    <w:rsid w:val="009D6BB8"/>
    <w:rsid w:val="009E013E"/>
    <w:rsid w:val="009E19FE"/>
    <w:rsid w:val="009E29A7"/>
    <w:rsid w:val="009E3752"/>
    <w:rsid w:val="009E5409"/>
    <w:rsid w:val="009E731F"/>
    <w:rsid w:val="009E7AC5"/>
    <w:rsid w:val="009F076F"/>
    <w:rsid w:val="009F116E"/>
    <w:rsid w:val="009F3A67"/>
    <w:rsid w:val="009F509A"/>
    <w:rsid w:val="009F658C"/>
    <w:rsid w:val="009F6C22"/>
    <w:rsid w:val="009F6D84"/>
    <w:rsid w:val="009F6F02"/>
    <w:rsid w:val="009F7966"/>
    <w:rsid w:val="00A01341"/>
    <w:rsid w:val="00A02C8E"/>
    <w:rsid w:val="00A03516"/>
    <w:rsid w:val="00A03EDC"/>
    <w:rsid w:val="00A104A6"/>
    <w:rsid w:val="00A12A9D"/>
    <w:rsid w:val="00A17446"/>
    <w:rsid w:val="00A222DA"/>
    <w:rsid w:val="00A24522"/>
    <w:rsid w:val="00A24F8D"/>
    <w:rsid w:val="00A33D1D"/>
    <w:rsid w:val="00A40251"/>
    <w:rsid w:val="00A4235A"/>
    <w:rsid w:val="00A42EC4"/>
    <w:rsid w:val="00A4377F"/>
    <w:rsid w:val="00A43A60"/>
    <w:rsid w:val="00A54E9E"/>
    <w:rsid w:val="00A5683C"/>
    <w:rsid w:val="00A57914"/>
    <w:rsid w:val="00A615FD"/>
    <w:rsid w:val="00A62733"/>
    <w:rsid w:val="00A63A54"/>
    <w:rsid w:val="00A656CC"/>
    <w:rsid w:val="00A66D95"/>
    <w:rsid w:val="00A67F8A"/>
    <w:rsid w:val="00A7000B"/>
    <w:rsid w:val="00A75BB6"/>
    <w:rsid w:val="00A75C4E"/>
    <w:rsid w:val="00A77220"/>
    <w:rsid w:val="00A77688"/>
    <w:rsid w:val="00A80D48"/>
    <w:rsid w:val="00A8109B"/>
    <w:rsid w:val="00A81F65"/>
    <w:rsid w:val="00A8386D"/>
    <w:rsid w:val="00A84AAE"/>
    <w:rsid w:val="00A8537F"/>
    <w:rsid w:val="00A87503"/>
    <w:rsid w:val="00A9230E"/>
    <w:rsid w:val="00A94C55"/>
    <w:rsid w:val="00A95655"/>
    <w:rsid w:val="00A95D80"/>
    <w:rsid w:val="00A96736"/>
    <w:rsid w:val="00A96C60"/>
    <w:rsid w:val="00A97743"/>
    <w:rsid w:val="00AA2830"/>
    <w:rsid w:val="00AA3A81"/>
    <w:rsid w:val="00AA64DA"/>
    <w:rsid w:val="00AA7BA6"/>
    <w:rsid w:val="00AB3874"/>
    <w:rsid w:val="00AB3E9A"/>
    <w:rsid w:val="00AB6417"/>
    <w:rsid w:val="00AB7849"/>
    <w:rsid w:val="00AC10B6"/>
    <w:rsid w:val="00AC294F"/>
    <w:rsid w:val="00AC2985"/>
    <w:rsid w:val="00AC52E0"/>
    <w:rsid w:val="00AC6A2F"/>
    <w:rsid w:val="00AC6A3E"/>
    <w:rsid w:val="00AD12F9"/>
    <w:rsid w:val="00AD1D21"/>
    <w:rsid w:val="00AD2E07"/>
    <w:rsid w:val="00AD3859"/>
    <w:rsid w:val="00AD4838"/>
    <w:rsid w:val="00AD648C"/>
    <w:rsid w:val="00AD6C2E"/>
    <w:rsid w:val="00AD73AD"/>
    <w:rsid w:val="00AD7C3E"/>
    <w:rsid w:val="00AE5086"/>
    <w:rsid w:val="00AE5BE2"/>
    <w:rsid w:val="00AE633D"/>
    <w:rsid w:val="00AE6AD7"/>
    <w:rsid w:val="00AE74DF"/>
    <w:rsid w:val="00AF0425"/>
    <w:rsid w:val="00AF0F41"/>
    <w:rsid w:val="00AF1CFE"/>
    <w:rsid w:val="00AF221A"/>
    <w:rsid w:val="00AF2714"/>
    <w:rsid w:val="00AF46FC"/>
    <w:rsid w:val="00AF6727"/>
    <w:rsid w:val="00AF6EF8"/>
    <w:rsid w:val="00AF7E7E"/>
    <w:rsid w:val="00B00D17"/>
    <w:rsid w:val="00B01D29"/>
    <w:rsid w:val="00B0250F"/>
    <w:rsid w:val="00B040A0"/>
    <w:rsid w:val="00B046F6"/>
    <w:rsid w:val="00B05CCB"/>
    <w:rsid w:val="00B07369"/>
    <w:rsid w:val="00B07CF5"/>
    <w:rsid w:val="00B11143"/>
    <w:rsid w:val="00B11D22"/>
    <w:rsid w:val="00B11EF8"/>
    <w:rsid w:val="00B203C6"/>
    <w:rsid w:val="00B23F43"/>
    <w:rsid w:val="00B240EF"/>
    <w:rsid w:val="00B2443F"/>
    <w:rsid w:val="00B3059B"/>
    <w:rsid w:val="00B36610"/>
    <w:rsid w:val="00B4510D"/>
    <w:rsid w:val="00B47E12"/>
    <w:rsid w:val="00B51D10"/>
    <w:rsid w:val="00B51F3B"/>
    <w:rsid w:val="00B52F0D"/>
    <w:rsid w:val="00B53E0C"/>
    <w:rsid w:val="00B540D6"/>
    <w:rsid w:val="00B54B12"/>
    <w:rsid w:val="00B55DFC"/>
    <w:rsid w:val="00B6456C"/>
    <w:rsid w:val="00B6701C"/>
    <w:rsid w:val="00B6744E"/>
    <w:rsid w:val="00B6789F"/>
    <w:rsid w:val="00B67BC4"/>
    <w:rsid w:val="00B71A2D"/>
    <w:rsid w:val="00B729A2"/>
    <w:rsid w:val="00B76C86"/>
    <w:rsid w:val="00B77704"/>
    <w:rsid w:val="00B80ED8"/>
    <w:rsid w:val="00B836A4"/>
    <w:rsid w:val="00B8428C"/>
    <w:rsid w:val="00B84C12"/>
    <w:rsid w:val="00B900BE"/>
    <w:rsid w:val="00B91B0D"/>
    <w:rsid w:val="00B9283A"/>
    <w:rsid w:val="00B94251"/>
    <w:rsid w:val="00B9479E"/>
    <w:rsid w:val="00B956F6"/>
    <w:rsid w:val="00BA1F61"/>
    <w:rsid w:val="00BA264B"/>
    <w:rsid w:val="00BA35E5"/>
    <w:rsid w:val="00BA387B"/>
    <w:rsid w:val="00BA3B18"/>
    <w:rsid w:val="00BA41D2"/>
    <w:rsid w:val="00BA54B8"/>
    <w:rsid w:val="00BA588C"/>
    <w:rsid w:val="00BA6504"/>
    <w:rsid w:val="00BA79FF"/>
    <w:rsid w:val="00BA7E01"/>
    <w:rsid w:val="00BB0E67"/>
    <w:rsid w:val="00BB0F2C"/>
    <w:rsid w:val="00BB4751"/>
    <w:rsid w:val="00BB47D2"/>
    <w:rsid w:val="00BC19D8"/>
    <w:rsid w:val="00BC1A5C"/>
    <w:rsid w:val="00BC423E"/>
    <w:rsid w:val="00BC466B"/>
    <w:rsid w:val="00BC49E8"/>
    <w:rsid w:val="00BC4AE2"/>
    <w:rsid w:val="00BC5C6F"/>
    <w:rsid w:val="00BC6A5E"/>
    <w:rsid w:val="00BC6BAD"/>
    <w:rsid w:val="00BD11B0"/>
    <w:rsid w:val="00BD1FFC"/>
    <w:rsid w:val="00BD417A"/>
    <w:rsid w:val="00BD5182"/>
    <w:rsid w:val="00BE04FA"/>
    <w:rsid w:val="00BE2111"/>
    <w:rsid w:val="00BE320A"/>
    <w:rsid w:val="00BE3C86"/>
    <w:rsid w:val="00BF6253"/>
    <w:rsid w:val="00BF6277"/>
    <w:rsid w:val="00BF72E6"/>
    <w:rsid w:val="00BF77DD"/>
    <w:rsid w:val="00BF7E6A"/>
    <w:rsid w:val="00C01BE5"/>
    <w:rsid w:val="00C04EE3"/>
    <w:rsid w:val="00C06549"/>
    <w:rsid w:val="00C06CB7"/>
    <w:rsid w:val="00C1241A"/>
    <w:rsid w:val="00C12D5A"/>
    <w:rsid w:val="00C138E9"/>
    <w:rsid w:val="00C16A75"/>
    <w:rsid w:val="00C17624"/>
    <w:rsid w:val="00C17849"/>
    <w:rsid w:val="00C22026"/>
    <w:rsid w:val="00C24064"/>
    <w:rsid w:val="00C24A21"/>
    <w:rsid w:val="00C24D92"/>
    <w:rsid w:val="00C24E3C"/>
    <w:rsid w:val="00C250E0"/>
    <w:rsid w:val="00C30495"/>
    <w:rsid w:val="00C312EE"/>
    <w:rsid w:val="00C31D55"/>
    <w:rsid w:val="00C31FBD"/>
    <w:rsid w:val="00C349D3"/>
    <w:rsid w:val="00C34ECA"/>
    <w:rsid w:val="00C34FFA"/>
    <w:rsid w:val="00C35435"/>
    <w:rsid w:val="00C3740E"/>
    <w:rsid w:val="00C377A2"/>
    <w:rsid w:val="00C3799C"/>
    <w:rsid w:val="00C403E4"/>
    <w:rsid w:val="00C4048F"/>
    <w:rsid w:val="00C41496"/>
    <w:rsid w:val="00C441A4"/>
    <w:rsid w:val="00C46EB3"/>
    <w:rsid w:val="00C527C1"/>
    <w:rsid w:val="00C55F2D"/>
    <w:rsid w:val="00C61CF0"/>
    <w:rsid w:val="00C67B4F"/>
    <w:rsid w:val="00C703FE"/>
    <w:rsid w:val="00C70483"/>
    <w:rsid w:val="00C745A7"/>
    <w:rsid w:val="00C74BF9"/>
    <w:rsid w:val="00C77E1E"/>
    <w:rsid w:val="00C80BD4"/>
    <w:rsid w:val="00C833BA"/>
    <w:rsid w:val="00C83A12"/>
    <w:rsid w:val="00C84C1D"/>
    <w:rsid w:val="00C87486"/>
    <w:rsid w:val="00C90494"/>
    <w:rsid w:val="00C919D4"/>
    <w:rsid w:val="00C927E2"/>
    <w:rsid w:val="00C9460D"/>
    <w:rsid w:val="00C94F97"/>
    <w:rsid w:val="00C95162"/>
    <w:rsid w:val="00C953EE"/>
    <w:rsid w:val="00C977CB"/>
    <w:rsid w:val="00C97D21"/>
    <w:rsid w:val="00CA1125"/>
    <w:rsid w:val="00CA12EE"/>
    <w:rsid w:val="00CA1727"/>
    <w:rsid w:val="00CA18CC"/>
    <w:rsid w:val="00CA1F2E"/>
    <w:rsid w:val="00CA38E6"/>
    <w:rsid w:val="00CA4A09"/>
    <w:rsid w:val="00CA5EAD"/>
    <w:rsid w:val="00CA6026"/>
    <w:rsid w:val="00CA63EE"/>
    <w:rsid w:val="00CA771D"/>
    <w:rsid w:val="00CB0D91"/>
    <w:rsid w:val="00CB1BA9"/>
    <w:rsid w:val="00CB286E"/>
    <w:rsid w:val="00CB7FF6"/>
    <w:rsid w:val="00CC0A11"/>
    <w:rsid w:val="00CC2048"/>
    <w:rsid w:val="00CC2E48"/>
    <w:rsid w:val="00CC42C8"/>
    <w:rsid w:val="00CC4B7B"/>
    <w:rsid w:val="00CC6B9A"/>
    <w:rsid w:val="00CD06F8"/>
    <w:rsid w:val="00CD40F3"/>
    <w:rsid w:val="00CD41B4"/>
    <w:rsid w:val="00CD46EC"/>
    <w:rsid w:val="00CD53E3"/>
    <w:rsid w:val="00CD6662"/>
    <w:rsid w:val="00CE2706"/>
    <w:rsid w:val="00CE45E9"/>
    <w:rsid w:val="00CE4BF6"/>
    <w:rsid w:val="00CE7AFD"/>
    <w:rsid w:val="00CE7CF5"/>
    <w:rsid w:val="00CF3811"/>
    <w:rsid w:val="00CF4298"/>
    <w:rsid w:val="00CF7939"/>
    <w:rsid w:val="00D0001E"/>
    <w:rsid w:val="00D026CB"/>
    <w:rsid w:val="00D0309F"/>
    <w:rsid w:val="00D03FDD"/>
    <w:rsid w:val="00D04C3C"/>
    <w:rsid w:val="00D053D1"/>
    <w:rsid w:val="00D074A9"/>
    <w:rsid w:val="00D07829"/>
    <w:rsid w:val="00D117CD"/>
    <w:rsid w:val="00D16CE6"/>
    <w:rsid w:val="00D17DDB"/>
    <w:rsid w:val="00D222D5"/>
    <w:rsid w:val="00D25888"/>
    <w:rsid w:val="00D25C84"/>
    <w:rsid w:val="00D27163"/>
    <w:rsid w:val="00D27234"/>
    <w:rsid w:val="00D274FC"/>
    <w:rsid w:val="00D30FD0"/>
    <w:rsid w:val="00D32800"/>
    <w:rsid w:val="00D32FCF"/>
    <w:rsid w:val="00D33F5A"/>
    <w:rsid w:val="00D37AD1"/>
    <w:rsid w:val="00D37C30"/>
    <w:rsid w:val="00D37EA4"/>
    <w:rsid w:val="00D40D1E"/>
    <w:rsid w:val="00D427D9"/>
    <w:rsid w:val="00D4298C"/>
    <w:rsid w:val="00D438E8"/>
    <w:rsid w:val="00D451DE"/>
    <w:rsid w:val="00D459AB"/>
    <w:rsid w:val="00D462BE"/>
    <w:rsid w:val="00D464B4"/>
    <w:rsid w:val="00D46D54"/>
    <w:rsid w:val="00D4771C"/>
    <w:rsid w:val="00D5139D"/>
    <w:rsid w:val="00D53759"/>
    <w:rsid w:val="00D54BB0"/>
    <w:rsid w:val="00D56B38"/>
    <w:rsid w:val="00D57369"/>
    <w:rsid w:val="00D6018C"/>
    <w:rsid w:val="00D6117B"/>
    <w:rsid w:val="00D6391A"/>
    <w:rsid w:val="00D63C2F"/>
    <w:rsid w:val="00D644A2"/>
    <w:rsid w:val="00D64F9C"/>
    <w:rsid w:val="00D70334"/>
    <w:rsid w:val="00D70690"/>
    <w:rsid w:val="00D72C36"/>
    <w:rsid w:val="00D73CA4"/>
    <w:rsid w:val="00D753B9"/>
    <w:rsid w:val="00D755AE"/>
    <w:rsid w:val="00D8044A"/>
    <w:rsid w:val="00D82E64"/>
    <w:rsid w:val="00D8303B"/>
    <w:rsid w:val="00D83E47"/>
    <w:rsid w:val="00D86A7E"/>
    <w:rsid w:val="00D87A3B"/>
    <w:rsid w:val="00D91AD5"/>
    <w:rsid w:val="00D91E43"/>
    <w:rsid w:val="00D92CDF"/>
    <w:rsid w:val="00D93F9F"/>
    <w:rsid w:val="00D95D81"/>
    <w:rsid w:val="00D95F7A"/>
    <w:rsid w:val="00D968E9"/>
    <w:rsid w:val="00DA06C2"/>
    <w:rsid w:val="00DA2E3B"/>
    <w:rsid w:val="00DA7920"/>
    <w:rsid w:val="00DB02F5"/>
    <w:rsid w:val="00DB090B"/>
    <w:rsid w:val="00DB16AC"/>
    <w:rsid w:val="00DB35C9"/>
    <w:rsid w:val="00DB4858"/>
    <w:rsid w:val="00DB7F30"/>
    <w:rsid w:val="00DB7FEE"/>
    <w:rsid w:val="00DC01F1"/>
    <w:rsid w:val="00DC0377"/>
    <w:rsid w:val="00DC0991"/>
    <w:rsid w:val="00DC2336"/>
    <w:rsid w:val="00DC4387"/>
    <w:rsid w:val="00DC61C2"/>
    <w:rsid w:val="00DC64A3"/>
    <w:rsid w:val="00DC6783"/>
    <w:rsid w:val="00DC6922"/>
    <w:rsid w:val="00DD0C4F"/>
    <w:rsid w:val="00DD245F"/>
    <w:rsid w:val="00DD2CAA"/>
    <w:rsid w:val="00DD46B7"/>
    <w:rsid w:val="00DD4C53"/>
    <w:rsid w:val="00DE089E"/>
    <w:rsid w:val="00DE162F"/>
    <w:rsid w:val="00DE33CC"/>
    <w:rsid w:val="00DE48E7"/>
    <w:rsid w:val="00DE7E55"/>
    <w:rsid w:val="00DF0382"/>
    <w:rsid w:val="00DF058D"/>
    <w:rsid w:val="00DF1DF8"/>
    <w:rsid w:val="00DF1E16"/>
    <w:rsid w:val="00DF34A0"/>
    <w:rsid w:val="00DF44A0"/>
    <w:rsid w:val="00DF492D"/>
    <w:rsid w:val="00DF641A"/>
    <w:rsid w:val="00E0027D"/>
    <w:rsid w:val="00E00DC3"/>
    <w:rsid w:val="00E01973"/>
    <w:rsid w:val="00E04293"/>
    <w:rsid w:val="00E05BD4"/>
    <w:rsid w:val="00E07C23"/>
    <w:rsid w:val="00E07D76"/>
    <w:rsid w:val="00E1166D"/>
    <w:rsid w:val="00E14AD1"/>
    <w:rsid w:val="00E15550"/>
    <w:rsid w:val="00E170FE"/>
    <w:rsid w:val="00E202EA"/>
    <w:rsid w:val="00E22DA1"/>
    <w:rsid w:val="00E235F5"/>
    <w:rsid w:val="00E23FD0"/>
    <w:rsid w:val="00E24A83"/>
    <w:rsid w:val="00E2658D"/>
    <w:rsid w:val="00E26B54"/>
    <w:rsid w:val="00E27233"/>
    <w:rsid w:val="00E303DD"/>
    <w:rsid w:val="00E318A8"/>
    <w:rsid w:val="00E33166"/>
    <w:rsid w:val="00E33AC4"/>
    <w:rsid w:val="00E34C21"/>
    <w:rsid w:val="00E35BD2"/>
    <w:rsid w:val="00E36E69"/>
    <w:rsid w:val="00E40871"/>
    <w:rsid w:val="00E42C6A"/>
    <w:rsid w:val="00E4378B"/>
    <w:rsid w:val="00E45E63"/>
    <w:rsid w:val="00E50E8E"/>
    <w:rsid w:val="00E525D7"/>
    <w:rsid w:val="00E52B33"/>
    <w:rsid w:val="00E52B56"/>
    <w:rsid w:val="00E55E07"/>
    <w:rsid w:val="00E5738A"/>
    <w:rsid w:val="00E57ADB"/>
    <w:rsid w:val="00E6188E"/>
    <w:rsid w:val="00E61B73"/>
    <w:rsid w:val="00E61CF3"/>
    <w:rsid w:val="00E6204E"/>
    <w:rsid w:val="00E63619"/>
    <w:rsid w:val="00E64D91"/>
    <w:rsid w:val="00E66AF8"/>
    <w:rsid w:val="00E66B82"/>
    <w:rsid w:val="00E67678"/>
    <w:rsid w:val="00E722D9"/>
    <w:rsid w:val="00E736CF"/>
    <w:rsid w:val="00E73A1F"/>
    <w:rsid w:val="00E746CE"/>
    <w:rsid w:val="00E74A3D"/>
    <w:rsid w:val="00E74BA8"/>
    <w:rsid w:val="00E7560C"/>
    <w:rsid w:val="00E80DBD"/>
    <w:rsid w:val="00E80F8D"/>
    <w:rsid w:val="00E8141E"/>
    <w:rsid w:val="00E82926"/>
    <w:rsid w:val="00E94D41"/>
    <w:rsid w:val="00E96B92"/>
    <w:rsid w:val="00E97D4B"/>
    <w:rsid w:val="00EA0976"/>
    <w:rsid w:val="00EA0A39"/>
    <w:rsid w:val="00EA2D80"/>
    <w:rsid w:val="00EA3D8F"/>
    <w:rsid w:val="00EA43C9"/>
    <w:rsid w:val="00EA4D4A"/>
    <w:rsid w:val="00EA5073"/>
    <w:rsid w:val="00EA710C"/>
    <w:rsid w:val="00EA7789"/>
    <w:rsid w:val="00EB078B"/>
    <w:rsid w:val="00EB2CF2"/>
    <w:rsid w:val="00EB41CF"/>
    <w:rsid w:val="00EB4252"/>
    <w:rsid w:val="00EB461F"/>
    <w:rsid w:val="00EB4F66"/>
    <w:rsid w:val="00EB5BA1"/>
    <w:rsid w:val="00EB6B05"/>
    <w:rsid w:val="00EC0CE4"/>
    <w:rsid w:val="00EC0FDB"/>
    <w:rsid w:val="00EC379E"/>
    <w:rsid w:val="00EC6646"/>
    <w:rsid w:val="00EC77D4"/>
    <w:rsid w:val="00ED0F26"/>
    <w:rsid w:val="00ED1D3A"/>
    <w:rsid w:val="00EE13DE"/>
    <w:rsid w:val="00EE1743"/>
    <w:rsid w:val="00EE1D0B"/>
    <w:rsid w:val="00EE21B0"/>
    <w:rsid w:val="00EE2C34"/>
    <w:rsid w:val="00EE42A7"/>
    <w:rsid w:val="00EE6E7D"/>
    <w:rsid w:val="00EE7B14"/>
    <w:rsid w:val="00EF0026"/>
    <w:rsid w:val="00EF297F"/>
    <w:rsid w:val="00EF7CCB"/>
    <w:rsid w:val="00F01F59"/>
    <w:rsid w:val="00F06007"/>
    <w:rsid w:val="00F061EE"/>
    <w:rsid w:val="00F06EC0"/>
    <w:rsid w:val="00F07870"/>
    <w:rsid w:val="00F07A56"/>
    <w:rsid w:val="00F1214A"/>
    <w:rsid w:val="00F139BE"/>
    <w:rsid w:val="00F145CA"/>
    <w:rsid w:val="00F1711B"/>
    <w:rsid w:val="00F17D57"/>
    <w:rsid w:val="00F21662"/>
    <w:rsid w:val="00F23929"/>
    <w:rsid w:val="00F249BF"/>
    <w:rsid w:val="00F30966"/>
    <w:rsid w:val="00F31777"/>
    <w:rsid w:val="00F31C86"/>
    <w:rsid w:val="00F3224A"/>
    <w:rsid w:val="00F3377A"/>
    <w:rsid w:val="00F34B55"/>
    <w:rsid w:val="00F3567F"/>
    <w:rsid w:val="00F3594E"/>
    <w:rsid w:val="00F410A7"/>
    <w:rsid w:val="00F42AE8"/>
    <w:rsid w:val="00F45016"/>
    <w:rsid w:val="00F50015"/>
    <w:rsid w:val="00F50753"/>
    <w:rsid w:val="00F53A17"/>
    <w:rsid w:val="00F54937"/>
    <w:rsid w:val="00F55ECB"/>
    <w:rsid w:val="00F56591"/>
    <w:rsid w:val="00F567A2"/>
    <w:rsid w:val="00F57CA9"/>
    <w:rsid w:val="00F6202F"/>
    <w:rsid w:val="00F6237D"/>
    <w:rsid w:val="00F644EC"/>
    <w:rsid w:val="00F645E8"/>
    <w:rsid w:val="00F645F7"/>
    <w:rsid w:val="00F64ABD"/>
    <w:rsid w:val="00F65CC2"/>
    <w:rsid w:val="00F70C41"/>
    <w:rsid w:val="00F71905"/>
    <w:rsid w:val="00F73E63"/>
    <w:rsid w:val="00F7512B"/>
    <w:rsid w:val="00F75CF8"/>
    <w:rsid w:val="00F76A45"/>
    <w:rsid w:val="00F76CAA"/>
    <w:rsid w:val="00F76CF5"/>
    <w:rsid w:val="00F80261"/>
    <w:rsid w:val="00F813E2"/>
    <w:rsid w:val="00F82083"/>
    <w:rsid w:val="00F84F8C"/>
    <w:rsid w:val="00F909A0"/>
    <w:rsid w:val="00F90DAF"/>
    <w:rsid w:val="00F91A09"/>
    <w:rsid w:val="00F93AD8"/>
    <w:rsid w:val="00F94372"/>
    <w:rsid w:val="00F94774"/>
    <w:rsid w:val="00FA0074"/>
    <w:rsid w:val="00FA1553"/>
    <w:rsid w:val="00FA6D1B"/>
    <w:rsid w:val="00FA7232"/>
    <w:rsid w:val="00FA73B8"/>
    <w:rsid w:val="00FA78E0"/>
    <w:rsid w:val="00FB0122"/>
    <w:rsid w:val="00FB29A7"/>
    <w:rsid w:val="00FB2E48"/>
    <w:rsid w:val="00FB64F3"/>
    <w:rsid w:val="00FB7CF8"/>
    <w:rsid w:val="00FC0718"/>
    <w:rsid w:val="00FC07C8"/>
    <w:rsid w:val="00FC0E19"/>
    <w:rsid w:val="00FC10C9"/>
    <w:rsid w:val="00FC19CE"/>
    <w:rsid w:val="00FC2236"/>
    <w:rsid w:val="00FC26CF"/>
    <w:rsid w:val="00FC4999"/>
    <w:rsid w:val="00FC6743"/>
    <w:rsid w:val="00FC6E2A"/>
    <w:rsid w:val="00FD1963"/>
    <w:rsid w:val="00FD1D90"/>
    <w:rsid w:val="00FD50A0"/>
    <w:rsid w:val="00FD68C2"/>
    <w:rsid w:val="00FD7AE2"/>
    <w:rsid w:val="00FE1BE7"/>
    <w:rsid w:val="00FE455A"/>
    <w:rsid w:val="00FE4EB5"/>
    <w:rsid w:val="00FF26E6"/>
    <w:rsid w:val="00FF6C26"/>
    <w:rsid w:val="00FF6E9B"/>
    <w:rsid w:val="00FF7593"/>
    <w:rsid w:val="01262FFD"/>
    <w:rsid w:val="0731567F"/>
    <w:rsid w:val="0AF93E29"/>
    <w:rsid w:val="0E1971C4"/>
    <w:rsid w:val="113F78E7"/>
    <w:rsid w:val="118A0CC7"/>
    <w:rsid w:val="12991A0C"/>
    <w:rsid w:val="15810CCC"/>
    <w:rsid w:val="16426DED"/>
    <w:rsid w:val="1787177F"/>
    <w:rsid w:val="1EA362A3"/>
    <w:rsid w:val="283622D5"/>
    <w:rsid w:val="2F6D7EB3"/>
    <w:rsid w:val="33052432"/>
    <w:rsid w:val="360D18F5"/>
    <w:rsid w:val="386C670F"/>
    <w:rsid w:val="38C42D70"/>
    <w:rsid w:val="38CD3A05"/>
    <w:rsid w:val="3ECA604A"/>
    <w:rsid w:val="40FB1B90"/>
    <w:rsid w:val="442F7372"/>
    <w:rsid w:val="45F21921"/>
    <w:rsid w:val="478519A8"/>
    <w:rsid w:val="4A1B38AA"/>
    <w:rsid w:val="4D2804D2"/>
    <w:rsid w:val="581D1822"/>
    <w:rsid w:val="5D534EDD"/>
    <w:rsid w:val="5E0F2BE6"/>
    <w:rsid w:val="6F7F40EE"/>
    <w:rsid w:val="7C9369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uiPriority="39" w:semiHidden="0" w:name="toc 6"/>
    <w:lsdException w:uiPriority="39" w:semiHidden="0" w:name="toc 7"/>
    <w:lsdException w:qFormat="1" w:uiPriority="39" w:semiHidden="0" w:name="toc 8"/>
    <w:lsdException w:qFormat="1" w:uiPriority="39" w:semiHidden="0" w:name="toc 9"/>
    <w:lsdException w:unhideWhenUsed="0" w:uiPriority="0" w:semiHidden="0" w:name="Normal Indent"/>
    <w:lsdException w:uiPriority="0" w:name="footnote text"/>
    <w:lsdException w:qFormat="1" w:unhideWhenUsed="0" w:uiPriority="0" w:semiHidden="0" w:name="annotation text"/>
    <w:lsdException w:qFormat="1"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qFormat="1" w:unhideWhenUsed="0" w:uiPriority="0" w:semiHidden="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iPriority="99" w:semiHidden="0" w:name="Hyperlink"/>
    <w:lsdException w:uiPriority="0" w:name="FollowedHyperlink"/>
    <w:lsdException w:qFormat="1" w:unhideWhenUsed="0" w:uiPriority="22"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0"/>
    <w:pPr>
      <w:keepNext/>
      <w:keepLines/>
      <w:spacing w:before="340" w:after="330" w:line="578" w:lineRule="auto"/>
      <w:jc w:val="center"/>
      <w:outlineLvl w:val="0"/>
    </w:pPr>
    <w:rPr>
      <w:rFonts w:eastAsia="黑体"/>
      <w:bCs/>
      <w:kern w:val="44"/>
      <w:sz w:val="30"/>
      <w:szCs w:val="44"/>
    </w:rPr>
  </w:style>
  <w:style w:type="paragraph" w:styleId="4">
    <w:name w:val="heading 2"/>
    <w:basedOn w:val="1"/>
    <w:next w:val="1"/>
    <w:link w:val="43"/>
    <w:qFormat/>
    <w:uiPriority w:val="0"/>
    <w:pPr>
      <w:keepNext/>
      <w:keepLines/>
      <w:numPr>
        <w:ilvl w:val="1"/>
        <w:numId w:val="1"/>
      </w:numPr>
      <w:spacing w:before="260" w:after="260" w:line="416" w:lineRule="auto"/>
      <w:outlineLvl w:val="1"/>
    </w:pPr>
    <w:rPr>
      <w:rFonts w:ascii="Arial" w:hAnsi="Arial" w:eastAsia="黑体"/>
      <w:bCs/>
      <w:sz w:val="28"/>
      <w:szCs w:val="32"/>
    </w:rPr>
  </w:style>
  <w:style w:type="paragraph" w:styleId="5">
    <w:name w:val="heading 3"/>
    <w:basedOn w:val="1"/>
    <w:next w:val="6"/>
    <w:link w:val="44"/>
    <w:qFormat/>
    <w:uiPriority w:val="0"/>
    <w:pPr>
      <w:keepNext/>
      <w:keepLines/>
      <w:autoSpaceDE w:val="0"/>
      <w:autoSpaceDN w:val="0"/>
      <w:adjustRightInd w:val="0"/>
      <w:spacing w:before="120" w:after="120" w:line="416" w:lineRule="atLeast"/>
      <w:outlineLvl w:val="2"/>
    </w:pPr>
    <w:rPr>
      <w:rFonts w:ascii="黑体" w:eastAsia="黑体"/>
      <w:kern w:val="0"/>
      <w:sz w:val="28"/>
      <w:szCs w:val="20"/>
    </w:rPr>
  </w:style>
  <w:style w:type="paragraph" w:styleId="7">
    <w:name w:val="heading 4"/>
    <w:basedOn w:val="1"/>
    <w:next w:val="1"/>
    <w:qFormat/>
    <w:uiPriority w:val="0"/>
    <w:pPr>
      <w:keepNext/>
      <w:outlineLvl w:val="3"/>
    </w:pPr>
    <w:rPr>
      <w:sz w:val="28"/>
      <w:szCs w:val="20"/>
    </w:rPr>
  </w:style>
  <w:style w:type="paragraph" w:styleId="8">
    <w:name w:val="heading 5"/>
    <w:basedOn w:val="1"/>
    <w:next w:val="1"/>
    <w:qFormat/>
    <w:uiPriority w:val="0"/>
    <w:pPr>
      <w:keepNext/>
      <w:keepLines/>
      <w:spacing w:before="280" w:after="290" w:line="376" w:lineRule="auto"/>
      <w:outlineLvl w:val="4"/>
    </w:pPr>
    <w:rPr>
      <w:b/>
      <w:bCs/>
      <w:sz w:val="28"/>
      <w:szCs w:val="28"/>
    </w:rPr>
  </w:style>
  <w:style w:type="paragraph" w:styleId="9">
    <w:name w:val="heading 6"/>
    <w:basedOn w:val="1"/>
    <w:next w:val="1"/>
    <w:qFormat/>
    <w:uiPriority w:val="0"/>
    <w:pPr>
      <w:keepNext/>
      <w:keepLines/>
      <w:spacing w:before="240" w:after="64" w:line="320" w:lineRule="auto"/>
      <w:outlineLvl w:val="5"/>
    </w:pPr>
    <w:rPr>
      <w:rFonts w:ascii="Arial" w:hAnsi="Arial" w:eastAsia="黑体"/>
      <w:b/>
      <w:bCs/>
      <w:sz w:val="24"/>
    </w:rPr>
  </w:style>
  <w:style w:type="paragraph" w:styleId="10">
    <w:name w:val="heading 7"/>
    <w:basedOn w:val="1"/>
    <w:next w:val="1"/>
    <w:qFormat/>
    <w:uiPriority w:val="0"/>
    <w:pPr>
      <w:keepNext/>
      <w:keepLines/>
      <w:spacing w:before="240" w:after="64" w:line="320" w:lineRule="auto"/>
      <w:outlineLvl w:val="6"/>
    </w:pPr>
    <w:rPr>
      <w:b/>
      <w:bCs/>
      <w:sz w:val="24"/>
    </w:rPr>
  </w:style>
  <w:style w:type="paragraph" w:styleId="11">
    <w:name w:val="heading 8"/>
    <w:basedOn w:val="1"/>
    <w:next w:val="1"/>
    <w:qFormat/>
    <w:uiPriority w:val="0"/>
    <w:pPr>
      <w:keepNext/>
      <w:keepLines/>
      <w:spacing w:before="240" w:after="64" w:line="320" w:lineRule="auto"/>
      <w:outlineLvl w:val="7"/>
    </w:pPr>
    <w:rPr>
      <w:rFonts w:ascii="Arial" w:hAnsi="Arial" w:eastAsia="黑体"/>
      <w:sz w:val="24"/>
    </w:rPr>
  </w:style>
  <w:style w:type="paragraph" w:styleId="12">
    <w:name w:val="heading 9"/>
    <w:basedOn w:val="1"/>
    <w:next w:val="1"/>
    <w:qFormat/>
    <w:uiPriority w:val="0"/>
    <w:pPr>
      <w:keepNext/>
      <w:keepLines/>
      <w:spacing w:before="240" w:after="64" w:line="320" w:lineRule="auto"/>
      <w:outlineLvl w:val="8"/>
    </w:pPr>
    <w:rPr>
      <w:rFonts w:ascii="Arial" w:hAnsi="Arial" w:eastAsia="黑体"/>
      <w:szCs w:val="21"/>
    </w:rPr>
  </w:style>
  <w:style w:type="character" w:default="1" w:styleId="38">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rPr>
      <w:sz w:val="28"/>
      <w:szCs w:val="20"/>
    </w:rPr>
  </w:style>
  <w:style w:type="paragraph" w:styleId="6">
    <w:name w:val="Normal Indent"/>
    <w:basedOn w:val="1"/>
    <w:link w:val="45"/>
    <w:uiPriority w:val="0"/>
    <w:pPr>
      <w:autoSpaceDE w:val="0"/>
      <w:autoSpaceDN w:val="0"/>
      <w:adjustRightInd w:val="0"/>
      <w:spacing w:line="315" w:lineRule="atLeast"/>
      <w:ind w:firstLine="420"/>
      <w:jc w:val="left"/>
    </w:pPr>
    <w:rPr>
      <w:rFonts w:ascii="楷体_GB2312" w:eastAsia="楷体_GB2312"/>
      <w:kern w:val="0"/>
      <w:sz w:val="28"/>
      <w:szCs w:val="20"/>
    </w:rPr>
  </w:style>
  <w:style w:type="paragraph" w:styleId="13">
    <w:name w:val="toc 7"/>
    <w:basedOn w:val="1"/>
    <w:next w:val="1"/>
    <w:unhideWhenUsed/>
    <w:uiPriority w:val="39"/>
    <w:pPr>
      <w:ind w:left="2520" w:leftChars="1200"/>
    </w:pPr>
    <w:rPr>
      <w:rFonts w:ascii="Calibri" w:hAnsi="Calibri"/>
      <w:szCs w:val="22"/>
    </w:rPr>
  </w:style>
  <w:style w:type="paragraph" w:styleId="14">
    <w:name w:val="Document Map"/>
    <w:basedOn w:val="1"/>
    <w:semiHidden/>
    <w:qFormat/>
    <w:uiPriority w:val="0"/>
    <w:rPr>
      <w:rFonts w:ascii="宋体"/>
      <w:sz w:val="18"/>
      <w:szCs w:val="18"/>
    </w:rPr>
  </w:style>
  <w:style w:type="paragraph" w:styleId="15">
    <w:name w:val="annotation text"/>
    <w:basedOn w:val="1"/>
    <w:link w:val="46"/>
    <w:qFormat/>
    <w:uiPriority w:val="0"/>
    <w:pPr>
      <w:jc w:val="left"/>
    </w:pPr>
    <w:rPr>
      <w:szCs w:val="20"/>
    </w:rPr>
  </w:style>
  <w:style w:type="paragraph" w:styleId="16">
    <w:name w:val="Body Text 3"/>
    <w:basedOn w:val="1"/>
    <w:link w:val="47"/>
    <w:qFormat/>
    <w:uiPriority w:val="0"/>
    <w:pPr>
      <w:spacing w:after="120"/>
    </w:pPr>
    <w:rPr>
      <w:sz w:val="16"/>
      <w:szCs w:val="16"/>
    </w:rPr>
  </w:style>
  <w:style w:type="paragraph" w:styleId="17">
    <w:name w:val="Body Text Indent"/>
    <w:basedOn w:val="1"/>
    <w:qFormat/>
    <w:uiPriority w:val="0"/>
    <w:pPr>
      <w:autoSpaceDE w:val="0"/>
      <w:autoSpaceDN w:val="0"/>
      <w:adjustRightInd w:val="0"/>
      <w:spacing w:after="120" w:line="360" w:lineRule="atLeast"/>
      <w:ind w:left="900"/>
    </w:pPr>
    <w:rPr>
      <w:rFonts w:ascii="楷体_GB2312" w:eastAsia="楷体_GB2312"/>
      <w:kern w:val="0"/>
      <w:sz w:val="28"/>
      <w:szCs w:val="20"/>
    </w:rPr>
  </w:style>
  <w:style w:type="paragraph" w:styleId="18">
    <w:name w:val="List 2"/>
    <w:basedOn w:val="1"/>
    <w:qFormat/>
    <w:uiPriority w:val="0"/>
    <w:pPr>
      <w:ind w:left="100" w:leftChars="200" w:hanging="200" w:hangingChars="200"/>
    </w:pPr>
  </w:style>
  <w:style w:type="paragraph" w:styleId="19">
    <w:name w:val="toc 5"/>
    <w:basedOn w:val="1"/>
    <w:next w:val="1"/>
    <w:unhideWhenUsed/>
    <w:qFormat/>
    <w:uiPriority w:val="39"/>
    <w:pPr>
      <w:ind w:left="1680" w:leftChars="800"/>
    </w:pPr>
    <w:rPr>
      <w:rFonts w:ascii="Calibri" w:hAnsi="Calibri"/>
      <w:szCs w:val="22"/>
    </w:rPr>
  </w:style>
  <w:style w:type="paragraph" w:styleId="20">
    <w:name w:val="toc 3"/>
    <w:basedOn w:val="1"/>
    <w:next w:val="1"/>
    <w:qFormat/>
    <w:uiPriority w:val="39"/>
    <w:pPr>
      <w:tabs>
        <w:tab w:val="left" w:pos="1400"/>
        <w:tab w:val="right" w:leader="dot" w:pos="9060"/>
      </w:tabs>
      <w:autoSpaceDE w:val="0"/>
      <w:autoSpaceDN w:val="0"/>
      <w:adjustRightInd w:val="0"/>
      <w:spacing w:line="315" w:lineRule="atLeast"/>
      <w:ind w:left="800"/>
      <w:jc w:val="left"/>
    </w:pPr>
    <w:rPr>
      <w:rFonts w:ascii="宋体" w:hAnsi="宋体"/>
      <w:bCs/>
      <w:kern w:val="0"/>
      <w:sz w:val="20"/>
      <w:szCs w:val="20"/>
    </w:rPr>
  </w:style>
  <w:style w:type="paragraph" w:styleId="21">
    <w:name w:val="Plain Text"/>
    <w:basedOn w:val="1"/>
    <w:qFormat/>
    <w:uiPriority w:val="0"/>
    <w:rPr>
      <w:rFonts w:ascii="宋体" w:hAnsi="Courier New"/>
      <w:szCs w:val="20"/>
    </w:rPr>
  </w:style>
  <w:style w:type="paragraph" w:styleId="22">
    <w:name w:val="toc 8"/>
    <w:basedOn w:val="1"/>
    <w:next w:val="1"/>
    <w:unhideWhenUsed/>
    <w:qFormat/>
    <w:uiPriority w:val="39"/>
    <w:pPr>
      <w:ind w:left="2940" w:leftChars="1400"/>
    </w:pPr>
    <w:rPr>
      <w:rFonts w:ascii="Calibri" w:hAnsi="Calibri"/>
      <w:szCs w:val="22"/>
    </w:rPr>
  </w:style>
  <w:style w:type="paragraph" w:styleId="23">
    <w:name w:val="Date"/>
    <w:basedOn w:val="1"/>
    <w:next w:val="1"/>
    <w:qFormat/>
    <w:uiPriority w:val="0"/>
    <w:pPr>
      <w:ind w:left="100" w:leftChars="2500"/>
    </w:pPr>
    <w:rPr>
      <w:szCs w:val="20"/>
    </w:rPr>
  </w:style>
  <w:style w:type="paragraph" w:styleId="24">
    <w:name w:val="Body Text Indent 2"/>
    <w:basedOn w:val="1"/>
    <w:qFormat/>
    <w:uiPriority w:val="0"/>
    <w:pPr>
      <w:spacing w:line="480" w:lineRule="auto"/>
      <w:ind w:firstLine="480" w:firstLineChars="200"/>
    </w:pPr>
    <w:rPr>
      <w:rFonts w:ascii="仿宋_GB2312" w:hAnsi="宋体" w:eastAsia="仿宋_GB2312"/>
      <w:sz w:val="24"/>
    </w:rPr>
  </w:style>
  <w:style w:type="paragraph" w:styleId="25">
    <w:name w:val="Balloon Text"/>
    <w:basedOn w:val="1"/>
    <w:semiHidden/>
    <w:qFormat/>
    <w:uiPriority w:val="0"/>
    <w:rPr>
      <w:sz w:val="18"/>
      <w:szCs w:val="18"/>
    </w:rPr>
  </w:style>
  <w:style w:type="paragraph" w:styleId="26">
    <w:name w:val="footer"/>
    <w:basedOn w:val="1"/>
    <w:link w:val="48"/>
    <w:uiPriority w:val="0"/>
    <w:pPr>
      <w:tabs>
        <w:tab w:val="center" w:pos="4153"/>
        <w:tab w:val="right" w:pos="8306"/>
      </w:tabs>
      <w:snapToGrid w:val="0"/>
      <w:jc w:val="left"/>
    </w:pPr>
    <w:rPr>
      <w:sz w:val="18"/>
      <w:szCs w:val="18"/>
    </w:rPr>
  </w:style>
  <w:style w:type="paragraph" w:styleId="2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8">
    <w:name w:val="toc 1"/>
    <w:basedOn w:val="1"/>
    <w:next w:val="1"/>
    <w:qFormat/>
    <w:uiPriority w:val="39"/>
    <w:pPr>
      <w:tabs>
        <w:tab w:val="left" w:pos="851"/>
        <w:tab w:val="right" w:leader="dot" w:pos="9072"/>
      </w:tabs>
      <w:autoSpaceDE w:val="0"/>
      <w:autoSpaceDN w:val="0"/>
      <w:adjustRightInd w:val="0"/>
      <w:spacing w:before="120" w:after="120" w:line="315" w:lineRule="atLeast"/>
      <w:ind w:right="120"/>
      <w:jc w:val="right"/>
    </w:pPr>
    <w:rPr>
      <w:rFonts w:eastAsia="黑体"/>
      <w:caps/>
      <w:kern w:val="0"/>
      <w:szCs w:val="21"/>
    </w:rPr>
  </w:style>
  <w:style w:type="paragraph" w:styleId="29">
    <w:name w:val="toc 4"/>
    <w:basedOn w:val="1"/>
    <w:next w:val="1"/>
    <w:unhideWhenUsed/>
    <w:qFormat/>
    <w:uiPriority w:val="39"/>
    <w:pPr>
      <w:ind w:left="1260" w:leftChars="600"/>
    </w:pPr>
    <w:rPr>
      <w:rFonts w:ascii="Calibri" w:hAnsi="Calibri"/>
      <w:szCs w:val="22"/>
    </w:rPr>
  </w:style>
  <w:style w:type="paragraph" w:styleId="30">
    <w:name w:val="toc 6"/>
    <w:basedOn w:val="1"/>
    <w:next w:val="1"/>
    <w:unhideWhenUsed/>
    <w:uiPriority w:val="39"/>
    <w:pPr>
      <w:ind w:left="2100" w:leftChars="1000"/>
    </w:pPr>
    <w:rPr>
      <w:rFonts w:ascii="Calibri" w:hAnsi="Calibri"/>
      <w:szCs w:val="22"/>
    </w:rPr>
  </w:style>
  <w:style w:type="paragraph" w:styleId="31">
    <w:name w:val="Body Text Indent 3"/>
    <w:basedOn w:val="1"/>
    <w:qFormat/>
    <w:uiPriority w:val="0"/>
    <w:pPr>
      <w:spacing w:after="120" w:line="360" w:lineRule="atLeast"/>
      <w:ind w:firstLine="720" w:firstLineChars="300"/>
    </w:pPr>
    <w:rPr>
      <w:sz w:val="24"/>
      <w:szCs w:val="20"/>
    </w:rPr>
  </w:style>
  <w:style w:type="paragraph" w:styleId="32">
    <w:name w:val="toc 2"/>
    <w:basedOn w:val="1"/>
    <w:next w:val="1"/>
    <w:qFormat/>
    <w:uiPriority w:val="39"/>
    <w:pPr>
      <w:tabs>
        <w:tab w:val="right" w:leader="dot" w:pos="9540"/>
      </w:tabs>
      <w:autoSpaceDE w:val="0"/>
      <w:autoSpaceDN w:val="0"/>
      <w:adjustRightInd w:val="0"/>
      <w:spacing w:line="315" w:lineRule="atLeast"/>
      <w:ind w:left="900"/>
      <w:jc w:val="left"/>
    </w:pPr>
    <w:rPr>
      <w:rFonts w:ascii="宋体" w:hAnsi="宋体"/>
      <w:smallCaps/>
      <w:color w:val="000000"/>
      <w:kern w:val="0"/>
      <w:sz w:val="20"/>
      <w:szCs w:val="20"/>
    </w:rPr>
  </w:style>
  <w:style w:type="paragraph" w:styleId="33">
    <w:name w:val="toc 9"/>
    <w:basedOn w:val="1"/>
    <w:next w:val="1"/>
    <w:unhideWhenUsed/>
    <w:qFormat/>
    <w:uiPriority w:val="39"/>
    <w:pPr>
      <w:ind w:left="3360" w:leftChars="1600"/>
    </w:pPr>
    <w:rPr>
      <w:rFonts w:ascii="Calibri" w:hAnsi="Calibri"/>
      <w:szCs w:val="22"/>
    </w:rPr>
  </w:style>
  <w:style w:type="paragraph" w:styleId="34">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35">
    <w:name w:val="Title"/>
    <w:basedOn w:val="1"/>
    <w:next w:val="1"/>
    <w:qFormat/>
    <w:uiPriority w:val="0"/>
    <w:pPr>
      <w:spacing w:before="240" w:after="60"/>
      <w:jc w:val="center"/>
      <w:outlineLvl w:val="0"/>
    </w:pPr>
    <w:rPr>
      <w:rFonts w:ascii="Cambria" w:hAnsi="Cambria"/>
      <w:b/>
      <w:bCs/>
      <w:sz w:val="32"/>
      <w:szCs w:val="32"/>
    </w:rPr>
  </w:style>
  <w:style w:type="paragraph" w:styleId="36">
    <w:name w:val="annotation subject"/>
    <w:basedOn w:val="15"/>
    <w:next w:val="15"/>
    <w:link w:val="49"/>
    <w:semiHidden/>
    <w:qFormat/>
    <w:uiPriority w:val="0"/>
    <w:rPr>
      <w:b/>
      <w:bCs/>
    </w:rPr>
  </w:style>
  <w:style w:type="character" w:styleId="39">
    <w:name w:val="Strong"/>
    <w:qFormat/>
    <w:uiPriority w:val="22"/>
    <w:rPr>
      <w:b/>
      <w:bCs/>
    </w:rPr>
  </w:style>
  <w:style w:type="character" w:styleId="40">
    <w:name w:val="page number"/>
    <w:qFormat/>
    <w:uiPriority w:val="0"/>
  </w:style>
  <w:style w:type="character" w:styleId="41">
    <w:name w:val="Hyperlink"/>
    <w:unhideWhenUsed/>
    <w:qFormat/>
    <w:uiPriority w:val="99"/>
    <w:rPr>
      <w:color w:val="0000FF"/>
      <w:u w:val="single"/>
    </w:rPr>
  </w:style>
  <w:style w:type="character" w:styleId="42">
    <w:name w:val="annotation reference"/>
    <w:qFormat/>
    <w:uiPriority w:val="0"/>
    <w:rPr>
      <w:sz w:val="21"/>
      <w:szCs w:val="21"/>
    </w:rPr>
  </w:style>
  <w:style w:type="character" w:customStyle="1" w:styleId="43">
    <w:name w:val="标题 2 字符"/>
    <w:link w:val="4"/>
    <w:qFormat/>
    <w:uiPriority w:val="0"/>
    <w:rPr>
      <w:rFonts w:ascii="Arial" w:hAnsi="Arial" w:eastAsia="黑体"/>
      <w:bCs/>
      <w:kern w:val="2"/>
      <w:sz w:val="28"/>
      <w:szCs w:val="32"/>
    </w:rPr>
  </w:style>
  <w:style w:type="character" w:customStyle="1" w:styleId="44">
    <w:name w:val="标题 3 字符"/>
    <w:link w:val="5"/>
    <w:qFormat/>
    <w:uiPriority w:val="0"/>
    <w:rPr>
      <w:rFonts w:ascii="黑体" w:eastAsia="黑体"/>
      <w:sz w:val="28"/>
    </w:rPr>
  </w:style>
  <w:style w:type="character" w:customStyle="1" w:styleId="45">
    <w:name w:val="正文缩进 字符"/>
    <w:link w:val="6"/>
    <w:uiPriority w:val="0"/>
    <w:rPr>
      <w:rFonts w:ascii="楷体_GB2312" w:eastAsia="楷体_GB2312"/>
      <w:sz w:val="28"/>
    </w:rPr>
  </w:style>
  <w:style w:type="character" w:customStyle="1" w:styleId="46">
    <w:name w:val="批注文字 字符"/>
    <w:link w:val="15"/>
    <w:qFormat/>
    <w:uiPriority w:val="99"/>
    <w:rPr>
      <w:rFonts w:eastAsia="宋体"/>
      <w:kern w:val="2"/>
      <w:sz w:val="21"/>
      <w:lang w:val="en-US" w:eastAsia="zh-CN" w:bidi="ar-SA"/>
    </w:rPr>
  </w:style>
  <w:style w:type="character" w:customStyle="1" w:styleId="47">
    <w:name w:val="正文文本 3 字符"/>
    <w:link w:val="16"/>
    <w:qFormat/>
    <w:uiPriority w:val="0"/>
    <w:rPr>
      <w:kern w:val="2"/>
      <w:sz w:val="16"/>
      <w:szCs w:val="16"/>
    </w:rPr>
  </w:style>
  <w:style w:type="character" w:customStyle="1" w:styleId="48">
    <w:name w:val="页脚 字符"/>
    <w:link w:val="26"/>
    <w:qFormat/>
    <w:uiPriority w:val="0"/>
    <w:rPr>
      <w:kern w:val="2"/>
      <w:sz w:val="18"/>
      <w:szCs w:val="18"/>
    </w:rPr>
  </w:style>
  <w:style w:type="character" w:customStyle="1" w:styleId="49">
    <w:name w:val="批注主题 字符"/>
    <w:link w:val="36"/>
    <w:qFormat/>
    <w:uiPriority w:val="0"/>
    <w:rPr>
      <w:rFonts w:eastAsia="宋体"/>
      <w:b/>
      <w:bCs/>
      <w:kern w:val="2"/>
      <w:sz w:val="21"/>
      <w:lang w:val="en-US" w:eastAsia="zh-CN" w:bidi="ar-SA"/>
    </w:rPr>
  </w:style>
  <w:style w:type="character" w:customStyle="1" w:styleId="50">
    <w:name w:val="Char Char1"/>
    <w:qFormat/>
    <w:uiPriority w:val="0"/>
    <w:rPr>
      <w:rFonts w:ascii="楷体_GB2312" w:eastAsia="楷体_GB2312"/>
      <w:sz w:val="28"/>
    </w:rPr>
  </w:style>
  <w:style w:type="character" w:customStyle="1" w:styleId="51">
    <w:name w:val="标题 Char"/>
    <w:uiPriority w:val="0"/>
    <w:rPr>
      <w:rFonts w:ascii="Cambria" w:hAnsi="Cambria" w:cs="Times New Roman"/>
      <w:b/>
      <w:bCs/>
      <w:kern w:val="2"/>
      <w:sz w:val="32"/>
      <w:szCs w:val="32"/>
    </w:rPr>
  </w:style>
  <w:style w:type="character" w:customStyle="1" w:styleId="52">
    <w:name w:val="标题 1 Char"/>
    <w:uiPriority w:val="0"/>
    <w:rPr>
      <w:rFonts w:ascii="黑体"/>
      <w:b/>
      <w:kern w:val="44"/>
      <w:sz w:val="32"/>
    </w:rPr>
  </w:style>
  <w:style w:type="paragraph" w:customStyle="1" w:styleId="53">
    <w:name w:val="TOC 标题1"/>
    <w:basedOn w:val="3"/>
    <w:next w:val="1"/>
    <w:qFormat/>
    <w:uiPriority w:val="39"/>
    <w:pPr>
      <w:widowControl/>
      <w:tabs>
        <w:tab w:val="left" w:pos="0"/>
      </w:tabs>
      <w:spacing w:before="480" w:after="0" w:line="276" w:lineRule="auto"/>
      <w:jc w:val="left"/>
      <w:outlineLvl w:val="9"/>
    </w:pPr>
    <w:rPr>
      <w:rFonts w:ascii="Cambria" w:hAnsi="Cambria"/>
      <w:color w:val="365F91"/>
      <w:kern w:val="0"/>
      <w:sz w:val="28"/>
      <w:szCs w:val="28"/>
    </w:rPr>
  </w:style>
  <w:style w:type="paragraph" w:styleId="54">
    <w:name w:val="List Paragraph"/>
    <w:basedOn w:val="1"/>
    <w:qFormat/>
    <w:uiPriority w:val="0"/>
    <w:pPr>
      <w:ind w:firstLine="420" w:firstLineChars="200"/>
    </w:pPr>
    <w:rPr>
      <w:szCs w:val="20"/>
    </w:rPr>
  </w:style>
  <w:style w:type="character" w:customStyle="1" w:styleId="55">
    <w:name w:val="正文文本缩进 Char"/>
    <w:qFormat/>
    <w:uiPriority w:val="0"/>
    <w:rPr>
      <w:rFonts w:ascii="楷体_GB2312" w:eastAsia="楷体_GB2312"/>
      <w:sz w:val="28"/>
    </w:rPr>
  </w:style>
  <w:style w:type="paragraph" w:customStyle="1" w:styleId="56">
    <w:name w:val="Char Char Char Char Char Char Char Char Char Char Char Char Char"/>
    <w:basedOn w:val="14"/>
    <w:qFormat/>
    <w:uiPriority w:val="0"/>
    <w:pPr>
      <w:shd w:val="clear" w:color="auto" w:fill="000080"/>
    </w:pPr>
    <w:rPr>
      <w:rFonts w:ascii="Tahoma" w:hAnsi="Tahoma"/>
      <w:sz w:val="24"/>
      <w:szCs w:val="24"/>
    </w:rPr>
  </w:style>
  <w:style w:type="character" w:customStyle="1" w:styleId="57">
    <w:name w:val="Char Char"/>
    <w:qFormat/>
    <w:uiPriority w:val="0"/>
    <w:rPr>
      <w:rFonts w:ascii="宋体"/>
      <w:kern w:val="2"/>
      <w:sz w:val="18"/>
      <w:szCs w:val="18"/>
    </w:rPr>
  </w:style>
  <w:style w:type="paragraph" w:customStyle="1" w:styleId="58">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59">
    <w:name w:val="Blockquote"/>
    <w:basedOn w:val="1"/>
    <w:qFormat/>
    <w:uiPriority w:val="0"/>
    <w:pPr>
      <w:autoSpaceDE w:val="0"/>
      <w:autoSpaceDN w:val="0"/>
      <w:adjustRightInd w:val="0"/>
      <w:spacing w:before="100" w:after="100"/>
      <w:ind w:left="360" w:right="360"/>
      <w:jc w:val="left"/>
    </w:pPr>
    <w:rPr>
      <w:kern w:val="0"/>
      <w:sz w:val="24"/>
      <w:szCs w:val="20"/>
    </w:rPr>
  </w:style>
  <w:style w:type="character" w:customStyle="1" w:styleId="60">
    <w:name w:val="访问过的超链接1"/>
    <w:qFormat/>
    <w:uiPriority w:val="0"/>
    <w:rPr>
      <w:color w:val="800080"/>
      <w:u w:val="single"/>
    </w:rPr>
  </w:style>
  <w:style w:type="paragraph" w:customStyle="1" w:styleId="61">
    <w:name w:val="bt1bt1"/>
    <w:basedOn w:val="3"/>
    <w:qFormat/>
    <w:uiPriority w:val="0"/>
    <w:pPr>
      <w:tabs>
        <w:tab w:val="left" w:pos="0"/>
      </w:tabs>
      <w:spacing w:line="240" w:lineRule="auto"/>
    </w:pPr>
    <w:rPr>
      <w:rFonts w:ascii="黑体"/>
      <w:sz w:val="36"/>
      <w:szCs w:val="36"/>
    </w:rPr>
  </w:style>
  <w:style w:type="paragraph" w:customStyle="1" w:styleId="62">
    <w:name w:val="新定义正文"/>
    <w:basedOn w:val="1"/>
    <w:qFormat/>
    <w:uiPriority w:val="0"/>
    <w:pPr>
      <w:widowControl/>
    </w:pPr>
    <w:rPr>
      <w:color w:val="000000"/>
      <w:szCs w:val="21"/>
    </w:rPr>
  </w:style>
  <w:style w:type="paragraph" w:customStyle="1" w:styleId="63">
    <w:name w:val="节"/>
    <w:basedOn w:val="4"/>
    <w:qFormat/>
    <w:uiPriority w:val="0"/>
    <w:pPr>
      <w:spacing w:line="240" w:lineRule="auto"/>
    </w:pPr>
    <w:rPr>
      <w:rFonts w:ascii="黑体"/>
      <w:szCs w:val="28"/>
    </w:rPr>
  </w:style>
  <w:style w:type="paragraph" w:customStyle="1" w:styleId="64">
    <w:name w:val="蓝色显示"/>
    <w:basedOn w:val="1"/>
    <w:link w:val="65"/>
    <w:qFormat/>
    <w:uiPriority w:val="0"/>
    <w:pPr>
      <w:spacing w:before="340" w:after="330" w:line="400" w:lineRule="exact"/>
    </w:pPr>
    <w:rPr>
      <w:b/>
      <w:color w:val="0070C0"/>
    </w:rPr>
  </w:style>
  <w:style w:type="character" w:customStyle="1" w:styleId="65">
    <w:name w:val="蓝色显示 Char"/>
    <w:link w:val="64"/>
    <w:qFormat/>
    <w:uiPriority w:val="0"/>
    <w:rPr>
      <w:b/>
      <w:color w:val="0070C0"/>
      <w:kern w:val="2"/>
      <w:sz w:val="21"/>
      <w:szCs w:val="24"/>
    </w:rPr>
  </w:style>
  <w:style w:type="paragraph" w:customStyle="1" w:styleId="66">
    <w:name w:val="标题3"/>
    <w:basedOn w:val="6"/>
    <w:link w:val="67"/>
    <w:qFormat/>
    <w:uiPriority w:val="0"/>
    <w:pPr>
      <w:numPr>
        <w:ilvl w:val="0"/>
        <w:numId w:val="2"/>
      </w:numPr>
      <w:spacing w:line="240" w:lineRule="auto"/>
    </w:pPr>
    <w:rPr>
      <w:rFonts w:ascii="宋体" w:hAnsi="宋体" w:eastAsia="宋体"/>
      <w:color w:val="000000"/>
      <w:sz w:val="21"/>
      <w:szCs w:val="21"/>
    </w:rPr>
  </w:style>
  <w:style w:type="character" w:customStyle="1" w:styleId="67">
    <w:name w:val="标题3 Char"/>
    <w:link w:val="66"/>
    <w:qFormat/>
    <w:uiPriority w:val="0"/>
    <w:rPr>
      <w:rFonts w:ascii="宋体" w:hAnsi="宋体" w:eastAsia="楷体_GB2312"/>
      <w:color w:val="000000"/>
      <w:sz w:val="21"/>
      <w:szCs w:val="21"/>
    </w:rPr>
  </w:style>
  <w:style w:type="paragraph" w:customStyle="1" w:styleId="68">
    <w:name w:val="正文00"/>
    <w:basedOn w:val="1"/>
    <w:qFormat/>
    <w:uiPriority w:val="0"/>
    <w:pPr>
      <w:topLinePunct/>
      <w:spacing w:line="360" w:lineRule="auto"/>
      <w:ind w:firstLine="200" w:firstLineChars="200"/>
    </w:pPr>
    <w:rPr>
      <w:sz w:val="24"/>
      <w:szCs w:val="21"/>
    </w:rPr>
  </w:style>
  <w:style w:type="paragraph" w:customStyle="1" w:styleId="69">
    <w:name w:val="Revision"/>
    <w:hidden/>
    <w:unhideWhenUsed/>
    <w:uiPriority w:val="99"/>
    <w:rPr>
      <w:rFonts w:ascii="Times New Roman" w:hAnsi="Times New Roman" w:eastAsia="宋体" w:cs="Times New Roman"/>
      <w:kern w:val="2"/>
      <w:sz w:val="21"/>
      <w:szCs w:val="24"/>
      <w:lang w:val="en-US" w:eastAsia="zh-CN" w:bidi="ar-SA"/>
    </w:rPr>
  </w:style>
  <w:style w:type="character" w:customStyle="1" w:styleId="70">
    <w:name w:val="font61"/>
    <w:basedOn w:val="38"/>
    <w:qFormat/>
    <w:uiPriority w:val="0"/>
    <w:rPr>
      <w:rFonts w:hint="eastAsia" w:ascii="宋体" w:hAnsi="宋体" w:eastAsia="宋体" w:cs="宋体"/>
      <w:color w:val="FF0000"/>
      <w:sz w:val="24"/>
      <w:szCs w:val="24"/>
      <w:u w:val="none"/>
    </w:rPr>
  </w:style>
  <w:style w:type="character" w:customStyle="1" w:styleId="71">
    <w:name w:val="font41"/>
    <w:basedOn w:val="38"/>
    <w:qFormat/>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miit</Company>
  <Pages>5</Pages>
  <Words>599</Words>
  <Characters>624</Characters>
  <Lines>5</Lines>
  <Paragraphs>1</Paragraphs>
  <TotalTime>1</TotalTime>
  <ScaleCrop>false</ScaleCrop>
  <LinksUpToDate>false</LinksUpToDate>
  <CharactersWithSpaces>626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2025-05-30T07:17:00Z</dcterms:created>
  <dc:creator>mj</dc:creator>
  <cp:lastModifiedBy>梁爽</cp:lastModifiedBy>
  <cp:lastPrinted>2018-05-09T07:33:00Z</cp:lastPrinted>
  <dcterms:modified xsi:type="dcterms:W3CDTF">2025-07-15T03:18:04Z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50B35C2A5EAE44BF858749C595B23391_13</vt:lpwstr>
  </property>
  <property fmtid="{D5CDD505-2E9C-101B-9397-08002B2CF9AE}" pid="3" name="KSOProductBuildVer">
    <vt:lpwstr>2052-12.1.0.21915</vt:lpwstr>
  </property>
  <property fmtid="{D5CDD505-2E9C-101B-9397-08002B2CF9AE}" pid="4" name="KSOTemplateDocerSaveRecord">
    <vt:lpwstr>eyJoZGlkIjoiMWQwOGZlM2VjMzZlN2Q5OTdkYmFmNjFhNDc4YmZiMzEiLCJ1c2VySWQiOiIyNDQ3ODYyNTgifQ==</vt:lpwstr>
  </property>
</Properties>
</file>