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D405C" w14:textId="77777777" w:rsidR="004E327F" w:rsidRPr="00232EA8" w:rsidRDefault="004E327F" w:rsidP="004E327F">
      <w:pPr>
        <w:pStyle w:val="ListParagraph"/>
        <w:numPr>
          <w:ilvl w:val="0"/>
          <w:numId w:val="1"/>
        </w:numPr>
        <w:spacing w:line="480" w:lineRule="auto"/>
        <w:rPr>
          <w:rFonts w:ascii="Times New Roman" w:hAnsi="Times New Roman" w:cs="Times New Roman"/>
          <w:b/>
          <w:bCs/>
          <w:lang w:val="nb-NO"/>
        </w:rPr>
      </w:pPr>
      <w:r w:rsidRPr="00232EA8">
        <w:rPr>
          <w:rFonts w:ascii="Times New Roman" w:hAnsi="Times New Roman" w:cs="Times New Roman"/>
          <w:b/>
          <w:bCs/>
          <w:lang w:val="nb-NO"/>
        </w:rPr>
        <w:t>RNA</w:t>
      </w:r>
      <w:r>
        <w:rPr>
          <w:rFonts w:ascii="Times New Roman" w:hAnsi="Times New Roman" w:cs="Times New Roman"/>
          <w:b/>
          <w:bCs/>
          <w:lang w:val="nb-NO"/>
        </w:rPr>
        <w:t xml:space="preserve"> </w:t>
      </w:r>
      <w:proofErr w:type="spellStart"/>
      <w:r w:rsidRPr="00232EA8">
        <w:rPr>
          <w:rFonts w:ascii="Times New Roman" w:hAnsi="Times New Roman" w:cs="Times New Roman"/>
          <w:b/>
          <w:bCs/>
          <w:lang w:val="nb-NO"/>
        </w:rPr>
        <w:t>seq</w:t>
      </w:r>
      <w:r>
        <w:rPr>
          <w:rFonts w:ascii="Times New Roman" w:hAnsi="Times New Roman" w:cs="Times New Roman"/>
          <w:b/>
          <w:bCs/>
          <w:lang w:val="nb-NO"/>
        </w:rPr>
        <w:t>uencing</w:t>
      </w:r>
      <w:proofErr w:type="spellEnd"/>
      <w:r w:rsidRPr="00232EA8">
        <w:rPr>
          <w:rFonts w:ascii="Times New Roman" w:hAnsi="Times New Roman" w:cs="Times New Roman"/>
          <w:b/>
          <w:bCs/>
          <w:lang w:val="nb-NO"/>
        </w:rPr>
        <w:t xml:space="preserve"> analyses</w:t>
      </w:r>
    </w:p>
    <w:p w14:paraId="780228FC" w14:textId="13D41315" w:rsidR="00E11B99" w:rsidRDefault="004E327F" w:rsidP="004E327F">
      <w:pPr>
        <w:spacing w:line="480" w:lineRule="auto"/>
        <w:jc w:val="both"/>
        <w:rPr>
          <w:color w:val="000000" w:themeColor="text1"/>
        </w:rPr>
      </w:pPr>
      <w:r w:rsidRPr="00232EA8">
        <w:rPr>
          <w:rFonts w:ascii="Calibri" w:hAnsi="Calibri" w:cs="Calibri"/>
          <w:color w:val="C45911" w:themeColor="accent2" w:themeShade="BF"/>
          <w:lang w:val="nb-NO"/>
        </w:rPr>
        <w:t>﻿</w:t>
      </w:r>
      <w:r w:rsidRPr="00232EA8">
        <w:rPr>
          <w:color w:val="000000" w:themeColor="text1"/>
        </w:rPr>
        <w:t xml:space="preserve">RNA samples were submitted for sequencing to the </w:t>
      </w:r>
      <w:commentRangeStart w:id="0"/>
      <w:r w:rsidRPr="00232EA8">
        <w:rPr>
          <w:color w:val="000000" w:themeColor="text1"/>
        </w:rPr>
        <w:t xml:space="preserve">Genomics Core Facility </w:t>
      </w:r>
      <w:commentRangeEnd w:id="0"/>
      <w:r>
        <w:rPr>
          <w:rStyle w:val="CommentReference"/>
          <w:rFonts w:asciiTheme="minorHAnsi" w:eastAsiaTheme="minorHAnsi" w:hAnsiTheme="minorHAnsi" w:cstheme="minorBidi"/>
          <w:lang w:eastAsia="en-US"/>
        </w:rPr>
        <w:commentReference w:id="0"/>
      </w:r>
      <w:r w:rsidRPr="00232EA8">
        <w:rPr>
          <w:color w:val="000000" w:themeColor="text1"/>
        </w:rPr>
        <w:t xml:space="preserve">at the University of Bergen using Illumina </w:t>
      </w:r>
      <w:proofErr w:type="spellStart"/>
      <w:r w:rsidRPr="00232EA8">
        <w:rPr>
          <w:color w:val="000000" w:themeColor="text1"/>
        </w:rPr>
        <w:t>HiSeq</w:t>
      </w:r>
      <w:proofErr w:type="spellEnd"/>
      <w:r w:rsidRPr="00232EA8">
        <w:rPr>
          <w:color w:val="000000" w:themeColor="text1"/>
        </w:rPr>
        <w:t xml:space="preserve"> 4000 method (Illumina. </w:t>
      </w:r>
      <w:proofErr w:type="gramStart"/>
      <w:r w:rsidRPr="008449B0">
        <w:rPr>
          <w:color w:val="000000" w:themeColor="text1"/>
        </w:rPr>
        <w:t>Inc..</w:t>
      </w:r>
      <w:proofErr w:type="gramEnd"/>
      <w:r w:rsidRPr="008449B0">
        <w:rPr>
          <w:color w:val="000000" w:themeColor="text1"/>
        </w:rPr>
        <w:t xml:space="preserve"> San Diego. CA. USA), </w:t>
      </w:r>
      <w:r w:rsidRPr="00232EA8">
        <w:rPr>
          <w:color w:val="000000" w:themeColor="text1"/>
        </w:rPr>
        <w:t xml:space="preserve">and </w:t>
      </w:r>
      <w:r>
        <w:rPr>
          <w:color w:val="000000" w:themeColor="text1"/>
        </w:rPr>
        <w:t>t</w:t>
      </w:r>
      <w:r w:rsidRPr="000A72B7">
        <w:rPr>
          <w:color w:val="000000" w:themeColor="text1"/>
        </w:rPr>
        <w:t>he final cDNA library was sequenced to generate 50 million 75 bp paired-end reads per sample.</w:t>
      </w:r>
      <w:r>
        <w:rPr>
          <w:color w:val="000000" w:themeColor="text1"/>
        </w:rPr>
        <w:t xml:space="preserve"> </w:t>
      </w:r>
      <w:r w:rsidRPr="00096BCE">
        <w:rPr>
          <w:color w:val="000000" w:themeColor="text1"/>
        </w:rPr>
        <w:t xml:space="preserve">The </w:t>
      </w:r>
      <w:r>
        <w:rPr>
          <w:color w:val="000000" w:themeColor="text1"/>
        </w:rPr>
        <w:t xml:space="preserve">resulting data were </w:t>
      </w:r>
      <w:r w:rsidRPr="00232EA8">
        <w:rPr>
          <w:color w:val="000000" w:themeColor="text1"/>
        </w:rPr>
        <w:t xml:space="preserve">analyzed as described in </w:t>
      </w:r>
      <w:proofErr w:type="spellStart"/>
      <w:r w:rsidRPr="00232EA8">
        <w:rPr>
          <w:color w:val="000000" w:themeColor="text1"/>
        </w:rPr>
        <w:t>Yadetie</w:t>
      </w:r>
      <w:proofErr w:type="spellEnd"/>
      <w:r w:rsidRPr="00232EA8">
        <w:rPr>
          <w:color w:val="000000" w:themeColor="text1"/>
        </w:rPr>
        <w:t xml:space="preserve"> et al. 2018</w:t>
      </w:r>
      <w:r w:rsidRPr="00096BCE">
        <w:rPr>
          <w:color w:val="000000" w:themeColor="text1"/>
        </w:rPr>
        <w:t>, using the</w:t>
      </w:r>
      <w:r>
        <w:rPr>
          <w:color w:val="000000" w:themeColor="text1"/>
        </w:rPr>
        <w:t xml:space="preserve"> </w:t>
      </w:r>
      <w:r w:rsidRPr="00232EA8">
        <w:rPr>
          <w:color w:val="000000" w:themeColor="text1"/>
        </w:rPr>
        <w:t>RNA-Seq analysis</w:t>
      </w:r>
      <w:r>
        <w:rPr>
          <w:color w:val="000000" w:themeColor="text1"/>
        </w:rPr>
        <w:t xml:space="preserve"> </w:t>
      </w:r>
      <w:r w:rsidRPr="00232EA8">
        <w:rPr>
          <w:color w:val="000000" w:themeColor="text1"/>
        </w:rPr>
        <w:t xml:space="preserve">workflow adapted from RASflow </w:t>
      </w:r>
      <w:r w:rsidRPr="008449B0">
        <w:rPr>
          <w:color w:val="000000" w:themeColor="text1"/>
          <w:highlight w:val="yellow"/>
        </w:rPr>
        <w:fldChar w:fldCharType="begin" w:fldLock="1"/>
      </w:r>
      <w:r>
        <w:rPr>
          <w:color w:val="000000" w:themeColor="text1"/>
          <w:highlight w:val="yellow"/>
        </w:rPr>
        <w:instrText>ADDIN CSL_CITATION {"citationItems":[{"id":"ITEM-1","itemData":{"DOI":"10.1016/j.aquatox.2018.06.003","ISSN":"18791514","abstract":"Polycyclic aromatic hydrocarbons such as benzo[a]pyrene (BaP) that activate the aryl hydrocarbon receptor (Ahr) pathway, and endocrine disruptors acting through the estrogen receptor pathway are among environmental pollutants of major concern. In this work, we exposed Atlantic cod (Gadus morhua) precision-cut liver slices (PCLS) to BaP (10 nM and 1000 nM), ethynylestradiol (EE2) (10 nM and 1000 nM), and equimolar mixtures of BaP and EE2 (10 nM and 1000 nM) for 48 h, and performed RNA-Seq based transcriptome mapping followed by systematic bioinformatics analyses. Our gene expression analysis showed that several genes were differentially expressed in response to BaP and EE2 treatments in PCLS. Strong up-regulation of genes coding for the cytochrome P450 1a (Cyp1a) enzyme and the Ahr repressor (Ahrrb) was observed in BaP treated PCLS. EE2 treatment of liver slices strongly up-regulated genes coding for precursors of vitellogenin (Vtg) and eggshell zona pellucida (Zp) proteins. As expected, pathway enrichment and network analysis showed that the Ahr and estrogen receptor pathways are among the top affected by BaP and EE2 treatments, respectively. Interestingly, two genes coding for fibroblast growth factor 3 (Fgf3) and fibroblast growth factor 4 (Fgf4) were up-regulated by EE2 in this study. To our knowledge, the fgf3 and fgf4 genes have not previously been described in relation to estrogen signaling in fish liver, and these results suggest the modulation of the FGF signaling pathway by estrogens in fish. The signature expression profiles of top differentially expressed genes in response to the single compound (BaP or EE2) treatment were generally maintained in the expression responses to the equimolar binary mixtures. However, in the mixture-treated groups, BaP appeared to have anti-estrogenic effects as observed by lower number of differentially expressed putative EE2 responsive genes. Our in-depth quantitative analysis of changes in liver transcriptome in response to BaP and EE2, using PCLS tissue culture provides further mechanistic insights into effects of the compounds. Moreover, the analyses demonstrate the usefulness of PCLS in cod for omics experiments.","author":[{"dropping-particle":"","family":"Yadetie","given":"Fekadu","non-dropping-particle":"","parse-names":false,"suffix":""},{"dropping-particle":"","family":"Zhang","given":"Xiaokang","non-dropping-particle":"","parse-names":false,"suffix":""},{"dropping-particle":"","family":"Hanna","given":"Eileen Marie","non-dropping-particle":"","parse-names":false,"suffix":""},{"dropping-particle":"","family":"Aranguren-Abadía","given":"Libe","non-dropping-particle":"","parse-names":false,"suffix":""},{"dropping-particle":"","family":"Eide","given":"Marta","non-dropping-particle":"","parse-names":false,"suffix":""},{"dropping-particle":"","family":"Blaser","given":"Nello","non-dropping-particle":"","parse-names":false,"suffix":""},{"dropping-particle":"","family":"Brun","given":"Morten","non-dropping-particle":"","parse-names":false,"suffix":""},{"dropping-particle":"","family":"Jonassen","given":"Inge","non-dropping-particle":"","parse-names":false,"suffix":""},{"dropping-particle":"","family":"Goksøyr","given":"Anders","non-dropping-particle":"","parse-names":false,"suffix":""},{"dropping-particle":"","family":"Karlsen","given":"Odd André","non-dropping-particle":"","parse-names":false,"suffix":""}],"container-title":"Aquatic Toxicology","id":"ITEM-1","issued":{"date-parts":[["2018"]]},"page":"174-186","title":"RNA-Seq analysis of transcriptome responses in Atlantic cod (Gadus morhua) precision-cut liver slices exposed to benzo[a]pyrene and 17Α-ethynylestradiol","type":"article-journal","volume":"201"},"uris":["http://www.mendeley.com/documents/?uuid=70bc485d-264b-33d6-b109-08311075de53"]},{"id":"ITEM-2","itemData":{"DOI":"10.1101/839191","abstract":"Background: With the cost of DNA sequencing decreasing, increasing amounts of RNA-Seq data are being generated giving novel insight into gene expression and regulation. Prior to analysis of gene expression, the RNA-Seq data has to be processed through a number of steps resulting in a quantification of expression of each gene / transcript in each of the analyzed samples. A number of workflows are available to help researchers perform these steps on their own data, or on public data to take advantage of novel software or reference data in data re-analysis. However, many of the existing workflows are limited to specific types of studies. We therefore aimed to develop a maximally general workflow, applicable to a wide range of data and analysis approaches and at the same time support research on both model and non-model organisms. Furthermore, we aimed to make the workflow usable also for users with limited programming skills. Results: Utilizing the workflow management system Snakemake and the package management system Conda, we have developed a modular, flexible and user-friendly RNA-Seq analysis pipeline: RNA-Seq Analysis Snakemake Workflow (RASflow). Utilizing Snakemake and Conda alleviates challenges with library dependencies and version conflicts and also supports reproducibility. To be applicable for a wide variety of applications, RASflow supports mapping of reads to both genomic and transcriptomic assemblies. RASflow has a broad range of potential users: it can be applied by researchers interested in any organism and since it requires no programming skills, it can be used by researchers with different backgrounds. RASflow is an open source tool and source code as well as documentation, tutorials and example data sets can be found on GitHub: https://github.com/zhxiaokang/RASflow Conclusions: RASflow is a simple and reliable RNA-Seq analysis workflow which is a full pack of RNA-Seq analysis.","author":[{"dropping-particle":"","family":"Zhang","given":"Xiaokang","non-dropping-particle":"","parse-names":false,"suffix":""},{"dropping-particle":"","family":"Jonassen","given":"Inge","non-dropping-particle":"","parse-names":false,"suffix":""}],"container-title":"BMC Bioinformatics","id":"ITEM-2","issue":"110","issued":{"date-parts":[["2020"]]},"page":"1-9","publisher":"BMC Bioinformatics","title":"RASflow: An RNA-Seq Analysis Workflow with Snakemake","type":"article-journal","volume":"21"},"uris":["http://www.mendeley.com/documents/?uuid=8f3ae6f3-c2c0-4617-8f60-7616dcb2359c"]}],"mendeley":{"formattedCitation":"(Yadetie et al., 2018; Zhang &amp; Jonassen, 2020)","plainTextFormattedCitation":"(Yadetie et al., 2018; Zhang &amp; Jonassen, 2020)","previouslyFormattedCitation":"(Yadetie et al., 2018; Zhang &amp; Jonassen, 2020)"},"properties":{"noteIndex":0},"schema":"https://github.com/citation-style-language/schema/raw/master/csl-citation.json"}</w:instrText>
      </w:r>
      <w:r w:rsidRPr="008449B0">
        <w:rPr>
          <w:color w:val="000000" w:themeColor="text1"/>
          <w:highlight w:val="yellow"/>
        </w:rPr>
        <w:fldChar w:fldCharType="separate"/>
      </w:r>
      <w:r w:rsidRPr="008449B0">
        <w:rPr>
          <w:noProof/>
          <w:color w:val="000000" w:themeColor="text1"/>
          <w:highlight w:val="yellow"/>
        </w:rPr>
        <w:t>(Yadetie et al., 2018; Zhang &amp; Jonassen, 2020)</w:t>
      </w:r>
      <w:r w:rsidRPr="008449B0">
        <w:rPr>
          <w:color w:val="000000" w:themeColor="text1"/>
          <w:highlight w:val="yellow"/>
        </w:rPr>
        <w:fldChar w:fldCharType="end"/>
      </w:r>
      <w:r>
        <w:rPr>
          <w:color w:val="000000" w:themeColor="text1"/>
        </w:rPr>
        <w:t xml:space="preserve">. </w:t>
      </w:r>
      <w:r w:rsidRPr="00232EA8">
        <w:rPr>
          <w:color w:val="000000" w:themeColor="text1"/>
        </w:rPr>
        <w:t>The quality of the sequencing reads were checked using FastQCv0.11.8</w:t>
      </w:r>
      <w:r>
        <w:rPr>
          <w:color w:val="000000" w:themeColor="text1"/>
        </w:rPr>
        <w:t xml:space="preserve"> </w:t>
      </w:r>
      <w:r w:rsidRPr="00232EA8">
        <w:rPr>
          <w:color w:val="000000" w:themeColor="text1"/>
        </w:rPr>
        <w:t>(</w:t>
      </w:r>
      <w:hyperlink r:id="rId9" w:tgtFrame="_blank" w:history="1">
        <w:r w:rsidRPr="00232EA8">
          <w:rPr>
            <w:color w:val="000000" w:themeColor="text1"/>
          </w:rPr>
          <w:t>http://www.bioinformatics.babraham.ac.uk/projects/fastqc</w:t>
        </w:r>
      </w:hyperlink>
      <w:r w:rsidRPr="00232EA8">
        <w:rPr>
          <w:color w:val="000000" w:themeColor="text1"/>
        </w:rPr>
        <w:t>). We had altogether 18 high-quality samples</w:t>
      </w:r>
      <w:r>
        <w:rPr>
          <w:color w:val="000000" w:themeColor="text1"/>
        </w:rPr>
        <w:t>,</w:t>
      </w:r>
      <w:r w:rsidRPr="00232EA8">
        <w:rPr>
          <w:color w:val="000000" w:themeColor="text1"/>
        </w:rPr>
        <w:t xml:space="preserve"> which were aligned to the published genome of Atlantic cod (gadMor1</w:t>
      </w:r>
      <w:r>
        <w:rPr>
          <w:color w:val="000000" w:themeColor="text1"/>
        </w:rPr>
        <w:t>,</w:t>
      </w:r>
      <w:r w:rsidRPr="00232EA8">
        <w:rPr>
          <w:color w:val="000000" w:themeColor="text1"/>
        </w:rPr>
        <w:t xml:space="preserve"> </w:t>
      </w:r>
      <w:proofErr w:type="spellStart"/>
      <w:r w:rsidRPr="00232EA8">
        <w:rPr>
          <w:color w:val="000000" w:themeColor="text1"/>
        </w:rPr>
        <w:t>Ensembl</w:t>
      </w:r>
      <w:proofErr w:type="spellEnd"/>
      <w:r w:rsidRPr="00232EA8">
        <w:rPr>
          <w:color w:val="000000" w:themeColor="text1"/>
        </w:rPr>
        <w:t xml:space="preserve">) using HISAT2 v2.1.0 </w:t>
      </w:r>
      <w:r w:rsidRPr="00232EA8">
        <w:rPr>
          <w:color w:val="000000" w:themeColor="text1"/>
          <w:highlight w:val="yellow"/>
        </w:rPr>
        <w:fldChar w:fldCharType="begin" w:fldLock="1"/>
      </w:r>
      <w:r w:rsidRPr="00232EA8">
        <w:rPr>
          <w:color w:val="000000" w:themeColor="text1"/>
          <w:highlight w:val="yellow"/>
        </w:rPr>
        <w:instrText>ADDIN CSL_CITATION {"citationItems":[{"id":"ITEM-1","itemData":{"author":[{"dropping-particle":"","family":"Kim","given":"Daehwan","non-dropping-particle":"","parse-names":false,"suffix":""},{"dropping-particle":"","family":"Langmead","given":"Ben","non-dropping-particle":"","parse-names":false,"suffix":""},{"dropping-particle":"","family":"Salzberg","given":"Steven L.","non-dropping-particle":"","parse-names":false,"suffix":""}],"container-title":"Nature methods","id":"ITEM-1","issued":{"date-parts":[["2015"]]},"page":"357-360","title":"HISAT: a fast spliced aligner with low memory requirements","type":"article-journal","volume":"12"},"uris":["http://www.mendeley.com/documents/?uuid=840d013f-e78f-45fc-a629-66b52d370f6e"]}],"mendeley":{"formattedCitation":"(Kim et al., 2015)","manualFormatting":"(Kim et al.. 2015)","plainTextFormattedCitation":"(Kim et al., 2015)","previouslyFormattedCitation":"(Kim et al., 2015)"},"properties":{"noteIndex":0},"schema":"https://github.com/citation-style-language/schema/raw/master/csl-citation.json"}</w:instrText>
      </w:r>
      <w:r w:rsidRPr="00232EA8">
        <w:rPr>
          <w:color w:val="000000" w:themeColor="text1"/>
          <w:highlight w:val="yellow"/>
        </w:rPr>
        <w:fldChar w:fldCharType="separate"/>
      </w:r>
      <w:r w:rsidRPr="00232EA8">
        <w:rPr>
          <w:noProof/>
          <w:color w:val="000000" w:themeColor="text1"/>
          <w:highlight w:val="yellow"/>
        </w:rPr>
        <w:t>(Kim et al.. 2015)</w:t>
      </w:r>
      <w:r w:rsidRPr="00232EA8">
        <w:rPr>
          <w:color w:val="000000" w:themeColor="text1"/>
          <w:highlight w:val="yellow"/>
        </w:rPr>
        <w:fldChar w:fldCharType="end"/>
      </w:r>
      <w:r w:rsidRPr="00232EA8">
        <w:rPr>
          <w:color w:val="000000" w:themeColor="text1"/>
        </w:rPr>
        <w:t xml:space="preserve">. Counts were generated from the alignment using </w:t>
      </w:r>
      <w:proofErr w:type="spellStart"/>
      <w:r w:rsidRPr="00232EA8">
        <w:rPr>
          <w:color w:val="000000" w:themeColor="text1"/>
        </w:rPr>
        <w:t>featureCounts</w:t>
      </w:r>
      <w:proofErr w:type="spellEnd"/>
      <w:r w:rsidRPr="00232EA8">
        <w:rPr>
          <w:color w:val="000000" w:themeColor="text1"/>
        </w:rPr>
        <w:t xml:space="preserve"> from subread v1.6.4 </w:t>
      </w:r>
      <w:r w:rsidRPr="00232EA8">
        <w:rPr>
          <w:color w:val="000000" w:themeColor="text1"/>
          <w:highlight w:val="yellow"/>
        </w:rPr>
        <w:fldChar w:fldCharType="begin" w:fldLock="1"/>
      </w:r>
      <w:r w:rsidRPr="00232EA8">
        <w:rPr>
          <w:color w:val="000000" w:themeColor="text1"/>
          <w:highlight w:val="yellow"/>
        </w:rPr>
        <w:instrText>ADDIN CSL_CITATION {"citationItems":[{"id":"ITEM-1","itemData":{"DOI":"10.1093/bioinformatics/btt656","ISSN":"14602059","PMID":"24227677","abstract":"Motivation: Next-generation sequencing technologies generate millions of short sequence reads, which are usually aligned to a reference genome. In many applications, the key information required for downstream analysis is the number of reads mapping to each genomic feature, for example to each exon or each gene. The process of counting reads is called read summarization. Read summarization is required for a great variety of genomic analyses but has so far received relatively little attention in the literature.Results: We present featureCounts, a read summarization program suitable for counting reads generated from either RNA or genomic DNA sequencing experiments. featureCounts implements highly efficient chromosome hashing and feature blocking techniques. It is considerably faster than existing methods (by an order of magnitude for gene-level summarization) and requires far less computer memory. It works with either single or paired-end reads and provides a wide range of options appropriate for different sequencing applications. © 2013 The Author 2013. Published by Oxford University Press. All rights reserved.","author":[{"dropping-particle":"","family":"Liao","given":"Yang","non-dropping-particle":"","parse-names":false,"suffix":""},{"dropping-particle":"","family":"Smyth","given":"Gordon K.","non-dropping-particle":"","parse-names":false,"suffix":""},{"dropping-particle":"","family":"Shi","given":"Wei","non-dropping-particle":"","parse-names":false,"suffix":""}],"container-title":"Bioinformatics","id":"ITEM-1","issue":"7","issued":{"date-parts":[["2014"]]},"page":"923-930","title":"FeatureCounts: An efficient general purpose program for assigning sequence reads to genomic features","type":"article-journal","volume":"30"},"uris":["http://www.mendeley.com/documents/?uuid=11a13aba-5868-4cd6-8ace-d0e0755ea0fe"]}],"mendeley":{"formattedCitation":"(Liao et al., 2014)","manualFormatting":"(Liao et al.. 2014)","plainTextFormattedCitation":"(Liao et al., 2014)","previouslyFormattedCitation":"(Liao et al., 2014)"},"properties":{"noteIndex":0},"schema":"https://github.com/citation-style-language/schema/raw/master/csl-citation.json"}</w:instrText>
      </w:r>
      <w:r w:rsidRPr="00232EA8">
        <w:rPr>
          <w:color w:val="000000" w:themeColor="text1"/>
          <w:highlight w:val="yellow"/>
        </w:rPr>
        <w:fldChar w:fldCharType="separate"/>
      </w:r>
      <w:r w:rsidRPr="00232EA8">
        <w:rPr>
          <w:noProof/>
          <w:color w:val="000000" w:themeColor="text1"/>
          <w:highlight w:val="yellow"/>
        </w:rPr>
        <w:t>(Liao et al.. 2014)</w:t>
      </w:r>
      <w:r w:rsidRPr="00232EA8">
        <w:rPr>
          <w:color w:val="000000" w:themeColor="text1"/>
          <w:highlight w:val="yellow"/>
        </w:rPr>
        <w:fldChar w:fldCharType="end"/>
      </w:r>
      <w:r w:rsidRPr="00232EA8">
        <w:rPr>
          <w:color w:val="000000" w:themeColor="text1"/>
        </w:rPr>
        <w:t xml:space="preserve">. Only the genes with expression levels over one count per million (CPM) in at least </w:t>
      </w:r>
      <w:r w:rsidR="00E11B99">
        <w:rPr>
          <w:color w:val="000000" w:themeColor="text1"/>
        </w:rPr>
        <w:t>one</w:t>
      </w:r>
      <w:r w:rsidRPr="00232EA8">
        <w:rPr>
          <w:color w:val="000000" w:themeColor="text1"/>
        </w:rPr>
        <w:t xml:space="preserve"> sample in the compared groups were kept</w:t>
      </w:r>
      <w:r>
        <w:rPr>
          <w:color w:val="000000" w:themeColor="text1"/>
        </w:rPr>
        <w:t xml:space="preserve"> and normalized by </w:t>
      </w:r>
      <w:r w:rsidRPr="00232EA8">
        <w:rPr>
          <w:color w:val="000000" w:themeColor="text1"/>
        </w:rPr>
        <w:t xml:space="preserve">Trimmed Mean of M values (TMM) </w:t>
      </w:r>
      <w:r w:rsidRPr="00232EA8">
        <w:rPr>
          <w:color w:val="000000" w:themeColor="text1"/>
          <w:highlight w:val="yellow"/>
        </w:rPr>
        <w:fldChar w:fldCharType="begin" w:fldLock="1"/>
      </w:r>
      <w:r w:rsidRPr="00232EA8">
        <w:rPr>
          <w:color w:val="000000" w:themeColor="text1"/>
          <w:highlight w:val="yellow"/>
        </w:rPr>
        <w:instrText>ADDIN CSL_CITATION {"citationItems":[{"id":"ITEM-1","itemData":{"DOI":"10.1186/gb-2010-11-3-r25","ISSN":"14747596","abstract":"The fine detail provided by sequencing-based transcriptome surveys suggests that RNA-seq is likely to become the platform of choice for interrogating steady state RNA. In order to discover biologically important changes in expression, we show that normalization continues to be an essential step in the analysis. We outline a simple and effective method for performing normalization and show dramatically improved results for inferring differential expression in simulated and publicly available data sets. © 2010 Robinson and Oshlack; licensee BioMed Central Ltd.","author":[{"dropping-particle":"","family":"Robinson","given":"Mark D.","non-dropping-particle":"","parse-names":false,"suffix":""},{"dropping-particle":"","family":"Oshlack","given":"Alicia","non-dropping-particle":"","parse-names":false,"suffix":""}],"container-title":"Genome Biology","id":"ITEM-1","issue":"3","issued":{"date-parts":[["2010"]]},"page":"1-9","title":"A scaling normalization method for differential expression analysis of RNA-seq data","type":"article-journal","volume":"11"},"uris":["http://www.mendeley.com/documents/?uuid=1bcdcf91-8358-45e8-b500-584d2c4b1d59"]}],"mendeley":{"formattedCitation":"(Robinson &amp; Oshlack, 2010)","manualFormatting":"(Robinson &amp; Oshlack. 2010)","plainTextFormattedCitation":"(Robinson &amp; Oshlack, 2010)","previouslyFormattedCitation":"(Robinson &amp; Oshlack, 2010)"},"properties":{"noteIndex":0},"schema":"https://github.com/citation-style-language/schema/raw/master/csl-citation.json"}</w:instrText>
      </w:r>
      <w:r w:rsidRPr="00232EA8">
        <w:rPr>
          <w:color w:val="000000" w:themeColor="text1"/>
          <w:highlight w:val="yellow"/>
        </w:rPr>
        <w:fldChar w:fldCharType="separate"/>
      </w:r>
      <w:r w:rsidRPr="00232EA8">
        <w:rPr>
          <w:noProof/>
          <w:color w:val="000000" w:themeColor="text1"/>
          <w:highlight w:val="yellow"/>
        </w:rPr>
        <w:t>(Robinson &amp; Oshlack. 2010)</w:t>
      </w:r>
      <w:r w:rsidRPr="00232EA8">
        <w:rPr>
          <w:color w:val="000000" w:themeColor="text1"/>
          <w:highlight w:val="yellow"/>
        </w:rPr>
        <w:fldChar w:fldCharType="end"/>
      </w:r>
      <w:r>
        <w:rPr>
          <w:color w:val="000000" w:themeColor="text1"/>
        </w:rPr>
        <w:t xml:space="preserve"> afterwards</w:t>
      </w:r>
      <w:r w:rsidRPr="00232EA8">
        <w:rPr>
          <w:color w:val="000000" w:themeColor="text1"/>
        </w:rPr>
        <w:t>.</w:t>
      </w:r>
      <w:r>
        <w:rPr>
          <w:color w:val="000000" w:themeColor="text1"/>
        </w:rPr>
        <w:t xml:space="preserve"> </w:t>
      </w:r>
      <w:r w:rsidRPr="00232EA8">
        <w:rPr>
          <w:color w:val="000000" w:themeColor="text1"/>
        </w:rPr>
        <w:t xml:space="preserve">Differential expression analysis was performed using </w:t>
      </w:r>
      <w:proofErr w:type="spellStart"/>
      <w:r w:rsidRPr="00232EA8">
        <w:rPr>
          <w:color w:val="000000" w:themeColor="text1"/>
        </w:rPr>
        <w:t>edgeR</w:t>
      </w:r>
      <w:proofErr w:type="spellEnd"/>
      <w:r w:rsidRPr="00232EA8">
        <w:rPr>
          <w:color w:val="000000" w:themeColor="text1"/>
        </w:rPr>
        <w:t xml:space="preserve"> v3.26.0 </w:t>
      </w:r>
      <w:r w:rsidRPr="00232EA8">
        <w:rPr>
          <w:color w:val="000000" w:themeColor="text1"/>
          <w:highlight w:val="yellow"/>
        </w:rPr>
        <w:fldChar w:fldCharType="begin" w:fldLock="1"/>
      </w:r>
      <w:r w:rsidRPr="00232EA8">
        <w:rPr>
          <w:color w:val="000000" w:themeColor="text1"/>
          <w:highlight w:val="yellow"/>
        </w:rPr>
        <w:instrText>ADDIN CSL_CITATION {"citationItems":[{"id":"ITEM-1","itemData":{"DOI":"10.1093/nar/gks042","ISSN":"03051048","abstract":"A flexible statistical framework is developed for the analysis of read counts from RNA-Seq gene expression studies. It provides the ability to analyse complex experiments involving multiple treatment conditions and blocking variables while still taking full account of biological variation. Biological variation between RNA samples is estimated separately from the technical variation associated with sequencing technologies. Novel empirical Bayes methods allow each gene to have its own specific variability, even when there are relatively few biological replicates from which to estimate such variability. The pipeline is implemented in the edgeR package of the Bioconductor project. A case study analysis of carcinoma data demonstrates the ability of generalized linear model methods (GLMs) to detect differential expression in a paired design, and even to detect tumour-specific expression changes. The case study demonstrates the need to allow for gene-specific variability, rather than assuming a common dispersion across genes or a fixed relationship between abundance and variability. Genewise dispersions de-prioritize genes with inconsistent results and allow the main analysis to focus on changes that are consistent between biological replicates. Parallel computational approaches are developed to make non-linear model fitting faster and more reliable, making the application of GLMs to genomic data more convenient and practical. Simulations demonstrate the ability of adjusted profile likelihood estimators to return accurate estimators of biological variability in complex situations. When variation is gene-specific, empirical Bayes estimators provide an advantageous compromise between the extremes of assuming common dispersion or separate genewise dispersion. The methods developed here can also be applied to count data arising from DNA-Seq applications, including ChIP-Seq for epigenetic marks and DNA methylation analyses. © 2011 The Author(s).","author":[{"dropping-particle":"","family":"McCarthy","given":"Davis J.","non-dropping-particle":"","parse-names":false,"suffix":""},{"dropping-particle":"","family":"Chen","given":"Yunshun","non-dropping-particle":"","parse-names":false,"suffix":""},{"dropping-particle":"","family":"Smyth","given":"Gordon K.","non-dropping-particle":"","parse-names":false,"suffix":""}],"container-title":"Nucleic Acids Research","id":"ITEM-1","issue":"10","issued":{"date-parts":[["2012"]]},"page":"4288-4297","title":"Differential expression analysis of multifactor RNA-Seq experiments with respect to biological variation","type":"article-journal","volume":"40"},"uris":["http://www.mendeley.com/documents/?uuid=8849413d-d78c-4c2b-840a-139a7bee943e"]}],"mendeley":{"formattedCitation":"(McCarthy et al., 2012)","manualFormatting":"(McCarthy et al.. 2012)","plainTextFormattedCitation":"(McCarthy et al., 2012)","previouslyFormattedCitation":"(McCarthy et al., 2012)"},"properties":{"noteIndex":0},"schema":"https://github.com/citation-style-language/schema/raw/master/csl-citation.json"}</w:instrText>
      </w:r>
      <w:r w:rsidRPr="00232EA8">
        <w:rPr>
          <w:color w:val="000000" w:themeColor="text1"/>
          <w:highlight w:val="yellow"/>
        </w:rPr>
        <w:fldChar w:fldCharType="separate"/>
      </w:r>
      <w:r w:rsidRPr="00232EA8">
        <w:rPr>
          <w:noProof/>
          <w:color w:val="000000" w:themeColor="text1"/>
          <w:highlight w:val="yellow"/>
        </w:rPr>
        <w:t>(McCarthy et al.. 2012)</w:t>
      </w:r>
      <w:r w:rsidRPr="00232EA8">
        <w:rPr>
          <w:color w:val="000000" w:themeColor="text1"/>
          <w:highlight w:val="yellow"/>
        </w:rPr>
        <w:fldChar w:fldCharType="end"/>
      </w:r>
      <w:r w:rsidR="00E11B99">
        <w:rPr>
          <w:color w:val="000000" w:themeColor="text1"/>
        </w:rPr>
        <w:t xml:space="preserve">. We first </w:t>
      </w:r>
      <w:r w:rsidR="00C97CBA">
        <w:rPr>
          <w:color w:val="000000" w:themeColor="text1"/>
        </w:rPr>
        <w:t xml:space="preserve">invested the effect of oil on the gene expression levels using a generalized linear model (GLM). Genes were considered significantly differentially expressed when </w:t>
      </w:r>
      <w:commentRangeStart w:id="1"/>
      <w:r w:rsidR="00C97CBA">
        <w:rPr>
          <w:color w:val="000000" w:themeColor="text1"/>
        </w:rPr>
        <w:t>FDR &lt; 0.01 and |</w:t>
      </w:r>
      <w:proofErr w:type="spellStart"/>
      <w:r w:rsidR="00C97CBA">
        <w:rPr>
          <w:color w:val="000000" w:themeColor="text1"/>
        </w:rPr>
        <w:t>logFC</w:t>
      </w:r>
      <w:proofErr w:type="spellEnd"/>
      <w:r w:rsidR="00C97CBA">
        <w:rPr>
          <w:color w:val="000000" w:themeColor="text1"/>
        </w:rPr>
        <w:t xml:space="preserve">| </w:t>
      </w:r>
      <w:r w:rsidR="00C97CBA">
        <w:rPr>
          <w:color w:val="000000" w:themeColor="text1"/>
        </w:rPr>
        <w:sym w:font="Symbol" w:char="F0B3"/>
      </w:r>
      <w:r w:rsidR="00C97CBA">
        <w:rPr>
          <w:color w:val="000000" w:themeColor="text1"/>
        </w:rPr>
        <w:t xml:space="preserve"> 1</w:t>
      </w:r>
      <w:commentRangeEnd w:id="1"/>
      <w:r w:rsidR="00CC7B7D">
        <w:rPr>
          <w:rStyle w:val="CommentReference"/>
          <w:rFonts w:asciiTheme="minorHAnsi" w:eastAsiaTheme="minorHAnsi" w:hAnsiTheme="minorHAnsi" w:cstheme="minorBidi"/>
          <w:lang w:eastAsia="en-US"/>
        </w:rPr>
        <w:commentReference w:id="1"/>
      </w:r>
      <w:r w:rsidR="00C97CBA">
        <w:rPr>
          <w:color w:val="000000" w:themeColor="text1"/>
        </w:rPr>
        <w:t xml:space="preserve">. Considering the number of significant genes exposed to different doses of oil, low dose has a smaller effect than high dose, as shown in the </w:t>
      </w:r>
      <w:commentRangeStart w:id="2"/>
      <w:r w:rsidR="00C97CBA">
        <w:rPr>
          <w:color w:val="000000" w:themeColor="text1"/>
        </w:rPr>
        <w:t>Venn diagram</w:t>
      </w:r>
      <w:commentRangeEnd w:id="2"/>
      <w:r w:rsidR="00CC7B7D">
        <w:rPr>
          <w:rStyle w:val="CommentReference"/>
          <w:rFonts w:asciiTheme="minorHAnsi" w:eastAsiaTheme="minorHAnsi" w:hAnsiTheme="minorHAnsi" w:cstheme="minorBidi"/>
          <w:lang w:eastAsia="en-US"/>
        </w:rPr>
        <w:commentReference w:id="2"/>
      </w:r>
      <w:r w:rsidR="00C97CBA">
        <w:rPr>
          <w:color w:val="000000" w:themeColor="text1"/>
        </w:rPr>
        <w:t>.</w:t>
      </w:r>
      <w:r w:rsidR="006357E2">
        <w:rPr>
          <w:color w:val="000000" w:themeColor="text1"/>
        </w:rPr>
        <w:t xml:space="preserve"> The Venn diagram also indicates that more genes are differentially expressed when the fish are exposed to </w:t>
      </w:r>
      <w:proofErr w:type="spellStart"/>
      <w:r w:rsidR="006357E2">
        <w:rPr>
          <w:color w:val="000000" w:themeColor="text1"/>
        </w:rPr>
        <w:t>uv</w:t>
      </w:r>
      <w:proofErr w:type="spellEnd"/>
      <w:r w:rsidR="006357E2">
        <w:rPr>
          <w:color w:val="000000" w:themeColor="text1"/>
        </w:rPr>
        <w:t xml:space="preserve"> light. We therefore conducted another statistical test to investigate the interaction between the oil and </w:t>
      </w:r>
      <w:proofErr w:type="spellStart"/>
      <w:r w:rsidR="006357E2">
        <w:rPr>
          <w:color w:val="000000" w:themeColor="text1"/>
        </w:rPr>
        <w:t>uv</w:t>
      </w:r>
      <w:proofErr w:type="spellEnd"/>
      <w:r w:rsidR="006357E2">
        <w:rPr>
          <w:color w:val="000000" w:themeColor="text1"/>
        </w:rPr>
        <w:t xml:space="preserve"> light using the factorial model (high-dose oil * </w:t>
      </w:r>
      <w:proofErr w:type="spellStart"/>
      <w:r w:rsidR="006357E2">
        <w:rPr>
          <w:color w:val="000000" w:themeColor="text1"/>
        </w:rPr>
        <w:t>uv</w:t>
      </w:r>
      <w:proofErr w:type="spellEnd"/>
      <w:r w:rsidR="006357E2">
        <w:rPr>
          <w:color w:val="000000" w:themeColor="text1"/>
        </w:rPr>
        <w:t xml:space="preserve"> light). </w:t>
      </w:r>
      <w:r w:rsidR="008A0EA4">
        <w:rPr>
          <w:color w:val="000000" w:themeColor="text1"/>
        </w:rPr>
        <w:t xml:space="preserve">The genes with </w:t>
      </w:r>
      <w:commentRangeStart w:id="3"/>
      <w:r w:rsidR="008A0EA4">
        <w:rPr>
          <w:color w:val="000000" w:themeColor="text1"/>
        </w:rPr>
        <w:t>FDR &lt; 0.01</w:t>
      </w:r>
      <w:commentRangeEnd w:id="3"/>
      <w:r w:rsidR="00CC7B7D">
        <w:rPr>
          <w:rStyle w:val="CommentReference"/>
          <w:rFonts w:asciiTheme="minorHAnsi" w:eastAsiaTheme="minorHAnsi" w:hAnsiTheme="minorHAnsi" w:cstheme="minorBidi"/>
          <w:lang w:eastAsia="en-US"/>
        </w:rPr>
        <w:commentReference w:id="3"/>
      </w:r>
      <w:r w:rsidR="008A0EA4">
        <w:rPr>
          <w:color w:val="000000" w:themeColor="text1"/>
        </w:rPr>
        <w:t xml:space="preserve"> are considered significant: the effects of oil on their expression are different </w:t>
      </w:r>
      <w:r w:rsidR="00CC7B7D">
        <w:rPr>
          <w:color w:val="000000" w:themeColor="text1"/>
        </w:rPr>
        <w:t>due to</w:t>
      </w:r>
      <w:r w:rsidR="008A0EA4">
        <w:rPr>
          <w:color w:val="000000" w:themeColor="text1"/>
        </w:rPr>
        <w:t xml:space="preserve"> u</w:t>
      </w:r>
      <w:proofErr w:type="spellStart"/>
      <w:r w:rsidR="008A0EA4">
        <w:rPr>
          <w:color w:val="000000" w:themeColor="text1"/>
        </w:rPr>
        <w:t>v</w:t>
      </w:r>
      <w:proofErr w:type="spellEnd"/>
      <w:r w:rsidR="008A0EA4">
        <w:rPr>
          <w:color w:val="000000" w:themeColor="text1"/>
        </w:rPr>
        <w:t xml:space="preserve"> light.</w:t>
      </w:r>
    </w:p>
    <w:p w14:paraId="511CB0F0" w14:textId="648CAA64" w:rsidR="00C97CBA" w:rsidRDefault="008A0EA4" w:rsidP="004E327F">
      <w:pPr>
        <w:spacing w:line="480" w:lineRule="auto"/>
        <w:jc w:val="both"/>
        <w:rPr>
          <w:color w:val="000000" w:themeColor="text1"/>
        </w:rPr>
      </w:pPr>
      <w:r>
        <w:rPr>
          <w:noProof/>
          <w:color w:val="000000" w:themeColor="text1"/>
        </w:rPr>
        <w:lastRenderedPageBreak/>
        <w:drawing>
          <wp:inline distT="0" distB="0" distL="0" distR="0" wp14:anchorId="005ED7F6" wp14:editId="0338F097">
            <wp:extent cx="2546430" cy="19185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enn_result2791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81110" cy="1944703"/>
                    </a:xfrm>
                    <a:prstGeom prst="rect">
                      <a:avLst/>
                    </a:prstGeom>
                  </pic:spPr>
                </pic:pic>
              </a:graphicData>
            </a:graphic>
          </wp:inline>
        </w:drawing>
      </w:r>
      <w:r>
        <w:rPr>
          <w:noProof/>
          <w:color w:val="000000" w:themeColor="text1"/>
        </w:rPr>
        <w:drawing>
          <wp:inline distT="0" distB="0" distL="0" distR="0" wp14:anchorId="0371A5CF" wp14:editId="0E441632">
            <wp:extent cx="2718684" cy="20483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enn_result2797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27916" cy="2055313"/>
                    </a:xfrm>
                    <a:prstGeom prst="rect">
                      <a:avLst/>
                    </a:prstGeom>
                  </pic:spPr>
                </pic:pic>
              </a:graphicData>
            </a:graphic>
          </wp:inline>
        </w:drawing>
      </w:r>
    </w:p>
    <w:p w14:paraId="2D250953" w14:textId="77777777" w:rsidR="00E11B99" w:rsidRDefault="00E11B99" w:rsidP="004E327F">
      <w:pPr>
        <w:spacing w:line="480" w:lineRule="auto"/>
        <w:jc w:val="both"/>
        <w:rPr>
          <w:color w:val="000000" w:themeColor="text1"/>
        </w:rPr>
      </w:pPr>
    </w:p>
    <w:p w14:paraId="34871CBB" w14:textId="77777777" w:rsidR="00E11B99" w:rsidRDefault="00E11B99" w:rsidP="004E327F">
      <w:pPr>
        <w:spacing w:line="480" w:lineRule="auto"/>
        <w:jc w:val="both"/>
        <w:rPr>
          <w:color w:val="000000" w:themeColor="text1"/>
        </w:rPr>
      </w:pPr>
    </w:p>
    <w:p w14:paraId="706A75FD" w14:textId="77777777" w:rsidR="007D734E" w:rsidRDefault="00CC7B7D"/>
    <w:sectPr w:rsidR="007D734E" w:rsidSect="008F5B1B">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ibe Aranguren Abadía" w:date="2020-07-03T11:39:00Z" w:initials="LAA">
    <w:p w14:paraId="39586017" w14:textId="77777777" w:rsidR="004E327F" w:rsidRDefault="004E327F" w:rsidP="004E327F">
      <w:pPr>
        <w:pStyle w:val="CommentText"/>
      </w:pPr>
      <w:r>
        <w:rPr>
          <w:rStyle w:val="CommentReference"/>
        </w:rPr>
        <w:annotationRef/>
      </w:r>
      <w:r>
        <w:t xml:space="preserve">Remember Acknowledgement to the Trond </w:t>
      </w:r>
      <w:proofErr w:type="spellStart"/>
      <w:r>
        <w:t>Mohn</w:t>
      </w:r>
      <w:proofErr w:type="spellEnd"/>
      <w:r>
        <w:t xml:space="preserve"> Foundation for sponsoring these analyses (see </w:t>
      </w:r>
      <w:proofErr w:type="spellStart"/>
      <w:r>
        <w:t>Fekadu’s</w:t>
      </w:r>
      <w:proofErr w:type="spellEnd"/>
      <w:r>
        <w:t xml:space="preserve"> paper)</w:t>
      </w:r>
    </w:p>
  </w:comment>
  <w:comment w:id="1" w:author="Xiaokang Zhang" w:date="2020-07-10T12:43:00Z" w:initials="XZ">
    <w:p w14:paraId="2C7226F4" w14:textId="4AA548AA" w:rsidR="00CC7B7D" w:rsidRDefault="00CC7B7D">
      <w:pPr>
        <w:pStyle w:val="CommentText"/>
      </w:pPr>
      <w:r>
        <w:rPr>
          <w:rStyle w:val="CommentReference"/>
        </w:rPr>
        <w:annotationRef/>
      </w:r>
      <w:r>
        <w:t>Threshold may be different.</w:t>
      </w:r>
    </w:p>
  </w:comment>
  <w:comment w:id="2" w:author="Xiaokang Zhang" w:date="2020-07-10T12:43:00Z" w:initials="XZ">
    <w:p w14:paraId="3A354069" w14:textId="470CAA1D" w:rsidR="00CC7B7D" w:rsidRDefault="00CC7B7D">
      <w:pPr>
        <w:pStyle w:val="CommentText"/>
      </w:pPr>
      <w:r>
        <w:rPr>
          <w:rStyle w:val="CommentReference"/>
        </w:rPr>
        <w:annotationRef/>
      </w:r>
      <w:r>
        <w:t>The numbers need to be changed according to the threshold.</w:t>
      </w:r>
    </w:p>
  </w:comment>
  <w:comment w:id="3" w:author="Xiaokang Zhang" w:date="2020-07-10T12:44:00Z" w:initials="XZ">
    <w:p w14:paraId="4BE700BD" w14:textId="67929F18" w:rsidR="00CC7B7D" w:rsidRDefault="00CC7B7D">
      <w:pPr>
        <w:pStyle w:val="CommentText"/>
      </w:pPr>
      <w:r>
        <w:rPr>
          <w:rStyle w:val="CommentReference"/>
        </w:rPr>
        <w:annotationRef/>
      </w:r>
      <w:r>
        <w:t>Threshold may be different.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9586017" w15:done="0"/>
  <w15:commentEx w15:paraId="2C7226F4" w15:done="0"/>
  <w15:commentEx w15:paraId="3A354069" w15:done="0"/>
  <w15:commentEx w15:paraId="4BE700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9978B" w16cex:dateUtc="2020-07-03T09:39:00Z"/>
  <w16cex:commentExtensible w16cex:durableId="22B2E0E6" w16cex:dateUtc="2020-07-10T10:43:00Z"/>
  <w16cex:commentExtensible w16cex:durableId="22B2E0FB" w16cex:dateUtc="2020-07-10T10:43:00Z"/>
  <w16cex:commentExtensible w16cex:durableId="22B2E122" w16cex:dateUtc="2020-07-10T10: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9586017" w16cid:durableId="22A9978B"/>
  <w16cid:commentId w16cid:paraId="2C7226F4" w16cid:durableId="22B2E0E6"/>
  <w16cid:commentId w16cid:paraId="3A354069" w16cid:durableId="22B2E0FB"/>
  <w16cid:commentId w16cid:paraId="4BE700BD" w16cid:durableId="22B2E12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305A1A"/>
    <w:multiLevelType w:val="hybridMultilevel"/>
    <w:tmpl w:val="0560B79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be Aranguren Abadía">
    <w15:presenceInfo w15:providerId="AD" w15:userId="S::libe.aranguren@uib.no::90952068-8aca-41b3-a476-11c6fcf2335c"/>
  </w15:person>
  <w15:person w15:author="Xiaokang Zhang">
    <w15:presenceInfo w15:providerId="AD" w15:userId="S::xiaokang.zhang@uib.no::3cb6ab14-cb09-4f68-a231-1b8e6b2134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27F"/>
    <w:rsid w:val="004E327F"/>
    <w:rsid w:val="00511F98"/>
    <w:rsid w:val="006357E2"/>
    <w:rsid w:val="008A0EA4"/>
    <w:rsid w:val="008F5B1B"/>
    <w:rsid w:val="00C97CBA"/>
    <w:rsid w:val="00CC7B7D"/>
    <w:rsid w:val="00E11B99"/>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4343B6"/>
  <w15:chartTrackingRefBased/>
  <w15:docId w15:val="{AD36CC1A-C0E6-5848-8A8B-1C661C014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27F"/>
    <w:rPr>
      <w:rFonts w:ascii="Times New Roman" w:eastAsia="Times New Roman" w:hAnsi="Times New Roman" w:cs="Times New Roman"/>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27F"/>
    <w:pPr>
      <w:ind w:left="720"/>
      <w:contextualSpacing/>
    </w:pPr>
    <w:rPr>
      <w:rFonts w:asciiTheme="minorHAnsi" w:eastAsiaTheme="minorHAnsi" w:hAnsiTheme="minorHAnsi" w:cstheme="minorBidi"/>
      <w:lang w:eastAsia="en-US"/>
    </w:rPr>
  </w:style>
  <w:style w:type="character" w:styleId="CommentReference">
    <w:name w:val="annotation reference"/>
    <w:basedOn w:val="DefaultParagraphFont"/>
    <w:uiPriority w:val="99"/>
    <w:semiHidden/>
    <w:unhideWhenUsed/>
    <w:rsid w:val="004E327F"/>
    <w:rPr>
      <w:sz w:val="16"/>
      <w:szCs w:val="16"/>
    </w:rPr>
  </w:style>
  <w:style w:type="paragraph" w:styleId="CommentText">
    <w:name w:val="annotation text"/>
    <w:basedOn w:val="Normal"/>
    <w:link w:val="CommentTextChar"/>
    <w:uiPriority w:val="99"/>
    <w:unhideWhenUsed/>
    <w:rsid w:val="004E327F"/>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4E327F"/>
    <w:rPr>
      <w:sz w:val="20"/>
      <w:szCs w:val="20"/>
      <w:lang w:val="en-US"/>
    </w:rPr>
  </w:style>
  <w:style w:type="paragraph" w:styleId="BalloonText">
    <w:name w:val="Balloon Text"/>
    <w:basedOn w:val="Normal"/>
    <w:link w:val="BalloonTextChar"/>
    <w:uiPriority w:val="99"/>
    <w:semiHidden/>
    <w:unhideWhenUsed/>
    <w:rsid w:val="004E327F"/>
    <w:rPr>
      <w:sz w:val="18"/>
      <w:szCs w:val="18"/>
    </w:rPr>
  </w:style>
  <w:style w:type="character" w:customStyle="1" w:styleId="BalloonTextChar">
    <w:name w:val="Balloon Text Char"/>
    <w:basedOn w:val="DefaultParagraphFont"/>
    <w:link w:val="BalloonText"/>
    <w:uiPriority w:val="99"/>
    <w:semiHidden/>
    <w:rsid w:val="004E327F"/>
    <w:rPr>
      <w:rFonts w:ascii="Times New Roman" w:eastAsia="Times New Roman" w:hAnsi="Times New Roman" w:cs="Times New Roman"/>
      <w:sz w:val="18"/>
      <w:szCs w:val="18"/>
      <w:lang w:val="en-US" w:eastAsia="en-GB"/>
    </w:rPr>
  </w:style>
  <w:style w:type="paragraph" w:styleId="CommentSubject">
    <w:name w:val="annotation subject"/>
    <w:basedOn w:val="CommentText"/>
    <w:next w:val="CommentText"/>
    <w:link w:val="CommentSubjectChar"/>
    <w:uiPriority w:val="99"/>
    <w:semiHidden/>
    <w:unhideWhenUsed/>
    <w:rsid w:val="00CC7B7D"/>
    <w:rPr>
      <w:rFonts w:ascii="Times New Roman" w:eastAsia="Times New Roman" w:hAnsi="Times New Roman" w:cs="Times New Roman"/>
      <w:b/>
      <w:bCs/>
      <w:lang w:eastAsia="en-GB"/>
    </w:rPr>
  </w:style>
  <w:style w:type="character" w:customStyle="1" w:styleId="CommentSubjectChar">
    <w:name w:val="Comment Subject Char"/>
    <w:basedOn w:val="CommentTextChar"/>
    <w:link w:val="CommentSubject"/>
    <w:uiPriority w:val="99"/>
    <w:semiHidden/>
    <w:rsid w:val="00CC7B7D"/>
    <w:rPr>
      <w:rFonts w:ascii="Times New Roman" w:eastAsia="Times New Roman" w:hAnsi="Times New Roman" w:cs="Times New Roman"/>
      <w:b/>
      <w:bCs/>
      <w:sz w:val="20"/>
      <w:szCs w:val="20"/>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2.png"/><Relationship Id="rId5" Type="http://schemas.openxmlformats.org/officeDocument/2006/relationships/comments" Target="comment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bioinformatics.babraham.ac.uk/projects/fastq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2547</Words>
  <Characters>14521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Libe Aranguren Abadía</dc:creator>
  <cp:keywords/>
  <dc:description/>
  <cp:lastModifiedBy>Xiaokang Zhang</cp:lastModifiedBy>
  <cp:revision>2</cp:revision>
  <dcterms:created xsi:type="dcterms:W3CDTF">2020-07-10T10:44:00Z</dcterms:created>
  <dcterms:modified xsi:type="dcterms:W3CDTF">2020-07-10T10:44:00Z</dcterms:modified>
</cp:coreProperties>
</file>