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BB5EA4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BB5EA4">
      <w:pPr>
        <w:spacing w:line="400" w:lineRule="exact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cs="黑体" w:hint="eastAsia"/>
          <w:sz w:val="28"/>
          <w:szCs w:val="28"/>
        </w:rPr>
        <w:t>压力钢管制作单元工程质量评定表</w:t>
      </w:r>
    </w:p>
    <w:p w:rsidR="00000000" w:rsidRDefault="00BB5EA4">
      <w:pPr>
        <w:spacing w:line="400" w:lineRule="exact"/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681"/>
        <w:gridCol w:w="1418"/>
        <w:gridCol w:w="850"/>
        <w:gridCol w:w="709"/>
        <w:gridCol w:w="354"/>
        <w:gridCol w:w="355"/>
        <w:gridCol w:w="210"/>
        <w:gridCol w:w="499"/>
        <w:gridCol w:w="709"/>
        <w:gridCol w:w="292"/>
        <w:gridCol w:w="62"/>
        <w:gridCol w:w="355"/>
        <w:gridCol w:w="709"/>
        <w:gridCol w:w="1275"/>
        <w:gridCol w:w="567"/>
        <w:gridCol w:w="709"/>
      </w:tblGrid>
      <w:tr w:rsidR="00000000">
        <w:trPr>
          <w:trHeight w:val="499"/>
        </w:trPr>
        <w:tc>
          <w:tcPr>
            <w:tcW w:w="209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单位工程名称</w:t>
            </w:r>
          </w:p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(</w:t>
            </w:r>
            <w:r>
              <w:rPr>
                <w:kern w:val="0"/>
              </w:rPr>
              <w:t>及编码</w:t>
            </w:r>
            <w:r>
              <w:rPr>
                <w:kern w:val="0"/>
              </w:rPr>
              <w:t>)</w:t>
            </w:r>
          </w:p>
        </w:tc>
        <w:tc>
          <w:tcPr>
            <w:tcW w:w="2478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spacing w:line="240" w:lineRule="exact"/>
              <w:jc w:val="center"/>
              <w:rPr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0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单元工程量</w:t>
            </w:r>
          </w:p>
        </w:tc>
        <w:tc>
          <w:tcPr>
            <w:tcW w:w="3677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499"/>
        </w:trPr>
        <w:tc>
          <w:tcPr>
            <w:tcW w:w="20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分部工程名称</w:t>
            </w:r>
          </w:p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(</w:t>
            </w:r>
            <w:r>
              <w:rPr>
                <w:kern w:val="0"/>
              </w:rPr>
              <w:t>及编码</w:t>
            </w:r>
            <w:r>
              <w:rPr>
                <w:kern w:val="0"/>
              </w:rPr>
              <w:t>)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施工单位</w:t>
            </w:r>
          </w:p>
        </w:tc>
        <w:tc>
          <w:tcPr>
            <w:tcW w:w="3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660"/>
        </w:trPr>
        <w:tc>
          <w:tcPr>
            <w:tcW w:w="20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单元工程名称、部位</w:t>
            </w:r>
          </w:p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(</w:t>
            </w:r>
            <w:r>
              <w:rPr>
                <w:kern w:val="0"/>
              </w:rPr>
              <w:t>及编码</w:t>
            </w:r>
            <w:r>
              <w:rPr>
                <w:kern w:val="0"/>
              </w:rPr>
              <w:t>)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检验日期</w:t>
            </w:r>
          </w:p>
        </w:tc>
        <w:tc>
          <w:tcPr>
            <w:tcW w:w="3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right"/>
              <w:rPr>
                <w:kern w:val="0"/>
              </w:rPr>
            </w:pP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376"/>
        </w:trPr>
        <w:tc>
          <w:tcPr>
            <w:tcW w:w="20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施工依据</w:t>
            </w:r>
          </w:p>
        </w:tc>
        <w:tc>
          <w:tcPr>
            <w:tcW w:w="76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02"/>
        </w:trPr>
        <w:tc>
          <w:tcPr>
            <w:tcW w:w="681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项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次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项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目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设计值</w:t>
            </w:r>
            <w:r>
              <w:rPr>
                <w:kern w:val="0"/>
                <w:sz w:val="18"/>
                <w:szCs w:val="18"/>
              </w:rPr>
              <w:t>(mm)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允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许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偏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差（</w:t>
            </w:r>
            <w:r>
              <w:rPr>
                <w:kern w:val="0"/>
                <w:sz w:val="18"/>
                <w:szCs w:val="18"/>
              </w:rPr>
              <w:t>mm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255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检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验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记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231"/>
        </w:trPr>
        <w:tc>
          <w:tcPr>
            <w:tcW w:w="68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合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格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优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良</w:t>
            </w:r>
          </w:p>
        </w:tc>
        <w:tc>
          <w:tcPr>
            <w:tcW w:w="255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193"/>
        </w:trPr>
        <w:tc>
          <w:tcPr>
            <w:tcW w:w="68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钢管内径</w:t>
            </w:r>
            <w:r>
              <w:rPr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钢管内径</w:t>
            </w:r>
            <w:r>
              <w:rPr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实测值</w:t>
            </w:r>
            <w:r>
              <w:rPr>
                <w:kern w:val="0"/>
                <w:sz w:val="18"/>
                <w:szCs w:val="18"/>
              </w:rPr>
              <w:t>(mm)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合格数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合格率％</w:t>
            </w:r>
          </w:p>
        </w:tc>
      </w:tr>
      <w:tr w:rsidR="00000000">
        <w:trPr>
          <w:trHeight w:val="297"/>
        </w:trPr>
        <w:tc>
          <w:tcPr>
            <w:tcW w:w="68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D≤2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D≤5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D≤2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D≤5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259"/>
        </w:trPr>
        <w:tc>
          <w:tcPr>
            <w:tcW w:w="68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瓦片与样板</w:t>
            </w:r>
          </w:p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极限间隙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样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板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弦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长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9"/>
        </w:trPr>
        <w:tc>
          <w:tcPr>
            <w:tcW w:w="68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0.5D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1.0m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1.5m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0.5D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1.0m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1.5m</w:t>
            </w:r>
          </w:p>
        </w:tc>
        <w:tc>
          <w:tcPr>
            <w:tcW w:w="127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30"/>
        </w:trPr>
        <w:tc>
          <w:tcPr>
            <w:tcW w:w="68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1.0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93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ind w:leftChars="-50" w:left="75" w:hangingChars="100" w:hanging="18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实际周长与</w:t>
            </w:r>
          </w:p>
          <w:p w:rsidR="00000000" w:rsidRDefault="00BB5EA4">
            <w:pPr>
              <w:widowControl/>
              <w:ind w:leftChars="-50" w:left="75" w:hangingChars="100" w:hanging="18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设计周长差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±3D/1000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且</w:t>
            </w:r>
            <w:r>
              <w:rPr>
                <w:kern w:val="0"/>
                <w:sz w:val="18"/>
                <w:szCs w:val="18"/>
              </w:rPr>
              <w:t>≤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±24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±2.5D</w:t>
            </w:r>
            <w:r>
              <w:rPr>
                <w:kern w:val="0"/>
                <w:sz w:val="18"/>
                <w:szCs w:val="18"/>
              </w:rPr>
              <w:t>／</w:t>
            </w:r>
            <w:r>
              <w:rPr>
                <w:kern w:val="0"/>
                <w:sz w:val="18"/>
                <w:szCs w:val="18"/>
              </w:rPr>
              <w:t>1000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且</w:t>
            </w:r>
            <w:r>
              <w:rPr>
                <w:kern w:val="0"/>
                <w:sz w:val="18"/>
                <w:szCs w:val="18"/>
              </w:rPr>
              <w:t>≤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±24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20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ind w:firstLineChars="50" w:firstLine="9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相邻管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节周长差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δ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10   6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δ≥10   10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00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纵缝对口径向错边量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10%δ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≤2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≤10%δ</w:t>
            </w:r>
            <w:r>
              <w:rPr>
                <w:kern w:val="0"/>
                <w:sz w:val="18"/>
                <w:szCs w:val="18"/>
              </w:rPr>
              <w:t>且</w:t>
            </w:r>
            <w:r>
              <w:rPr>
                <w:kern w:val="0"/>
                <w:sz w:val="18"/>
                <w:szCs w:val="18"/>
              </w:rPr>
              <w:t>≤1.5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（当</w:t>
            </w:r>
            <w:r>
              <w:rPr>
                <w:kern w:val="0"/>
                <w:sz w:val="18"/>
                <w:szCs w:val="18"/>
              </w:rPr>
              <w:t>δ≤30</w:t>
            </w:r>
            <w:r>
              <w:rPr>
                <w:kern w:val="0"/>
                <w:sz w:val="18"/>
                <w:szCs w:val="18"/>
              </w:rPr>
              <w:t>时为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71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环缝对口径向错边量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δ≤30</w:t>
            </w:r>
            <w:r>
              <w:rPr>
                <w:kern w:val="0"/>
                <w:sz w:val="18"/>
                <w:szCs w:val="18"/>
              </w:rPr>
              <w:t>：</w:t>
            </w:r>
            <w:r>
              <w:rPr>
                <w:kern w:val="0"/>
                <w:sz w:val="18"/>
                <w:szCs w:val="18"/>
              </w:rPr>
              <w:t xml:space="preserve"> 15%δ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≤3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δ≤60</w:t>
            </w:r>
            <w:r>
              <w:rPr>
                <w:kern w:val="0"/>
                <w:sz w:val="18"/>
                <w:szCs w:val="18"/>
              </w:rPr>
              <w:t>：</w:t>
            </w:r>
            <w:r>
              <w:rPr>
                <w:kern w:val="0"/>
                <w:sz w:val="18"/>
                <w:szCs w:val="18"/>
              </w:rPr>
              <w:t xml:space="preserve">   10%δ</w:t>
            </w:r>
          </w:p>
          <w:p w:rsidR="00000000" w:rsidRDefault="00BB5EA4">
            <w:pPr>
              <w:ind w:firstLine="18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δ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60</w:t>
            </w:r>
            <w:r>
              <w:rPr>
                <w:kern w:val="0"/>
                <w:sz w:val="18"/>
                <w:szCs w:val="18"/>
              </w:rPr>
              <w:t>：</w:t>
            </w:r>
            <w:r>
              <w:rPr>
                <w:kern w:val="0"/>
                <w:sz w:val="18"/>
                <w:szCs w:val="18"/>
              </w:rPr>
              <w:t xml:space="preserve"> ≤6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δ≤30</w:t>
            </w:r>
            <w:r>
              <w:rPr>
                <w:kern w:val="0"/>
                <w:sz w:val="18"/>
                <w:szCs w:val="18"/>
              </w:rPr>
              <w:t>：</w:t>
            </w:r>
            <w:r>
              <w:rPr>
                <w:kern w:val="0"/>
                <w:sz w:val="18"/>
                <w:szCs w:val="18"/>
              </w:rPr>
              <w:t xml:space="preserve">  ≤15%δ </w:t>
            </w:r>
            <w:r>
              <w:rPr>
                <w:kern w:val="0"/>
                <w:sz w:val="18"/>
                <w:szCs w:val="18"/>
              </w:rPr>
              <w:t>且</w:t>
            </w:r>
            <w:r>
              <w:rPr>
                <w:kern w:val="0"/>
                <w:sz w:val="18"/>
                <w:szCs w:val="18"/>
              </w:rPr>
              <w:t>≤2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δ≤60</w:t>
            </w:r>
            <w:r>
              <w:rPr>
                <w:kern w:val="0"/>
                <w:sz w:val="18"/>
                <w:szCs w:val="18"/>
              </w:rPr>
              <w:t>：</w:t>
            </w:r>
            <w:r>
              <w:rPr>
                <w:kern w:val="0"/>
                <w:sz w:val="18"/>
                <w:szCs w:val="18"/>
              </w:rPr>
              <w:t xml:space="preserve"> 10%  </w:t>
            </w:r>
            <w:r>
              <w:rPr>
                <w:kern w:val="0"/>
                <w:sz w:val="18"/>
                <w:szCs w:val="18"/>
              </w:rPr>
              <w:t>且</w:t>
            </w:r>
            <w:r>
              <w:rPr>
                <w:kern w:val="0"/>
                <w:sz w:val="18"/>
                <w:szCs w:val="18"/>
              </w:rPr>
              <w:t>≤4</w:t>
            </w:r>
          </w:p>
          <w:p w:rsidR="00000000" w:rsidRDefault="00BB5EA4">
            <w:pPr>
              <w:ind w:firstLine="18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δ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60</w:t>
            </w:r>
            <w:r>
              <w:rPr>
                <w:kern w:val="0"/>
                <w:sz w:val="18"/>
                <w:szCs w:val="18"/>
              </w:rPr>
              <w:t>：</w:t>
            </w:r>
            <w:r>
              <w:rPr>
                <w:kern w:val="0"/>
                <w:sz w:val="18"/>
                <w:szCs w:val="18"/>
              </w:rPr>
              <w:t xml:space="preserve"> ≤5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93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钢管管口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平面度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D≤5m</w:t>
            </w:r>
          </w:p>
        </w:tc>
        <w:tc>
          <w:tcPr>
            <w:tcW w:w="1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5m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D≤5m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5m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8"/>
        </w:trPr>
        <w:tc>
          <w:tcPr>
            <w:tcW w:w="6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1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3.0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00"/>
        </w:trPr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焊缝外观检查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见表焊缝外观质量评定表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3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一、二类焊缝内部焊接质量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spacing w:line="40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见探伤报告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29"/>
        </w:trPr>
        <w:tc>
          <w:tcPr>
            <w:tcW w:w="68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纵缝与样板的</w:t>
            </w:r>
            <w:r>
              <w:rPr>
                <w:kern w:val="0"/>
                <w:sz w:val="18"/>
                <w:szCs w:val="18"/>
              </w:rPr>
              <w:lastRenderedPageBreak/>
              <w:t>极限间隙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样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板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弦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长</w:t>
            </w:r>
            <w:r>
              <w:rPr>
                <w:kern w:val="0"/>
                <w:sz w:val="18"/>
                <w:szCs w:val="18"/>
              </w:rPr>
              <w:t xml:space="preserve"> mm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0"/>
        </w:trPr>
        <w:tc>
          <w:tcPr>
            <w:tcW w:w="68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D/10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500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D/10</w:t>
            </w:r>
          </w:p>
        </w:tc>
        <w:tc>
          <w:tcPr>
            <w:tcW w:w="127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75"/>
        </w:trPr>
        <w:tc>
          <w:tcPr>
            <w:tcW w:w="68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4.0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4.0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4.0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3.0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4.0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54"/>
        </w:trPr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钢管圆度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3D/1000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≤30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2.5D/1000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5"/>
        </w:trPr>
        <w:tc>
          <w:tcPr>
            <w:tcW w:w="68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11.1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支承环、加劲环、止推环或阻水环与管壁的铅垂度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支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承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环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1"/>
        </w:trPr>
        <w:tc>
          <w:tcPr>
            <w:tcW w:w="68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  <w:r>
              <w:rPr>
                <w:rFonts w:eastAsia="新宋体"/>
                <w:kern w:val="0"/>
                <w:sz w:val="18"/>
                <w:szCs w:val="18"/>
              </w:rPr>
              <w:t xml:space="preserve"> ≤</w:t>
            </w:r>
            <w:r>
              <w:rPr>
                <w:kern w:val="0"/>
                <w:sz w:val="18"/>
                <w:szCs w:val="18"/>
              </w:rPr>
              <w:t>0.01H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≤3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  <w:r>
              <w:rPr>
                <w:rFonts w:eastAsia="新宋体"/>
                <w:kern w:val="0"/>
                <w:sz w:val="18"/>
                <w:szCs w:val="18"/>
              </w:rPr>
              <w:t xml:space="preserve"> ≤</w:t>
            </w:r>
            <w:r>
              <w:rPr>
                <w:kern w:val="0"/>
                <w:sz w:val="18"/>
                <w:szCs w:val="18"/>
              </w:rPr>
              <w:t>0.01H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≤2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41"/>
        </w:trPr>
        <w:tc>
          <w:tcPr>
            <w:tcW w:w="68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7"/>
        </w:trPr>
        <w:tc>
          <w:tcPr>
            <w:tcW w:w="68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 ≤0.02H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≤5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 ≤0.02H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≤3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294"/>
        </w:trPr>
        <w:tc>
          <w:tcPr>
            <w:tcW w:w="68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11.2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支承环、加劲环、止推环或阻水环所组成的平面与管轴线的铅垂度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支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承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环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15"/>
        </w:trPr>
        <w:tc>
          <w:tcPr>
            <w:tcW w:w="68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b ≤2D/1000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≤6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b ≤2D/1000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≤4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91"/>
        </w:trPr>
        <w:tc>
          <w:tcPr>
            <w:tcW w:w="68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2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5"/>
        </w:trPr>
        <w:tc>
          <w:tcPr>
            <w:tcW w:w="68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b ≤4D/1000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≤12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b ≤4D/1000</w:t>
            </w:r>
            <w:r>
              <w:rPr>
                <w:kern w:val="0"/>
                <w:sz w:val="18"/>
                <w:szCs w:val="18"/>
              </w:rPr>
              <w:t>，且</w:t>
            </w:r>
            <w:r>
              <w:rPr>
                <w:kern w:val="0"/>
                <w:sz w:val="18"/>
                <w:szCs w:val="18"/>
              </w:rPr>
              <w:t>≤10</w:t>
            </w:r>
          </w:p>
        </w:tc>
        <w:tc>
          <w:tcPr>
            <w:tcW w:w="1275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000000" w:rsidRDefault="00BB5EA4">
      <w:pPr>
        <w:spacing w:line="400" w:lineRule="exact"/>
        <w:rPr>
          <w:rFonts w:cs="宋体" w:hint="eastAsia"/>
        </w:rPr>
      </w:pPr>
    </w:p>
    <w:p w:rsidR="00000000" w:rsidRDefault="00BB5EA4">
      <w:pPr>
        <w:spacing w:line="400" w:lineRule="exact"/>
      </w:pPr>
      <w:r>
        <w:rPr>
          <w:rFonts w:cs="宋体" w:hint="eastAsia"/>
        </w:rPr>
        <w:t>续表</w:t>
      </w: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682"/>
        <w:gridCol w:w="1418"/>
        <w:gridCol w:w="850"/>
        <w:gridCol w:w="567"/>
        <w:gridCol w:w="141"/>
        <w:gridCol w:w="709"/>
        <w:gridCol w:w="709"/>
        <w:gridCol w:w="709"/>
        <w:gridCol w:w="142"/>
        <w:gridCol w:w="567"/>
        <w:gridCol w:w="709"/>
        <w:gridCol w:w="1134"/>
        <w:gridCol w:w="567"/>
        <w:gridCol w:w="708"/>
      </w:tblGrid>
      <w:tr w:rsidR="00000000">
        <w:trPr>
          <w:trHeight w:val="402"/>
        </w:trPr>
        <w:tc>
          <w:tcPr>
            <w:tcW w:w="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项次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设计值（</w:t>
            </w:r>
            <w:r>
              <w:rPr>
                <w:kern w:val="0"/>
                <w:sz w:val="18"/>
                <w:szCs w:val="18"/>
              </w:rPr>
              <w:t>mm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425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允许偏差（</w:t>
            </w:r>
            <w:r>
              <w:rPr>
                <w:kern w:val="0"/>
                <w:sz w:val="18"/>
                <w:szCs w:val="18"/>
              </w:rPr>
              <w:t>mm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验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记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402"/>
        </w:trPr>
        <w:tc>
          <w:tcPr>
            <w:tcW w:w="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合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优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良</w:t>
            </w:r>
          </w:p>
        </w:tc>
        <w:tc>
          <w:tcPr>
            <w:tcW w:w="240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99"/>
        </w:trPr>
        <w:tc>
          <w:tcPr>
            <w:tcW w:w="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钢管内径</w:t>
            </w:r>
            <w:r>
              <w:rPr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m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钢管内径</w:t>
            </w:r>
            <w:r>
              <w:rPr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m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实测值</w:t>
            </w:r>
            <w:r>
              <w:rPr>
                <w:kern w:val="0"/>
                <w:sz w:val="18"/>
                <w:szCs w:val="18"/>
              </w:rPr>
              <w:t>(mm)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合格数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kern w:val="0"/>
                <w:sz w:val="18"/>
                <w:szCs w:val="18"/>
              </w:rPr>
              <w:t>点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合格率％</w:t>
            </w:r>
          </w:p>
        </w:tc>
      </w:tr>
      <w:tr w:rsidR="00000000">
        <w:trPr>
          <w:trHeight w:val="437"/>
        </w:trPr>
        <w:tc>
          <w:tcPr>
            <w:tcW w:w="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D≤2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D≤5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D≤2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D≤5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20"/>
        </w:trPr>
        <w:tc>
          <w:tcPr>
            <w:tcW w:w="682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11.3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相邻两环</w:t>
            </w:r>
            <w:r>
              <w:rPr>
                <w:kern w:val="0"/>
                <w:sz w:val="18"/>
                <w:szCs w:val="18"/>
              </w:rPr>
              <w:t xml:space="preserve">    </w:t>
            </w:r>
          </w:p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的间距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支承环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20"/>
        </w:trPr>
        <w:tc>
          <w:tcPr>
            <w:tcW w:w="68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±10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±8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20"/>
        </w:trPr>
        <w:tc>
          <w:tcPr>
            <w:tcW w:w="68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5"/>
        </w:trPr>
        <w:tc>
          <w:tcPr>
            <w:tcW w:w="6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±30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±25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130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11.4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进人门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装配开关自如、密封良好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装配开关自如、密封良好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90"/>
        </w:trPr>
        <w:tc>
          <w:tcPr>
            <w:tcW w:w="6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焊接质量合格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焊接质量优良、无返修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0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11.5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灌桨孔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位置偏差</w:t>
            </w:r>
            <w:r>
              <w:rPr>
                <w:kern w:val="0"/>
                <w:sz w:val="18"/>
                <w:szCs w:val="18"/>
              </w:rPr>
              <w:t>≤5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位置偏差</w:t>
            </w:r>
            <w:r>
              <w:rPr>
                <w:kern w:val="0"/>
                <w:sz w:val="18"/>
                <w:szCs w:val="18"/>
              </w:rPr>
              <w:t>≤3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23"/>
        </w:trPr>
        <w:tc>
          <w:tcPr>
            <w:tcW w:w="6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尺寸偏差</w:t>
            </w:r>
            <w:r>
              <w:rPr>
                <w:kern w:val="0"/>
                <w:sz w:val="18"/>
                <w:szCs w:val="18"/>
              </w:rPr>
              <w:t>≤2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尺寸</w:t>
            </w:r>
            <w:r>
              <w:rPr>
                <w:rFonts w:hAnsi="宋体"/>
                <w:kern w:val="0"/>
                <w:sz w:val="18"/>
                <w:szCs w:val="18"/>
              </w:rPr>
              <w:t>偏差</w:t>
            </w:r>
            <w:r>
              <w:rPr>
                <w:kern w:val="0"/>
                <w:sz w:val="18"/>
                <w:szCs w:val="18"/>
              </w:rPr>
              <w:t>≤1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22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11.6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贴壁排水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安装尺寸偏差</w:t>
            </w:r>
            <w:r>
              <w:rPr>
                <w:kern w:val="0"/>
                <w:sz w:val="18"/>
                <w:szCs w:val="18"/>
              </w:rPr>
              <w:t>≤5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安装尺寸偏差</w:t>
            </w:r>
            <w:r>
              <w:rPr>
                <w:kern w:val="0"/>
                <w:sz w:val="18"/>
                <w:szCs w:val="18"/>
              </w:rPr>
              <w:t>≤3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27"/>
        </w:trPr>
        <w:tc>
          <w:tcPr>
            <w:tcW w:w="6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焊接检测合格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焊接检测优良、无返修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032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钢管内、外壁的表面清除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内、外壁上，凡安装无用的临时支承、夹具和焊疤清除干净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内、外壁上，凡安装无用的临时支承、夹具和焊疤清除</w:t>
            </w:r>
            <w:r>
              <w:rPr>
                <w:rFonts w:hAnsi="宋体"/>
                <w:sz w:val="18"/>
                <w:szCs w:val="18"/>
              </w:rPr>
              <w:t>干净并磨光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056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12.2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钢管内、外壁局部凹坑补焊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内、外壁上，深度大于板厚</w:t>
            </w:r>
            <w:r>
              <w:rPr>
                <w:sz w:val="18"/>
                <w:szCs w:val="18"/>
              </w:rPr>
              <w:t xml:space="preserve">10%   </w:t>
            </w:r>
            <w:r>
              <w:rPr>
                <w:rFonts w:hAnsi="宋体"/>
                <w:sz w:val="18"/>
                <w:szCs w:val="18"/>
              </w:rPr>
              <w:t>或大于</w:t>
            </w:r>
            <w:r>
              <w:rPr>
                <w:sz w:val="18"/>
                <w:szCs w:val="18"/>
              </w:rPr>
              <w:t>2mm</w:t>
            </w:r>
            <w:r>
              <w:rPr>
                <w:rFonts w:hAnsi="宋体"/>
                <w:sz w:val="18"/>
                <w:szCs w:val="18"/>
              </w:rPr>
              <w:t>的凹坑应补焊并磨光。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内、外壁上，深度大于板厚</w:t>
            </w:r>
            <w:r>
              <w:rPr>
                <w:sz w:val="18"/>
                <w:szCs w:val="18"/>
              </w:rPr>
              <w:t xml:space="preserve">10%   </w:t>
            </w:r>
            <w:r>
              <w:rPr>
                <w:rFonts w:hAnsi="宋体"/>
                <w:sz w:val="18"/>
                <w:szCs w:val="18"/>
              </w:rPr>
              <w:t>或大于</w:t>
            </w:r>
            <w:r>
              <w:rPr>
                <w:sz w:val="18"/>
                <w:szCs w:val="18"/>
              </w:rPr>
              <w:t>2mm</w:t>
            </w:r>
            <w:r>
              <w:rPr>
                <w:rFonts w:hAnsi="宋体"/>
                <w:sz w:val="18"/>
                <w:szCs w:val="18"/>
              </w:rPr>
              <w:t>的凹坑补焊并磨光。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080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埋管和明管防腐蚀表面处理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内壁除锈质量达</w:t>
            </w:r>
            <w:r>
              <w:rPr>
                <w:sz w:val="18"/>
                <w:szCs w:val="18"/>
              </w:rPr>
              <w:t>Sa2.5</w:t>
            </w:r>
            <w:r>
              <w:rPr>
                <w:rFonts w:hAnsi="宋体"/>
                <w:sz w:val="18"/>
                <w:szCs w:val="18"/>
              </w:rPr>
              <w:t>标准，表面粗糙度不低于</w:t>
            </w:r>
            <w:r>
              <w:rPr>
                <w:sz w:val="18"/>
                <w:szCs w:val="18"/>
              </w:rPr>
              <w:t>100</w:t>
            </w:r>
            <w:r>
              <w:rPr>
                <w:spacing w:val="-8"/>
                <w:sz w:val="18"/>
                <w:szCs w:val="18"/>
              </w:rPr>
              <w:t xml:space="preserve">μm </w:t>
            </w:r>
            <w:r>
              <w:rPr>
                <w:rFonts w:hAnsi="宋体"/>
                <w:sz w:val="18"/>
                <w:szCs w:val="18"/>
              </w:rPr>
              <w:t>。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内壁除锈质量达</w:t>
            </w:r>
            <w:r>
              <w:rPr>
                <w:sz w:val="18"/>
                <w:szCs w:val="18"/>
              </w:rPr>
              <w:t>Sa2.5</w:t>
            </w:r>
            <w:r>
              <w:rPr>
                <w:rFonts w:hAnsi="宋体"/>
                <w:sz w:val="18"/>
                <w:szCs w:val="18"/>
              </w:rPr>
              <w:t>标准，表面粗糙度达到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  <w:r>
              <w:rPr>
                <w:rFonts w:hAnsi="宋体"/>
                <w:sz w:val="18"/>
                <w:szCs w:val="18"/>
              </w:rPr>
              <w:t>～</w:t>
            </w:r>
            <w:r>
              <w:rPr>
                <w:sz w:val="18"/>
                <w:szCs w:val="18"/>
              </w:rPr>
              <w:t>150</w:t>
            </w:r>
            <w:r>
              <w:rPr>
                <w:spacing w:val="-8"/>
                <w:sz w:val="18"/>
                <w:szCs w:val="18"/>
              </w:rPr>
              <w:t xml:space="preserve">μm </w:t>
            </w:r>
            <w:r>
              <w:rPr>
                <w:rFonts w:hAnsi="宋体"/>
                <w:sz w:val="18"/>
                <w:szCs w:val="18"/>
              </w:rPr>
              <w:t>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996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埋管和明管防腐蚀涂料涂装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B5EA4"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涂料涂装层数、厚度、时间符合设计和规范要求及厂家规定。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涂料涂装层数、厚度、时间符合设计和规范要求及厂家规定，外观良好。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99"/>
        </w:trPr>
        <w:tc>
          <w:tcPr>
            <w:tcW w:w="2950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检验结果</w:t>
            </w:r>
          </w:p>
        </w:tc>
        <w:tc>
          <w:tcPr>
            <w:tcW w:w="6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主要项目共测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1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3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110"/>
        </w:trPr>
        <w:tc>
          <w:tcPr>
            <w:tcW w:w="2950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一般项目共测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4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5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6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261"/>
        </w:trPr>
        <w:tc>
          <w:tcPr>
            <w:tcW w:w="592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评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定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意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见</w:t>
            </w: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质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量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等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级</w:t>
            </w:r>
          </w:p>
        </w:tc>
      </w:tr>
      <w:tr w:rsidR="00000000">
        <w:trPr>
          <w:trHeight w:val="708"/>
        </w:trPr>
        <w:tc>
          <w:tcPr>
            <w:tcW w:w="592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主要项目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质量标准，一般项目实测点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％符合质量标准，项目优良率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％。其中主要项目优良率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％。</w:t>
            </w: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1178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测</w:t>
            </w:r>
            <w:r>
              <w:rPr>
                <w:rFonts w:hint="eastAsia"/>
                <w:kern w:val="0"/>
              </w:rPr>
              <w:t xml:space="preserve"> </w:t>
            </w:r>
          </w:p>
          <w:p w:rsidR="00000000" w:rsidRDefault="00BB5EA4">
            <w:pPr>
              <w:widowControl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量</w:t>
            </w:r>
          </w:p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</w:rPr>
            </w:pPr>
            <w:bookmarkStart w:id="1" w:name="img_1"/>
            <w:bookmarkEnd w:id="1"/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施工单位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jc w:val="center"/>
              <w:rPr>
                <w:kern w:val="0"/>
              </w:rPr>
            </w:pPr>
            <w:bookmarkStart w:id="2" w:name="img_2"/>
            <w:bookmarkEnd w:id="2"/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B5EA4">
            <w:pPr>
              <w:widowControl/>
              <w:wordWrap w:val="0"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监理单位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BB5EA4">
            <w:pPr>
              <w:wordWrap w:val="0"/>
              <w:jc w:val="center"/>
              <w:rPr>
                <w:kern w:val="0"/>
              </w:rPr>
            </w:pPr>
            <w:bookmarkStart w:id="3" w:name="img_3"/>
            <w:bookmarkEnd w:id="3"/>
          </w:p>
        </w:tc>
      </w:tr>
      <w:tr w:rsidR="00000000">
        <w:trPr>
          <w:trHeight w:val="108"/>
        </w:trPr>
        <w:tc>
          <w:tcPr>
            <w:tcW w:w="68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ind w:firstLineChars="150" w:firstLine="315"/>
              <w:jc w:val="right"/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ind w:firstLineChars="150" w:firstLine="315"/>
              <w:jc w:val="right"/>
              <w:rPr>
                <w:kern w:val="0"/>
              </w:rPr>
            </w:pPr>
          </w:p>
        </w:tc>
        <w:tc>
          <w:tcPr>
            <w:tcW w:w="2410" w:type="dxa"/>
            <w:gridSpan w:val="5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ind w:firstLineChars="150" w:firstLine="315"/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B5EA4">
            <w:pPr>
              <w:ind w:firstLineChars="150" w:firstLine="315"/>
              <w:jc w:val="right"/>
              <w:rPr>
                <w:kern w:val="0"/>
              </w:rPr>
            </w:pPr>
          </w:p>
        </w:tc>
        <w:tc>
          <w:tcPr>
            <w:tcW w:w="3118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BB5EA4">
            <w:pPr>
              <w:ind w:firstLineChars="150" w:firstLine="315"/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BB5EA4" w:rsidRDefault="00BB5EA4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B5EA4">
      <w:pgSz w:w="11906" w:h="16838"/>
      <w:pgMar w:top="907" w:right="680" w:bottom="340" w:left="21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B5EA4"/>
    <w:rsid w:val="00BB6201"/>
    <w:rsid w:val="00BD03C6"/>
    <w:rsid w:val="00C33AFD"/>
    <w:rsid w:val="00D9139E"/>
    <w:rsid w:val="00E30AB7"/>
    <w:rsid w:val="00E91349"/>
    <w:rsid w:val="012D0EEF"/>
    <w:rsid w:val="013509A7"/>
    <w:rsid w:val="015C35B9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A0689B"/>
    <w:rsid w:val="04C762FD"/>
    <w:rsid w:val="04E73608"/>
    <w:rsid w:val="0509664B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72047C"/>
    <w:rsid w:val="0B8F2A89"/>
    <w:rsid w:val="0BB36DCD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E14B3D"/>
    <w:rsid w:val="0E1D1EBC"/>
    <w:rsid w:val="0E9B6958"/>
    <w:rsid w:val="0EA43C3F"/>
    <w:rsid w:val="0F037AD4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72B45"/>
    <w:rsid w:val="113C2DAC"/>
    <w:rsid w:val="115C71B2"/>
    <w:rsid w:val="115C74AC"/>
    <w:rsid w:val="119C66CE"/>
    <w:rsid w:val="119F151D"/>
    <w:rsid w:val="11AF3E0B"/>
    <w:rsid w:val="11B21A75"/>
    <w:rsid w:val="11C228E1"/>
    <w:rsid w:val="11CA7DC9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6197A"/>
    <w:rsid w:val="134A2A09"/>
    <w:rsid w:val="13521BEC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22B33"/>
    <w:rsid w:val="16B858FB"/>
    <w:rsid w:val="16C54B37"/>
    <w:rsid w:val="170F0EBE"/>
    <w:rsid w:val="172A5377"/>
    <w:rsid w:val="17305CCA"/>
    <w:rsid w:val="177C2648"/>
    <w:rsid w:val="17950223"/>
    <w:rsid w:val="17E65F34"/>
    <w:rsid w:val="18386CEB"/>
    <w:rsid w:val="184C6055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67133A"/>
    <w:rsid w:val="1A801CFC"/>
    <w:rsid w:val="1AD753E4"/>
    <w:rsid w:val="1AEF42A0"/>
    <w:rsid w:val="1AF012FF"/>
    <w:rsid w:val="1AFA644F"/>
    <w:rsid w:val="1B087F3C"/>
    <w:rsid w:val="1B10215E"/>
    <w:rsid w:val="1B3360EA"/>
    <w:rsid w:val="1B457698"/>
    <w:rsid w:val="1B7B3BDF"/>
    <w:rsid w:val="1BB97AFD"/>
    <w:rsid w:val="1C057D1B"/>
    <w:rsid w:val="1C082DE2"/>
    <w:rsid w:val="1C0935D3"/>
    <w:rsid w:val="1C2E1783"/>
    <w:rsid w:val="1C7A6E92"/>
    <w:rsid w:val="1CB21455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2BA0"/>
    <w:rsid w:val="23693DAA"/>
    <w:rsid w:val="237D1EB3"/>
    <w:rsid w:val="23D61410"/>
    <w:rsid w:val="23EB3C65"/>
    <w:rsid w:val="241720FC"/>
    <w:rsid w:val="24522465"/>
    <w:rsid w:val="24B6455F"/>
    <w:rsid w:val="24FC08CE"/>
    <w:rsid w:val="25636580"/>
    <w:rsid w:val="25903E34"/>
    <w:rsid w:val="25BC131B"/>
    <w:rsid w:val="25F4024D"/>
    <w:rsid w:val="25F83919"/>
    <w:rsid w:val="263E73D8"/>
    <w:rsid w:val="26B07B5C"/>
    <w:rsid w:val="26B25FBC"/>
    <w:rsid w:val="27184DE5"/>
    <w:rsid w:val="2755144F"/>
    <w:rsid w:val="276653F9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BC18A7"/>
    <w:rsid w:val="2EDE4775"/>
    <w:rsid w:val="2F643042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A15AA4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375682"/>
    <w:rsid w:val="37C10DAE"/>
    <w:rsid w:val="37DE0059"/>
    <w:rsid w:val="3882782E"/>
    <w:rsid w:val="38AB3C5A"/>
    <w:rsid w:val="38B64729"/>
    <w:rsid w:val="38C44275"/>
    <w:rsid w:val="38E35C11"/>
    <w:rsid w:val="392D7E87"/>
    <w:rsid w:val="39666200"/>
    <w:rsid w:val="39973B32"/>
    <w:rsid w:val="39A468A4"/>
    <w:rsid w:val="39DE184F"/>
    <w:rsid w:val="3A4407B5"/>
    <w:rsid w:val="3A5E0BEA"/>
    <w:rsid w:val="3A804CD2"/>
    <w:rsid w:val="3AFB34AF"/>
    <w:rsid w:val="3B0B49DA"/>
    <w:rsid w:val="3B115B21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056E6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425256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2E39ED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54478D"/>
    <w:rsid w:val="48545459"/>
    <w:rsid w:val="48E2281B"/>
    <w:rsid w:val="48F30AA8"/>
    <w:rsid w:val="496941D4"/>
    <w:rsid w:val="49B8714A"/>
    <w:rsid w:val="49E25CAA"/>
    <w:rsid w:val="4AB91D25"/>
    <w:rsid w:val="4ABE64E9"/>
    <w:rsid w:val="4AE92DF2"/>
    <w:rsid w:val="4AEB6EB6"/>
    <w:rsid w:val="4B176793"/>
    <w:rsid w:val="4B1C3E73"/>
    <w:rsid w:val="4B46614F"/>
    <w:rsid w:val="4B575116"/>
    <w:rsid w:val="4B756FC5"/>
    <w:rsid w:val="4BC237DA"/>
    <w:rsid w:val="4BE92199"/>
    <w:rsid w:val="4C214CD2"/>
    <w:rsid w:val="4C224373"/>
    <w:rsid w:val="4C2425FE"/>
    <w:rsid w:val="4C40554B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754A4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A13C49"/>
    <w:rsid w:val="5ECC3C49"/>
    <w:rsid w:val="5F266807"/>
    <w:rsid w:val="5F4864BC"/>
    <w:rsid w:val="60034015"/>
    <w:rsid w:val="600C5BC2"/>
    <w:rsid w:val="604638DA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29230F"/>
    <w:rsid w:val="63404A48"/>
    <w:rsid w:val="63476D44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BB25DB"/>
    <w:rsid w:val="6E0B5F29"/>
    <w:rsid w:val="6E23445B"/>
    <w:rsid w:val="6E5257AE"/>
    <w:rsid w:val="6E614EF5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943229"/>
    <w:rsid w:val="6FA87E0B"/>
    <w:rsid w:val="70207D8E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3E1B29"/>
    <w:rsid w:val="739574D1"/>
    <w:rsid w:val="73B9115B"/>
    <w:rsid w:val="73C860FE"/>
    <w:rsid w:val="73E755C5"/>
    <w:rsid w:val="740A1027"/>
    <w:rsid w:val="740B5EE3"/>
    <w:rsid w:val="743B658F"/>
    <w:rsid w:val="74663752"/>
    <w:rsid w:val="748414FE"/>
    <w:rsid w:val="752B1CF3"/>
    <w:rsid w:val="758A1C1C"/>
    <w:rsid w:val="761F3D7A"/>
    <w:rsid w:val="76475BAA"/>
    <w:rsid w:val="765025E3"/>
    <w:rsid w:val="76771478"/>
    <w:rsid w:val="77195B09"/>
    <w:rsid w:val="775545B9"/>
    <w:rsid w:val="776B5826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2D6909"/>
    <w:rsid w:val="7C7E5622"/>
    <w:rsid w:val="7C990A10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637E69"/>
    <w:rsid w:val="7E834C5A"/>
    <w:rsid w:val="7EAE43BF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839E5-2B12-47FA-9663-DDD3AFC9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icon-arrowthick-2-n-s2">
    <w:name w:val="ui-icon-arrowthick-2-n-s2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a6">
    <w:name w:val="Emphasis"/>
    <w:qFormat/>
    <w:rPr>
      <w:i w:val="0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Acronym"/>
    <w:basedOn w:val="a0"/>
  </w:style>
  <w:style w:type="character" w:customStyle="1" w:styleId="up">
    <w:name w:val="up"/>
    <w:basedOn w:val="a0"/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a">
    <w:name w:val="表格题目"/>
    <w:basedOn w:val="a9"/>
    <w:next w:val="a"/>
    <w:qFormat/>
    <w:pPr>
      <w:spacing w:before="120"/>
      <w:jc w:val="both"/>
    </w:p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2821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2018-04-26T09:03:00Z</dcterms:created>
  <dcterms:modified xsi:type="dcterms:W3CDTF">2018-04-26T09:03:00Z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