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DF3A" w14:textId="77777777" w:rsidR="001C6407" w:rsidRDefault="001C6407">
      <w:pPr>
        <w:spacing w:before="4000"/>
      </w:pPr>
    </w:p>
    <w:p w14:paraId="70B67AF3" w14:textId="61AF4C88" w:rsidR="001C6407" w:rsidRDefault="00000000">
      <w:pPr>
        <w:spacing w:after="200"/>
        <w:jc w:val="center"/>
      </w:pPr>
      <w:r>
        <w:rPr>
          <w:rFonts w:eastAsia="Arial"/>
          <w:b/>
          <w:bCs/>
          <w:color w:val="1B4F72"/>
          <w:sz w:val="44"/>
          <w:szCs w:val="44"/>
        </w:rPr>
        <w:t>Data Sources for</w:t>
      </w:r>
    </w:p>
    <w:p w14:paraId="2397B60A" w14:textId="6EEC44FB" w:rsidR="001C6407" w:rsidRPr="00280989" w:rsidRDefault="00280989">
      <w:pPr>
        <w:spacing w:after="400"/>
        <w:jc w:val="center"/>
        <w:rPr>
          <w:rFonts w:hint="eastAsia"/>
        </w:rPr>
      </w:pPr>
      <w:r>
        <w:rPr>
          <w:rFonts w:hint="eastAsia"/>
          <w:b/>
          <w:bCs/>
          <w:color w:val="1B4F72"/>
          <w:sz w:val="44"/>
          <w:szCs w:val="44"/>
        </w:rPr>
        <w:t>Project Research</w:t>
      </w:r>
    </w:p>
    <w:p w14:paraId="0E2F578E" w14:textId="1B52F456" w:rsidR="001C6407" w:rsidRPr="00F55F1E" w:rsidRDefault="00F55F1E">
      <w:pPr>
        <w:spacing w:after="200"/>
        <w:jc w:val="center"/>
        <w:rPr>
          <w:rFonts w:hint="eastAsia"/>
        </w:rPr>
      </w:pPr>
      <w:r>
        <w:rPr>
          <w:rFonts w:hint="eastAsia"/>
          <w:color w:val="2E75B6"/>
          <w:sz w:val="28"/>
          <w:szCs w:val="28"/>
        </w:rPr>
        <w:t>Hongyu Zhou</w:t>
      </w:r>
    </w:p>
    <w:p w14:paraId="493EA5B9" w14:textId="77777777" w:rsidR="001C6407" w:rsidRDefault="00000000">
      <w:pPr>
        <w:pBdr>
          <w:top w:val="single" w:sz="6" w:space="8" w:color="2E75B6"/>
        </w:pBdr>
        <w:spacing w:before="600" w:after="200"/>
        <w:jc w:val="center"/>
      </w:pPr>
      <w:r>
        <w:rPr>
          <w:rFonts w:eastAsia="Arial"/>
          <w:i/>
          <w:iCs/>
          <w:color w:val="555555"/>
          <w:sz w:val="24"/>
          <w:szCs w:val="24"/>
        </w:rPr>
        <w:t>Reference Guide</w:t>
      </w:r>
    </w:p>
    <w:p w14:paraId="03687A76" w14:textId="77777777" w:rsidR="001C6407" w:rsidRDefault="00000000">
      <w:pPr>
        <w:spacing w:before="200"/>
        <w:jc w:val="center"/>
      </w:pPr>
      <w:r>
        <w:rPr>
          <w:rFonts w:eastAsia="Arial"/>
          <w:color w:val="777777"/>
          <w:sz w:val="22"/>
          <w:szCs w:val="22"/>
        </w:rPr>
        <w:t>March 2026</w:t>
      </w:r>
    </w:p>
    <w:p w14:paraId="5A2EA295" w14:textId="77777777" w:rsidR="001C6407" w:rsidRDefault="001C6407">
      <w:pPr>
        <w:sectPr w:rsidR="001C640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A20244A" w14:textId="77777777" w:rsidR="001C6407" w:rsidRDefault="00000000">
      <w:pPr>
        <w:pStyle w:val="Heading1"/>
      </w:pPr>
      <w:r>
        <w:lastRenderedPageBreak/>
        <w:t>1. Global &amp; Multilateral Sources</w:t>
      </w:r>
    </w:p>
    <w:p w14:paraId="4E1D15E1" w14:textId="77777777" w:rsidR="001C6407" w:rsidRDefault="00000000">
      <w:pPr>
        <w:pStyle w:val="Heading2"/>
      </w:pPr>
      <w:r>
        <w:t>1.1 UNESCO Institute for Statistics (UIS)</w:t>
      </w:r>
    </w:p>
    <w:p w14:paraId="4CDD4143" w14:textId="77777777" w:rsidR="001C6407" w:rsidRDefault="00000000">
      <w:pPr>
        <w:spacing w:before="120" w:after="120"/>
      </w:pPr>
      <w:r>
        <w:rPr>
          <w:rFonts w:eastAsia="Arial"/>
        </w:rPr>
        <w:t>The official UN repository for internationally comparable education data. Covers 200+ countries with time series from 1970 onwards.</w:t>
      </w:r>
    </w:p>
    <w:p w14:paraId="5F1D9017" w14:textId="77777777" w:rsidR="001C6407" w:rsidRDefault="00000000">
      <w:pPr>
        <w:spacing w:before="120" w:after="120"/>
      </w:pPr>
      <w:r>
        <w:rPr>
          <w:rFonts w:eastAsia="Arial"/>
          <w:b/>
          <w:bCs/>
        </w:rPr>
        <w:t>Key Datasets &amp; Metrics:</w:t>
      </w:r>
    </w:p>
    <w:p w14:paraId="0C2D99A7" w14:textId="77777777" w:rsidR="001C640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Gross Enrolment Ratio (GER) for tertiary education by country, gender, and region</w:t>
      </w:r>
    </w:p>
    <w:p w14:paraId="4C6C403C" w14:textId="77777777" w:rsidR="001C640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International student mobility data (inbound/outbound by host and origin region)</w:t>
      </w:r>
    </w:p>
    <w:p w14:paraId="6FE909D9" w14:textId="77777777" w:rsidR="001C640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Education expenditure as a percentage of GDP and per student</w:t>
      </w:r>
    </w:p>
    <w:p w14:paraId="5A2BB1AE" w14:textId="77777777" w:rsidR="001C640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SDG 4 indicators and country scorecards (including out-of-school rates, completion rates)</w:t>
      </w:r>
    </w:p>
    <w:p w14:paraId="594C571F" w14:textId="77777777" w:rsidR="001C640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Teaching staff statistics (pupil-teacher ratios, qualifications)</w:t>
      </w:r>
    </w:p>
    <w:p w14:paraId="60B72437" w14:textId="74D1215B" w:rsidR="001C6407" w:rsidRDefault="00000000">
      <w:pPr>
        <w:spacing w:before="120" w:after="120"/>
      </w:pPr>
      <w:r>
        <w:rPr>
          <w:rFonts w:eastAsia="Arial"/>
          <w:i/>
          <w:iCs/>
          <w:color w:val="555555"/>
        </w:rPr>
        <w:t xml:space="preserve">Access: databrowser.uis.unesco.org and data.uis.unesco.org </w:t>
      </w:r>
    </w:p>
    <w:p w14:paraId="6CF537A8" w14:textId="77777777" w:rsidR="001C6407" w:rsidRDefault="00000000">
      <w:pPr>
        <w:pStyle w:val="Heading2"/>
      </w:pPr>
      <w:r>
        <w:t xml:space="preserve">1.2 OECD Education </w:t>
      </w:r>
      <w:proofErr w:type="gramStart"/>
      <w:r>
        <w:t>at a Glance</w:t>
      </w:r>
      <w:proofErr w:type="gramEnd"/>
    </w:p>
    <w:p w14:paraId="16651488" w14:textId="77777777" w:rsidR="001C6407" w:rsidRDefault="00000000">
      <w:pPr>
        <w:spacing w:before="120" w:after="120"/>
      </w:pPr>
      <w:r>
        <w:rPr>
          <w:rFonts w:eastAsia="Arial"/>
        </w:rPr>
        <w:t>Published annually (most recent: September 2025). Covers 38 OECD members plus partner economies including India, Indonesia, China, and South Africa.</w:t>
      </w:r>
    </w:p>
    <w:p w14:paraId="3ED1597B" w14:textId="77777777" w:rsidR="001C6407" w:rsidRDefault="00000000">
      <w:pPr>
        <w:spacing w:before="120" w:after="120"/>
      </w:pPr>
      <w:r>
        <w:rPr>
          <w:rFonts w:eastAsia="Arial"/>
          <w:b/>
          <w:bCs/>
        </w:rPr>
        <w:t>Key Datasets &amp; Metrics:</w:t>
      </w:r>
    </w:p>
    <w:p w14:paraId="0062A6BE" w14:textId="77777777" w:rsidR="001C6407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eastAsia="Arial"/>
        </w:rPr>
        <w:t>Tertiary attainment rates by age group, gender, and parental education background</w:t>
      </w:r>
    </w:p>
    <w:p w14:paraId="63A37F71" w14:textId="77777777" w:rsidR="001C6407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eastAsia="Arial"/>
        </w:rPr>
        <w:t>Enrolment, progression, and completion rates at all education levels</w:t>
      </w:r>
    </w:p>
    <w:p w14:paraId="125D09A4" w14:textId="77777777" w:rsidR="001C6407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eastAsia="Arial"/>
        </w:rPr>
        <w:t>Financial resources invested in education (spending per student, public vs. private)</w:t>
      </w:r>
    </w:p>
    <w:p w14:paraId="1647968C" w14:textId="77777777" w:rsidR="001C6407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eastAsia="Arial"/>
        </w:rPr>
        <w:t>Labour market outcomes by level of education and field of study</w:t>
      </w:r>
    </w:p>
    <w:p w14:paraId="536734A7" w14:textId="77777777" w:rsidR="001C6407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eastAsia="Arial"/>
        </w:rPr>
        <w:t>International student flows and cross-border mobility</w:t>
      </w:r>
    </w:p>
    <w:p w14:paraId="395BC28F" w14:textId="77777777" w:rsidR="001C6407" w:rsidRDefault="00000000">
      <w:pPr>
        <w:spacing w:before="120" w:after="120"/>
      </w:pPr>
      <w:r>
        <w:rPr>
          <w:rFonts w:eastAsia="Arial"/>
          <w:i/>
          <w:iCs/>
          <w:color w:val="555555"/>
        </w:rPr>
        <w:t>Access: oecd.org/education/education-at-a-glance and OECD Data Explorer</w:t>
      </w:r>
    </w:p>
    <w:p w14:paraId="1043C444" w14:textId="77777777" w:rsidR="001C6407" w:rsidRDefault="00000000">
      <w:pPr>
        <w:pStyle w:val="Heading2"/>
      </w:pPr>
      <w:r>
        <w:t>1.3 World Bank Education Statistics (</w:t>
      </w:r>
      <w:proofErr w:type="spellStart"/>
      <w:r>
        <w:t>EdStats</w:t>
      </w:r>
      <w:proofErr w:type="spellEnd"/>
      <w:r>
        <w:t>)</w:t>
      </w:r>
    </w:p>
    <w:p w14:paraId="12CD0FCA" w14:textId="77777777" w:rsidR="001C6407" w:rsidRDefault="00000000">
      <w:pPr>
        <w:spacing w:before="120" w:after="120"/>
      </w:pPr>
      <w:r>
        <w:rPr>
          <w:rFonts w:eastAsia="Arial"/>
        </w:rPr>
        <w:t>Compiles data from UNESCO UIS, national sources, and World Bank surveys. Particularly strong for developing nations and South Asia.</w:t>
      </w:r>
    </w:p>
    <w:p w14:paraId="5FE37CDE" w14:textId="77777777" w:rsidR="001C6407" w:rsidRDefault="00000000">
      <w:pPr>
        <w:spacing w:before="120" w:after="120"/>
      </w:pPr>
      <w:r>
        <w:rPr>
          <w:rFonts w:eastAsia="Arial"/>
          <w:b/>
          <w:bCs/>
        </w:rPr>
        <w:t>Key Datasets &amp; Metrics:</w:t>
      </w:r>
    </w:p>
    <w:p w14:paraId="353A2B3D" w14:textId="77777777" w:rsidR="001C6407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rFonts w:eastAsia="Arial"/>
        </w:rPr>
        <w:t>Tertiary school enrolment (gross and net), including gender breakdowns</w:t>
      </w:r>
    </w:p>
    <w:p w14:paraId="13998DCB" w14:textId="77777777" w:rsidR="001C6407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rFonts w:eastAsia="Arial"/>
        </w:rPr>
        <w:t>Government expenditure on education (% of GDP and % of total government expenditure)</w:t>
      </w:r>
    </w:p>
    <w:p w14:paraId="04E154EE" w14:textId="77777777" w:rsidR="001C6407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rFonts w:eastAsia="Arial"/>
        </w:rPr>
        <w:t>Pupil-teacher ratios and school infrastructure indicators</w:t>
      </w:r>
    </w:p>
    <w:p w14:paraId="5383DA11" w14:textId="77777777" w:rsidR="001C6407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rFonts w:eastAsia="Arial"/>
        </w:rPr>
        <w:t>Learning poverty indicators and human capital indices</w:t>
      </w:r>
    </w:p>
    <w:p w14:paraId="0451B371" w14:textId="0E1AAFA8" w:rsidR="001C6407" w:rsidRPr="00F55F1E" w:rsidRDefault="00000000">
      <w:pPr>
        <w:spacing w:before="120" w:after="120"/>
        <w:rPr>
          <w:rFonts w:hint="eastAsia"/>
        </w:rPr>
      </w:pPr>
      <w:r>
        <w:rPr>
          <w:rFonts w:eastAsia="Arial"/>
          <w:i/>
          <w:iCs/>
          <w:color w:val="555555"/>
        </w:rPr>
        <w:t>Access: data360.worldbank.org and databank.worldbank.org</w:t>
      </w:r>
    </w:p>
    <w:p w14:paraId="4D5DB3CB" w14:textId="77777777" w:rsidR="001C6407" w:rsidRDefault="00000000">
      <w:pPr>
        <w:pStyle w:val="Heading2"/>
      </w:pPr>
      <w:r>
        <w:t>1.4 IIE Project Atlas</w:t>
      </w:r>
    </w:p>
    <w:p w14:paraId="1EC74000" w14:textId="77777777" w:rsidR="001C6407" w:rsidRDefault="00000000">
      <w:pPr>
        <w:spacing w:before="120" w:after="120"/>
      </w:pPr>
      <w:r>
        <w:rPr>
          <w:rFonts w:eastAsia="Arial"/>
        </w:rPr>
        <w:t>Tracks global student mobility across 25+ host countries and multiple sending countries. Focuses specifically on international student flows.</w:t>
      </w:r>
    </w:p>
    <w:p w14:paraId="5CEEFDE4" w14:textId="77777777" w:rsidR="001C6407" w:rsidRDefault="00000000">
      <w:pPr>
        <w:spacing w:before="120" w:after="120"/>
      </w:pPr>
      <w:r>
        <w:rPr>
          <w:rFonts w:eastAsia="Arial"/>
          <w:b/>
          <w:bCs/>
        </w:rPr>
        <w:t>Key Datasets &amp; Metrics:</w:t>
      </w:r>
    </w:p>
    <w:p w14:paraId="578EEF04" w14:textId="77777777" w:rsidR="001C6407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rFonts w:eastAsia="Arial"/>
        </w:rPr>
        <w:t>International student numbers by host country and country of origin</w:t>
      </w:r>
    </w:p>
    <w:p w14:paraId="21744878" w14:textId="77777777" w:rsidR="001C6407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rFonts w:eastAsia="Arial"/>
        </w:rPr>
        <w:t>Year-on-year trends in student mobility volumes</w:t>
      </w:r>
    </w:p>
    <w:p w14:paraId="050CD92C" w14:textId="77777777" w:rsidR="001C6407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rFonts w:eastAsia="Arial"/>
        </w:rPr>
        <w:t>Fields of study chosen by mobile students</w:t>
      </w:r>
    </w:p>
    <w:p w14:paraId="58F41B97" w14:textId="77777777" w:rsidR="001C6407" w:rsidRDefault="00000000">
      <w:pPr>
        <w:spacing w:before="120" w:after="120"/>
      </w:pPr>
      <w:r>
        <w:rPr>
          <w:rFonts w:eastAsia="Arial"/>
          <w:i/>
          <w:iCs/>
          <w:color w:val="555555"/>
        </w:rPr>
        <w:t>Access: iie.org/research-initiatives/project-atlas</w:t>
      </w:r>
    </w:p>
    <w:p w14:paraId="27D348F2" w14:textId="77777777" w:rsidR="001C6407" w:rsidRDefault="00000000">
      <w:pPr>
        <w:pStyle w:val="Heading2"/>
      </w:pPr>
      <w:r>
        <w:lastRenderedPageBreak/>
        <w:t>1.5 Commercial &amp; Advisory Reports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3200"/>
        <w:gridCol w:w="1826"/>
      </w:tblGrid>
      <w:tr w:rsidR="001C6407" w14:paraId="4959B3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44A0" w14:textId="77777777" w:rsidR="001C6407" w:rsidRDefault="00000000">
            <w:r>
              <w:rPr>
                <w:rFonts w:eastAsia="Arial"/>
                <w:b/>
                <w:bCs/>
                <w:color w:val="FFFFFF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B0BA" w14:textId="77777777" w:rsidR="001C6407" w:rsidRDefault="00000000">
            <w:r>
              <w:rPr>
                <w:rFonts w:eastAsia="Arial"/>
                <w:b/>
                <w:bCs/>
                <w:color w:val="FFFFFF"/>
              </w:rPr>
              <w:t>Coverage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B9A20" w14:textId="77777777" w:rsidR="001C6407" w:rsidRDefault="00000000">
            <w:r>
              <w:rPr>
                <w:rFonts w:eastAsia="Arial"/>
                <w:b/>
                <w:bCs/>
                <w:color w:val="FFFFFF"/>
              </w:rPr>
              <w:t>Key Data Points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48D33" w14:textId="77777777" w:rsidR="001C6407" w:rsidRDefault="00000000">
            <w:r>
              <w:rPr>
                <w:rFonts w:eastAsia="Arial"/>
                <w:b/>
                <w:bCs/>
                <w:color w:val="FFFFFF"/>
              </w:rPr>
              <w:t>Access Model</w:t>
            </w:r>
          </w:p>
        </w:tc>
      </w:tr>
      <w:tr w:rsidR="001C6407" w14:paraId="03FEAD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A94A" w14:textId="77777777" w:rsidR="001C6407" w:rsidRDefault="00000000">
            <w:proofErr w:type="spellStart"/>
            <w:r>
              <w:rPr>
                <w:rFonts w:eastAsia="Arial"/>
              </w:rPr>
              <w:t>HolonIQ</w:t>
            </w:r>
            <w:proofErr w:type="spellEnd"/>
            <w:r>
              <w:rPr>
                <w:rFonts w:eastAsia="Arial"/>
              </w:rPr>
              <w:t xml:space="preserve"> Global Education Outlook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3D25" w14:textId="77777777" w:rsidR="001C6407" w:rsidRDefault="00000000">
            <w:r>
              <w:rPr>
                <w:rFonts w:eastAsia="Arial"/>
              </w:rPr>
              <w:t>Global, annual (180+ pages)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964C" w14:textId="77777777" w:rsidR="001C6407" w:rsidRDefault="00000000">
            <w:r>
              <w:rPr>
                <w:rFonts w:eastAsia="Arial"/>
              </w:rPr>
              <w:t>Market sizing (projected US$10T by 2030), CAGR by sub-sector, EdTech investment, 50+ trend indicators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C3FE" w14:textId="77777777" w:rsidR="001C6407" w:rsidRDefault="00000000">
            <w:r>
              <w:rPr>
                <w:rFonts w:eastAsia="Arial"/>
              </w:rPr>
              <w:t>Subscription / purchase</w:t>
            </w:r>
          </w:p>
        </w:tc>
      </w:tr>
      <w:tr w:rsidR="001C6407" w14:paraId="054658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C8B3" w14:textId="77777777" w:rsidR="001C6407" w:rsidRDefault="00000000">
            <w:r>
              <w:rPr>
                <w:rFonts w:eastAsia="Arial"/>
              </w:rPr>
              <w:t>Technavio Higher Education Market Report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73F7" w14:textId="77777777" w:rsidR="001C6407" w:rsidRDefault="00000000">
            <w:r>
              <w:rPr>
                <w:rFonts w:eastAsia="Arial"/>
              </w:rPr>
              <w:t>Global market forecasts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84A7" w14:textId="77777777" w:rsidR="001C6407" w:rsidRDefault="00000000">
            <w:r>
              <w:rPr>
                <w:rFonts w:eastAsia="Arial"/>
              </w:rPr>
              <w:t>Market growth (USD 140.65B increase at 19.4% CAGR 2025–30), segmentation by learning method, end-user, region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BDCE" w14:textId="77777777" w:rsidR="001C6407" w:rsidRDefault="00000000">
            <w:r>
              <w:rPr>
                <w:rFonts w:eastAsia="Arial"/>
              </w:rPr>
              <w:t>Subscription / purchase</w:t>
            </w:r>
          </w:p>
        </w:tc>
      </w:tr>
      <w:tr w:rsidR="001C6407" w14:paraId="7AFA64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0C12" w14:textId="77777777" w:rsidR="001C6407" w:rsidRDefault="00000000">
            <w:r>
              <w:rPr>
                <w:rFonts w:eastAsia="Arial"/>
              </w:rPr>
              <w:t>Deloitte Higher Education Trends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04B4" w14:textId="77777777" w:rsidR="001C6407" w:rsidRDefault="00000000">
            <w:r>
              <w:rPr>
                <w:rFonts w:eastAsia="Arial"/>
              </w:rPr>
              <w:t>US-focused with global context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3219" w14:textId="77777777" w:rsidR="001C6407" w:rsidRDefault="00000000">
            <w:r>
              <w:rPr>
                <w:rFonts w:eastAsia="Arial"/>
              </w:rPr>
              <w:t>Enrolment projections (13% US decline by 2041), international student flows, financial health of institutions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D894" w14:textId="77777777" w:rsidR="001C6407" w:rsidRDefault="00000000">
            <w:r>
              <w:rPr>
                <w:rFonts w:eastAsia="Arial"/>
              </w:rPr>
              <w:t>Free annual report</w:t>
            </w:r>
          </w:p>
        </w:tc>
      </w:tr>
      <w:tr w:rsidR="001C6407" w14:paraId="2532C8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5E92" w14:textId="77777777" w:rsidR="001C6407" w:rsidRDefault="00000000">
            <w:r>
              <w:rPr>
                <w:rFonts w:eastAsia="Arial"/>
              </w:rPr>
              <w:t>QS World University Rankings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F4F6" w14:textId="77777777" w:rsidR="001C6407" w:rsidRDefault="00000000">
            <w:r>
              <w:rPr>
                <w:rFonts w:eastAsia="Arial"/>
              </w:rPr>
              <w:t>Global (1,500+ institutions)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46D4" w14:textId="77777777" w:rsidR="001C6407" w:rsidRDefault="00000000">
            <w:r>
              <w:rPr>
                <w:rFonts w:eastAsia="Arial"/>
              </w:rPr>
              <w:t>Institutional rankings, employer reputation scores, research citations, international faculty/student ratios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F51A" w14:textId="77777777" w:rsidR="001C6407" w:rsidRDefault="00000000">
            <w:r>
              <w:rPr>
                <w:rFonts w:eastAsia="Arial"/>
              </w:rPr>
              <w:t>Free (basic) / subscription</w:t>
            </w:r>
          </w:p>
        </w:tc>
      </w:tr>
      <w:tr w:rsidR="001C6407" w14:paraId="4E2420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8348F" w14:textId="77777777" w:rsidR="001C6407" w:rsidRDefault="00000000">
            <w:r>
              <w:rPr>
                <w:rFonts w:eastAsia="Arial"/>
              </w:rPr>
              <w:t>Times Higher Education (THE) Rankings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2379" w14:textId="77777777" w:rsidR="001C6407" w:rsidRDefault="00000000">
            <w:r>
              <w:rPr>
                <w:rFonts w:eastAsia="Arial"/>
              </w:rPr>
              <w:t>Global (2,000+ institutions)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A468" w14:textId="77777777" w:rsidR="001C6407" w:rsidRDefault="00000000">
            <w:r>
              <w:rPr>
                <w:rFonts w:eastAsia="Arial"/>
              </w:rPr>
              <w:t>Teaching quality, research output, citation impact, international outlook, industry income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269D" w14:textId="77777777" w:rsidR="001C6407" w:rsidRDefault="00000000">
            <w:r>
              <w:rPr>
                <w:rFonts w:eastAsia="Arial"/>
              </w:rPr>
              <w:t>Free (basic) / subscription</w:t>
            </w:r>
          </w:p>
        </w:tc>
      </w:tr>
      <w:tr w:rsidR="001C6407" w14:paraId="0475DA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F2A7" w14:textId="77777777" w:rsidR="001C6407" w:rsidRDefault="00000000">
            <w:r>
              <w:rPr>
                <w:rFonts w:eastAsia="Arial"/>
              </w:rPr>
              <w:t>Statista Education Statistics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D465" w14:textId="77777777" w:rsidR="001C6407" w:rsidRDefault="00000000">
            <w:r>
              <w:rPr>
                <w:rFonts w:eastAsia="Arial"/>
              </w:rPr>
              <w:t>Global and country-level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1DD4" w14:textId="77777777" w:rsidR="001C6407" w:rsidRDefault="00000000">
            <w:r>
              <w:rPr>
                <w:rFonts w:eastAsia="Arial"/>
              </w:rPr>
              <w:t>Enrolment figures, tuition costs, international student breakdowns, education spending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20AA" w14:textId="77777777" w:rsidR="001C6407" w:rsidRDefault="00000000">
            <w:r>
              <w:rPr>
                <w:rFonts w:eastAsia="Arial"/>
              </w:rPr>
              <w:t>Subscription</w:t>
            </w:r>
          </w:p>
        </w:tc>
      </w:tr>
    </w:tbl>
    <w:p w14:paraId="3851D152" w14:textId="77777777" w:rsidR="001C6407" w:rsidRDefault="00000000">
      <w:pPr>
        <w:pStyle w:val="Heading1"/>
      </w:pPr>
      <w:r>
        <w:t>2. Australia-Specific Sources</w:t>
      </w:r>
    </w:p>
    <w:p w14:paraId="35D8076A" w14:textId="77777777" w:rsidR="001C6407" w:rsidRDefault="00000000">
      <w:pPr>
        <w:pStyle w:val="Heading2"/>
      </w:pPr>
      <w:r>
        <w:t>2.1 Department of Education – Higher Education Statistics Collection</w:t>
      </w:r>
    </w:p>
    <w:p w14:paraId="3BA13211" w14:textId="77777777" w:rsidR="001C6407" w:rsidRDefault="00000000">
      <w:pPr>
        <w:spacing w:before="120" w:after="120"/>
      </w:pPr>
      <w:r>
        <w:rPr>
          <w:rFonts w:eastAsia="Arial"/>
        </w:rPr>
        <w:t>The primary government source for domestic and international student data at all Australian higher education providers. Published annually with detailed breakdowns.</w:t>
      </w:r>
    </w:p>
    <w:p w14:paraId="320A97BC" w14:textId="77777777" w:rsidR="001C6407" w:rsidRDefault="00000000">
      <w:pPr>
        <w:spacing w:before="120" w:after="120"/>
      </w:pPr>
      <w:r>
        <w:rPr>
          <w:rFonts w:eastAsia="Arial"/>
          <w:b/>
          <w:bCs/>
        </w:rPr>
        <w:t>Key Datasets &amp; Metrics:</w:t>
      </w:r>
    </w:p>
    <w:p w14:paraId="5B6BCDCE" w14:textId="77777777" w:rsidR="001C6407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rFonts w:eastAsia="Arial"/>
        </w:rPr>
        <w:t>Student enrolments, completions, and EFTSL (Equivalent Full-Time Student Load) by institution, field of study, and demographics</w:t>
      </w:r>
    </w:p>
    <w:p w14:paraId="51C32EC1" w14:textId="77777777" w:rsidR="001C6407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rFonts w:eastAsia="Arial"/>
        </w:rPr>
        <w:t>Staff data (FTE academic and non-academic staff by institution, classification, and gender)</w:t>
      </w:r>
    </w:p>
    <w:p w14:paraId="47E57090" w14:textId="77777777" w:rsidR="001C6407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rFonts w:eastAsia="Arial"/>
        </w:rPr>
        <w:t>Attrition, retention, and completion rates</w:t>
      </w:r>
    </w:p>
    <w:p w14:paraId="481C24F8" w14:textId="77777777" w:rsidR="001C6407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rFonts w:eastAsia="Arial"/>
        </w:rPr>
        <w:t>Finance data for higher education providers</w:t>
      </w:r>
    </w:p>
    <w:p w14:paraId="7AC32411" w14:textId="3AEACC8B" w:rsidR="001C6407" w:rsidRDefault="00000000">
      <w:pPr>
        <w:spacing w:before="120" w:after="120"/>
      </w:pPr>
      <w:r>
        <w:rPr>
          <w:rFonts w:eastAsia="Arial"/>
          <w:i/>
          <w:iCs/>
          <w:color w:val="555555"/>
        </w:rPr>
        <w:t xml:space="preserve">Access: education.gov.au/higher-education-statistics </w:t>
      </w:r>
    </w:p>
    <w:p w14:paraId="2B4BA88C" w14:textId="77777777" w:rsidR="001C6407" w:rsidRDefault="00000000">
      <w:pPr>
        <w:pStyle w:val="Heading2"/>
      </w:pPr>
      <w:r>
        <w:t>2.2 Department of Education – International Student Data (PRISMS)</w:t>
      </w:r>
    </w:p>
    <w:p w14:paraId="108DCCD1" w14:textId="5CB5D4E6" w:rsidR="001C6407" w:rsidRDefault="00000000">
      <w:pPr>
        <w:spacing w:before="120" w:after="120"/>
      </w:pPr>
      <w:r>
        <w:rPr>
          <w:rFonts w:eastAsia="Arial"/>
        </w:rPr>
        <w:t xml:space="preserve">Monthly year-to-date data derived from the Provider Registration and </w:t>
      </w:r>
      <w:r w:rsidRPr="00F55F1E">
        <w:rPr>
          <w:rFonts w:eastAsia="Arial"/>
          <w:highlight w:val="yellow"/>
        </w:rPr>
        <w:t>International Students Management System</w:t>
      </w:r>
      <w:r>
        <w:rPr>
          <w:rFonts w:eastAsia="Arial"/>
        </w:rPr>
        <w:t xml:space="preserve"> (PRISMS). </w:t>
      </w:r>
    </w:p>
    <w:p w14:paraId="2AF72C1E" w14:textId="77777777" w:rsidR="001C6407" w:rsidRDefault="00000000">
      <w:pPr>
        <w:spacing w:before="120" w:after="120"/>
      </w:pPr>
      <w:r>
        <w:rPr>
          <w:rFonts w:eastAsia="Arial"/>
          <w:b/>
          <w:bCs/>
        </w:rPr>
        <w:t>Key Datasets &amp; Metrics:</w:t>
      </w:r>
    </w:p>
    <w:p w14:paraId="67644B98" w14:textId="77777777" w:rsidR="001C6407" w:rsidRDefault="00000000">
      <w:pPr>
        <w:pStyle w:val="ListParagraph"/>
        <w:numPr>
          <w:ilvl w:val="0"/>
          <w:numId w:val="7"/>
        </w:numPr>
        <w:spacing w:before="60" w:after="60"/>
      </w:pPr>
      <w:r>
        <w:rPr>
          <w:rFonts w:eastAsia="Arial"/>
        </w:rPr>
        <w:t>International student enrolments and commencements by nationality, sector, state/territory, and field of study</w:t>
      </w:r>
    </w:p>
    <w:p w14:paraId="0DB4F81D" w14:textId="77777777" w:rsidR="001C6407" w:rsidRDefault="00000000">
      <w:pPr>
        <w:pStyle w:val="ListParagraph"/>
        <w:numPr>
          <w:ilvl w:val="0"/>
          <w:numId w:val="7"/>
        </w:numPr>
        <w:spacing w:before="60" w:after="60"/>
      </w:pPr>
      <w:r>
        <w:rPr>
          <w:rFonts w:eastAsia="Arial"/>
        </w:rPr>
        <w:t>Monthly time series for trend analysis (data available from 2002 onwards)</w:t>
      </w:r>
    </w:p>
    <w:p w14:paraId="729F279B" w14:textId="77777777" w:rsidR="001C6407" w:rsidRDefault="00000000">
      <w:pPr>
        <w:pStyle w:val="ListParagraph"/>
        <w:numPr>
          <w:ilvl w:val="0"/>
          <w:numId w:val="7"/>
        </w:numPr>
        <w:spacing w:before="60" w:after="60"/>
      </w:pPr>
      <w:r>
        <w:rPr>
          <w:rFonts w:eastAsia="Arial"/>
        </w:rPr>
        <w:lastRenderedPageBreak/>
        <w:t xml:space="preserve">Level of study breakdowns (e.g., </w:t>
      </w:r>
      <w:proofErr w:type="gramStart"/>
      <w:r>
        <w:rPr>
          <w:rFonts w:eastAsia="Arial"/>
        </w:rPr>
        <w:t>Masters</w:t>
      </w:r>
      <w:proofErr w:type="gramEnd"/>
      <w:r>
        <w:rPr>
          <w:rFonts w:eastAsia="Arial"/>
        </w:rPr>
        <w:t xml:space="preserve"> coursework 48%, </w:t>
      </w:r>
      <w:proofErr w:type="gramStart"/>
      <w:r>
        <w:rPr>
          <w:rFonts w:eastAsia="Arial"/>
        </w:rPr>
        <w:t>Bachelors</w:t>
      </w:r>
      <w:proofErr w:type="gramEnd"/>
      <w:r>
        <w:rPr>
          <w:rFonts w:eastAsia="Arial"/>
        </w:rPr>
        <w:t xml:space="preserve"> 37% of HE </w:t>
      </w:r>
      <w:proofErr w:type="gramStart"/>
      <w:r>
        <w:rPr>
          <w:rFonts w:eastAsia="Arial"/>
        </w:rPr>
        <w:t>sector</w:t>
      </w:r>
      <w:proofErr w:type="gramEnd"/>
      <w:r>
        <w:rPr>
          <w:rFonts w:eastAsia="Arial"/>
        </w:rPr>
        <w:t xml:space="preserve"> in YTD Nov 2025)</w:t>
      </w:r>
    </w:p>
    <w:p w14:paraId="5EBF528D" w14:textId="77777777" w:rsidR="001C6407" w:rsidRDefault="00000000">
      <w:pPr>
        <w:pStyle w:val="ListParagraph"/>
        <w:numPr>
          <w:ilvl w:val="0"/>
          <w:numId w:val="7"/>
        </w:numPr>
        <w:spacing w:before="60" w:after="60"/>
      </w:pPr>
      <w:r>
        <w:rPr>
          <w:rFonts w:eastAsia="Arial"/>
        </w:rPr>
        <w:t>Top source countries (China 23%, India 17%, Nepal 8%, Vietnam 4%, Philippines 4% in 2025)</w:t>
      </w:r>
    </w:p>
    <w:p w14:paraId="6CCEE521" w14:textId="1D17F3A5" w:rsidR="001C6407" w:rsidRDefault="00000000">
      <w:pPr>
        <w:spacing w:before="120" w:after="120"/>
      </w:pPr>
      <w:r>
        <w:rPr>
          <w:rFonts w:eastAsia="Arial"/>
          <w:i/>
          <w:iCs/>
          <w:color w:val="555555"/>
        </w:rPr>
        <w:t xml:space="preserve">Access: education.gov.au/international-education-data-and-research </w:t>
      </w:r>
    </w:p>
    <w:p w14:paraId="58391122" w14:textId="77777777" w:rsidR="001C6407" w:rsidRDefault="00000000">
      <w:pPr>
        <w:pStyle w:val="Heading2"/>
      </w:pPr>
      <w:r>
        <w:t>2.3 Department of Home Affairs – Student Visa Data</w:t>
      </w:r>
    </w:p>
    <w:p w14:paraId="20531FCB" w14:textId="77777777" w:rsidR="001C6407" w:rsidRDefault="00000000">
      <w:pPr>
        <w:spacing w:before="120" w:after="120"/>
      </w:pPr>
      <w:r>
        <w:rPr>
          <w:rFonts w:eastAsia="Arial"/>
        </w:rPr>
        <w:t>Quarterly and annual reports on student visa applications lodged and granted. Often a leading indicator of future commencements.</w:t>
      </w:r>
    </w:p>
    <w:p w14:paraId="2FF76B70" w14:textId="77777777" w:rsidR="001C6407" w:rsidRDefault="00000000">
      <w:pPr>
        <w:spacing w:before="120" w:after="120"/>
      </w:pPr>
      <w:r>
        <w:rPr>
          <w:rFonts w:eastAsia="Arial"/>
          <w:b/>
          <w:bCs/>
        </w:rPr>
        <w:t>Key Datasets &amp; Metrics:</w:t>
      </w:r>
    </w:p>
    <w:p w14:paraId="41E18679" w14:textId="77777777" w:rsidR="001C6407" w:rsidRDefault="00000000">
      <w:pPr>
        <w:pStyle w:val="ListParagraph"/>
        <w:numPr>
          <w:ilvl w:val="0"/>
          <w:numId w:val="8"/>
        </w:numPr>
        <w:spacing w:before="60" w:after="60"/>
      </w:pPr>
      <w:r>
        <w:rPr>
          <w:rFonts w:eastAsia="Arial"/>
        </w:rPr>
        <w:t>Student visa grants by nationality and subclass</w:t>
      </w:r>
    </w:p>
    <w:p w14:paraId="03F0A12F" w14:textId="77777777" w:rsidR="001C6407" w:rsidRDefault="00000000">
      <w:pPr>
        <w:pStyle w:val="ListParagraph"/>
        <w:numPr>
          <w:ilvl w:val="0"/>
          <w:numId w:val="8"/>
        </w:numPr>
        <w:spacing w:before="60" w:after="60"/>
      </w:pPr>
      <w:r>
        <w:rPr>
          <w:rFonts w:eastAsia="Arial"/>
        </w:rPr>
        <w:t>Visa application volumes and processing times</w:t>
      </w:r>
    </w:p>
    <w:p w14:paraId="416437A7" w14:textId="77777777" w:rsidR="001C6407" w:rsidRDefault="00000000">
      <w:pPr>
        <w:pStyle w:val="ListParagraph"/>
        <w:numPr>
          <w:ilvl w:val="0"/>
          <w:numId w:val="8"/>
        </w:numPr>
        <w:spacing w:before="60" w:after="60"/>
      </w:pPr>
      <w:r>
        <w:rPr>
          <w:rFonts w:eastAsia="Arial"/>
        </w:rPr>
        <w:t>Temporary resident statistics including student visa holders present in Australia</w:t>
      </w:r>
    </w:p>
    <w:p w14:paraId="3CB7E89F" w14:textId="37300CD9" w:rsidR="001C6407" w:rsidRPr="00F55F1E" w:rsidRDefault="00000000">
      <w:pPr>
        <w:spacing w:before="120" w:after="120"/>
        <w:rPr>
          <w:rFonts w:hint="eastAsia"/>
        </w:rPr>
      </w:pPr>
      <w:r>
        <w:rPr>
          <w:rFonts w:eastAsia="Arial"/>
          <w:i/>
          <w:iCs/>
          <w:color w:val="555555"/>
        </w:rPr>
        <w:t>Access: homeaffairs.gov.au</w:t>
      </w:r>
    </w:p>
    <w:p w14:paraId="7663E543" w14:textId="77777777" w:rsidR="001C6407" w:rsidRDefault="00000000">
      <w:pPr>
        <w:pStyle w:val="Heading2"/>
      </w:pPr>
      <w:r>
        <w:t>2.4 Other Australian Sources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426"/>
      </w:tblGrid>
      <w:tr w:rsidR="001C6407" w14:paraId="4B0C40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F42CF" w14:textId="77777777" w:rsidR="001C6407" w:rsidRDefault="00000000">
            <w:r>
              <w:rPr>
                <w:rFonts w:eastAsia="Arial"/>
                <w:b/>
                <w:bCs/>
                <w:color w:val="FFFFFF"/>
              </w:rPr>
              <w:t>Source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2E89F" w14:textId="77777777" w:rsidR="001C6407" w:rsidRDefault="00000000">
            <w:r>
              <w:rPr>
                <w:rFonts w:eastAsia="Arial"/>
                <w:b/>
                <w:bCs/>
                <w:color w:val="FFFFFF"/>
              </w:rPr>
              <w:t>Description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0B7C" w14:textId="77777777" w:rsidR="001C6407" w:rsidRDefault="00000000">
            <w:r>
              <w:rPr>
                <w:rFonts w:eastAsia="Arial"/>
                <w:b/>
                <w:bCs/>
                <w:color w:val="FFFFFF"/>
              </w:rPr>
              <w:t>Key Metrics</w:t>
            </w:r>
          </w:p>
        </w:tc>
      </w:tr>
      <w:tr w:rsidR="001C6407" w14:paraId="529794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BCBC" w14:textId="77777777" w:rsidR="001C6407" w:rsidRDefault="00000000">
            <w:r>
              <w:rPr>
                <w:rFonts w:eastAsia="Arial"/>
              </w:rPr>
              <w:t>Universities Australia – Student Data Hub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3CB4" w14:textId="77777777" w:rsidR="001C6407" w:rsidRDefault="00000000">
            <w:r>
              <w:rPr>
                <w:rFonts w:eastAsia="Arial"/>
              </w:rPr>
              <w:t>Aggregated data from Dept of Education for UA member universities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BF5F" w14:textId="77777777" w:rsidR="001C6407" w:rsidRDefault="00000000">
            <w:r>
              <w:rPr>
                <w:rFonts w:eastAsia="Arial"/>
              </w:rPr>
              <w:t>Enrolments, completions, EFTSL; domestic vs. overseas comparisons by institution and field</w:t>
            </w:r>
          </w:p>
        </w:tc>
      </w:tr>
      <w:tr w:rsidR="001C6407" w14:paraId="381021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945F" w14:textId="77777777" w:rsidR="001C6407" w:rsidRDefault="00000000">
            <w:r>
              <w:rPr>
                <w:rFonts w:eastAsia="Arial"/>
              </w:rPr>
              <w:t>Austrade – Market Information Package (MIP)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B69D" w14:textId="77777777" w:rsidR="001C6407" w:rsidRDefault="00000000">
            <w:r>
              <w:rPr>
                <w:rFonts w:eastAsia="Arial"/>
              </w:rPr>
              <w:t>Market intelligence for international education providers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5E0F" w14:textId="77777777" w:rsidR="001C6407" w:rsidRDefault="00000000">
            <w:r>
              <w:rPr>
                <w:rFonts w:eastAsia="Arial"/>
              </w:rPr>
              <w:t>Interactive dashboards, source country analysis, market opportunities (subscription for MIP Orbis)</w:t>
            </w:r>
          </w:p>
        </w:tc>
      </w:tr>
      <w:tr w:rsidR="001C6407" w14:paraId="332271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5EA3" w14:textId="77777777" w:rsidR="001C6407" w:rsidRDefault="00000000">
            <w:r>
              <w:rPr>
                <w:rFonts w:eastAsia="Arial"/>
              </w:rPr>
              <w:t>QILT (Quality Indicators for Learning &amp; Teaching)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7D29" w14:textId="77777777" w:rsidR="001C6407" w:rsidRDefault="00000000">
            <w:r>
              <w:rPr>
                <w:rFonts w:eastAsia="Arial"/>
              </w:rPr>
              <w:t>National student survey results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87F4" w14:textId="77777777" w:rsidR="001C6407" w:rsidRDefault="00000000">
            <w:r>
              <w:rPr>
                <w:rFonts w:eastAsia="Arial"/>
              </w:rPr>
              <w:t>Student Experience Survey (SES), Graduate Outcomes Survey (GOS), Employer Satisfaction Survey (ESS)</w:t>
            </w:r>
          </w:p>
        </w:tc>
      </w:tr>
      <w:tr w:rsidR="001C6407" w14:paraId="450C6F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A878" w14:textId="77777777" w:rsidR="001C6407" w:rsidRDefault="00000000">
            <w:r>
              <w:rPr>
                <w:rFonts w:eastAsia="Arial"/>
              </w:rPr>
              <w:t>NCVER (National Centre for Vocational Education Research)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D976" w14:textId="77777777" w:rsidR="001C6407" w:rsidRDefault="00000000">
            <w:r>
              <w:rPr>
                <w:rFonts w:eastAsia="Arial"/>
              </w:rPr>
              <w:t>VET sector statistics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63DA" w14:textId="77777777" w:rsidR="001C6407" w:rsidRDefault="00000000">
            <w:r>
              <w:rPr>
                <w:rFonts w:eastAsia="Arial"/>
              </w:rPr>
              <w:t>Domestic and international VET enrolments, apprenticeships, completions, employer surveys</w:t>
            </w:r>
          </w:p>
        </w:tc>
      </w:tr>
      <w:tr w:rsidR="001C6407" w14:paraId="2AA40F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AAC06" w14:textId="77777777" w:rsidR="001C6407" w:rsidRDefault="00000000">
            <w:r>
              <w:rPr>
                <w:rFonts w:eastAsia="Arial"/>
              </w:rPr>
              <w:t>English Australia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28C3" w14:textId="77777777" w:rsidR="001C6407" w:rsidRDefault="00000000">
            <w:r>
              <w:rPr>
                <w:rFonts w:eastAsia="Arial"/>
              </w:rPr>
              <w:t>ELICOS sector peak body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9EB9" w14:textId="77777777" w:rsidR="001C6407" w:rsidRDefault="00000000">
            <w:r>
              <w:rPr>
                <w:rFonts w:eastAsia="Arial"/>
              </w:rPr>
              <w:t>International English language student numbers by visa type</w:t>
            </w:r>
          </w:p>
        </w:tc>
      </w:tr>
      <w:tr w:rsidR="001C6407" w14:paraId="168CCC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CB96" w14:textId="77777777" w:rsidR="001C6407" w:rsidRDefault="00000000">
            <w:r>
              <w:rPr>
                <w:rFonts w:eastAsia="Arial"/>
              </w:rPr>
              <w:t>Tertiary Education Quality and Standards Agency (TEQSA)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1BF3" w14:textId="77777777" w:rsidR="001C6407" w:rsidRDefault="00000000">
            <w:r>
              <w:rPr>
                <w:rFonts w:eastAsia="Arial"/>
              </w:rPr>
              <w:t>Regulator data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06D5" w14:textId="77777777" w:rsidR="001C6407" w:rsidRDefault="00000000">
            <w:r>
              <w:rPr>
                <w:rFonts w:eastAsia="Arial"/>
              </w:rPr>
              <w:t>Provider registrations, compliance data, risk assessments</w:t>
            </w:r>
          </w:p>
        </w:tc>
      </w:tr>
    </w:tbl>
    <w:p w14:paraId="3298DF5C" w14:textId="77777777" w:rsidR="001C6407" w:rsidRDefault="00000000">
      <w:pPr>
        <w:pStyle w:val="Heading1"/>
      </w:pPr>
      <w:r>
        <w:t>3. South Asian Country Sources</w:t>
      </w:r>
    </w:p>
    <w:p w14:paraId="2DBDA9EF" w14:textId="77777777" w:rsidR="001C6407" w:rsidRDefault="00000000">
      <w:pPr>
        <w:pStyle w:val="Heading2"/>
      </w:pPr>
      <w:r>
        <w:t>3.1 India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426"/>
      </w:tblGrid>
      <w:tr w:rsidR="001C6407" w14:paraId="3CB739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03AC" w14:textId="77777777" w:rsidR="001C6407" w:rsidRDefault="00000000">
            <w:r>
              <w:rPr>
                <w:rFonts w:eastAsia="Arial"/>
                <w:b/>
                <w:bCs/>
                <w:color w:val="FFFFFF"/>
              </w:rPr>
              <w:t>Source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D31F" w14:textId="77777777" w:rsidR="001C6407" w:rsidRDefault="00000000">
            <w:r>
              <w:rPr>
                <w:rFonts w:eastAsia="Arial"/>
                <w:b/>
                <w:bCs/>
                <w:color w:val="FFFFFF"/>
              </w:rPr>
              <w:t>Description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A2CD8" w14:textId="77777777" w:rsidR="001C6407" w:rsidRDefault="00000000">
            <w:r>
              <w:rPr>
                <w:rFonts w:eastAsia="Arial"/>
                <w:b/>
                <w:bCs/>
                <w:color w:val="FFFFFF"/>
              </w:rPr>
              <w:t>Key Metrics</w:t>
            </w:r>
          </w:p>
        </w:tc>
      </w:tr>
      <w:tr w:rsidR="001C6407" w14:paraId="4AABD8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E372" w14:textId="77777777" w:rsidR="001C6407" w:rsidRDefault="00000000">
            <w:r>
              <w:rPr>
                <w:rFonts w:eastAsia="Arial"/>
              </w:rPr>
              <w:t>All India Survey on Higher Education (AISHE)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7C5C" w14:textId="77777777" w:rsidR="001C6407" w:rsidRDefault="00000000">
            <w:r>
              <w:rPr>
                <w:rFonts w:eastAsia="Arial"/>
              </w:rPr>
              <w:t>Annual web-based census of all HEIs conducted by the Ministry of Education since 2010-11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9722" w14:textId="77777777" w:rsidR="001C6407" w:rsidRDefault="00000000">
            <w:r>
              <w:rPr>
                <w:rFonts w:eastAsia="Arial"/>
              </w:rPr>
              <w:t xml:space="preserve">Total enrolment (4.33 crore in 2021-22), GER (28.4 in 2021-22), enrolment by discipline, gender parity index, pupil-teacher ratios, </w:t>
            </w:r>
            <w:r>
              <w:rPr>
                <w:rFonts w:eastAsia="Arial"/>
              </w:rPr>
              <w:lastRenderedPageBreak/>
              <w:t>foreign student numbers, infrastructure data</w:t>
            </w:r>
          </w:p>
        </w:tc>
      </w:tr>
      <w:tr w:rsidR="001C6407" w14:paraId="02E642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6EB0" w14:textId="77777777" w:rsidR="001C6407" w:rsidRDefault="00000000">
            <w:r>
              <w:rPr>
                <w:rFonts w:eastAsia="Arial"/>
              </w:rPr>
              <w:lastRenderedPageBreak/>
              <w:t>University Grants Commission (UGC)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1E9E" w14:textId="77777777" w:rsidR="001C6407" w:rsidRDefault="00000000">
            <w:r>
              <w:rPr>
                <w:rFonts w:eastAsia="Arial"/>
              </w:rPr>
              <w:t>Regulatory body data and annual reports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7494" w14:textId="77777777" w:rsidR="001C6407" w:rsidRDefault="00000000">
            <w:r>
              <w:rPr>
                <w:rFonts w:eastAsia="Arial"/>
              </w:rPr>
              <w:t>Faculty sanctioned vs. filled positions, guest faculty numbers, institutional accreditation, funding allocations</w:t>
            </w:r>
          </w:p>
        </w:tc>
      </w:tr>
      <w:tr w:rsidR="001C6407" w14:paraId="3138F7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E40D" w14:textId="77777777" w:rsidR="001C6407" w:rsidRDefault="00000000">
            <w:r>
              <w:rPr>
                <w:rFonts w:eastAsia="Arial"/>
              </w:rPr>
              <w:t>National Institutional Ranking Framework (NIRF)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B9AA" w14:textId="77777777" w:rsidR="001C6407" w:rsidRDefault="00000000">
            <w:r>
              <w:rPr>
                <w:rFonts w:eastAsia="Arial"/>
              </w:rPr>
              <w:t>Ministry of Education annual rankings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91AA" w14:textId="77777777" w:rsidR="001C6407" w:rsidRDefault="00000000">
            <w:r>
              <w:rPr>
                <w:rFonts w:eastAsia="Arial"/>
              </w:rPr>
              <w:t>Institution-level scores on teaching, research, graduation outcomes, outreach, and perception</w:t>
            </w:r>
          </w:p>
        </w:tc>
      </w:tr>
      <w:tr w:rsidR="001C6407" w14:paraId="5B5946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CEC5" w14:textId="77777777" w:rsidR="001C6407" w:rsidRDefault="00000000">
            <w:r>
              <w:rPr>
                <w:rFonts w:eastAsia="Arial"/>
              </w:rPr>
              <w:t>Ministry of Education – Education Statistics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571F" w14:textId="77777777" w:rsidR="001C6407" w:rsidRDefault="00000000">
            <w:r>
              <w:rPr>
                <w:rFonts w:eastAsia="Arial"/>
              </w:rPr>
              <w:t>Broader education sector data (UDISE+ for schools, AISHE for HE)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2E54" w14:textId="77777777" w:rsidR="001C6407" w:rsidRDefault="00000000">
            <w:r>
              <w:rPr>
                <w:rFonts w:eastAsia="Arial"/>
              </w:rPr>
              <w:t>Cross-level education statistics, budget allocations, state-wise breakdowns</w:t>
            </w:r>
          </w:p>
        </w:tc>
      </w:tr>
      <w:tr w:rsidR="001C6407" w14:paraId="1470C7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EBC5" w14:textId="77777777" w:rsidR="001C6407" w:rsidRDefault="00000000">
            <w:r>
              <w:rPr>
                <w:rFonts w:eastAsia="Arial"/>
              </w:rPr>
              <w:t>Reserve Bank of India (RBI)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A4DB" w14:textId="77777777" w:rsidR="001C6407" w:rsidRDefault="00000000">
            <w:r>
              <w:rPr>
                <w:rFonts w:eastAsia="Arial"/>
              </w:rPr>
              <w:t>Tracks education-related foreign exchange outflows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398E" w14:textId="77777777" w:rsidR="001C6407" w:rsidRDefault="00000000">
            <w:r>
              <w:rPr>
                <w:rFonts w:eastAsia="Arial"/>
              </w:rPr>
              <w:t>Remittances for overseas education (useful for outbound student mobility cost analysis)</w:t>
            </w:r>
          </w:p>
        </w:tc>
      </w:tr>
      <w:tr w:rsidR="001C6407" w14:paraId="66552B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5E7D" w14:textId="77777777" w:rsidR="001C6407" w:rsidRDefault="00000000">
            <w:r>
              <w:rPr>
                <w:rFonts w:eastAsia="Arial"/>
              </w:rPr>
              <w:t>National Statistical Office (NSO) – Household Surveys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B8C7" w14:textId="77777777" w:rsidR="001C6407" w:rsidRDefault="00000000">
            <w:r>
              <w:rPr>
                <w:rFonts w:eastAsia="Arial"/>
              </w:rPr>
              <w:t>Periodic Labour Force Survey (PLFS) and education-related household data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C7C31" w14:textId="77777777" w:rsidR="001C6407" w:rsidRDefault="00000000">
            <w:r>
              <w:rPr>
                <w:rFonts w:eastAsia="Arial"/>
              </w:rPr>
              <w:t>Education attainment by age, gender, social group; labour market outcomes for graduates</w:t>
            </w:r>
          </w:p>
        </w:tc>
      </w:tr>
    </w:tbl>
    <w:p w14:paraId="6C7B8D28" w14:textId="77777777" w:rsidR="001C6407" w:rsidRDefault="00000000">
      <w:pPr>
        <w:pStyle w:val="Heading2"/>
      </w:pPr>
      <w:r>
        <w:t>3.2 Other South Asian Countries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00"/>
        <w:gridCol w:w="4026"/>
      </w:tblGrid>
      <w:tr w:rsidR="001C6407" w14:paraId="0216D2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2AC5" w14:textId="77777777" w:rsidR="001C6407" w:rsidRDefault="00000000">
            <w:r>
              <w:rPr>
                <w:rFonts w:eastAsia="Arial"/>
                <w:b/>
                <w:bCs/>
                <w:color w:val="FFFFFF"/>
              </w:rPr>
              <w:t>Country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CAF7E" w14:textId="77777777" w:rsidR="001C6407" w:rsidRDefault="00000000">
            <w:r>
              <w:rPr>
                <w:rFonts w:eastAsia="Arial"/>
                <w:b/>
                <w:bCs/>
                <w:color w:val="FFFFFF"/>
              </w:rPr>
              <w:t>Primary Source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4C24" w14:textId="77777777" w:rsidR="001C6407" w:rsidRDefault="00000000">
            <w:r>
              <w:rPr>
                <w:rFonts w:eastAsia="Arial"/>
                <w:b/>
                <w:bCs/>
                <w:color w:val="FFFFFF"/>
              </w:rPr>
              <w:t>Description</w:t>
            </w:r>
          </w:p>
        </w:tc>
      </w:tr>
      <w:tr w:rsidR="001C6407" w14:paraId="26CAE0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88C0" w14:textId="77777777" w:rsidR="001C6407" w:rsidRDefault="00000000">
            <w:r>
              <w:rPr>
                <w:rFonts w:eastAsia="Arial"/>
              </w:rPr>
              <w:t>Bangladesh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15FB" w14:textId="77777777" w:rsidR="001C6407" w:rsidRDefault="00000000">
            <w:r>
              <w:rPr>
                <w:rFonts w:eastAsia="Arial"/>
              </w:rPr>
              <w:t>Bangladesh Bureau of Educational Information &amp; Statistics (BANBEIS), University Grants Commission of Bangladesh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FBB3" w14:textId="77777777" w:rsidR="001C6407" w:rsidRDefault="00000000">
            <w:r>
              <w:rPr>
                <w:rFonts w:eastAsia="Arial"/>
              </w:rPr>
              <w:t>Enrolment, institution counts, public and private university data, teacher statistics</w:t>
            </w:r>
          </w:p>
        </w:tc>
      </w:tr>
      <w:tr w:rsidR="001C6407" w14:paraId="53FED0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7CEA" w14:textId="77777777" w:rsidR="001C6407" w:rsidRDefault="00000000">
            <w:r>
              <w:rPr>
                <w:rFonts w:eastAsia="Arial"/>
              </w:rPr>
              <w:t>Nepal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F712" w14:textId="77777777" w:rsidR="001C6407" w:rsidRDefault="00000000">
            <w:r>
              <w:rPr>
                <w:rFonts w:eastAsia="Arial"/>
              </w:rPr>
              <w:t>University Grants Commission Nepal, Ministry of Education, Science &amp; Technology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541F" w14:textId="77777777" w:rsidR="001C6407" w:rsidRDefault="00000000">
            <w:r>
              <w:rPr>
                <w:rFonts w:eastAsia="Arial"/>
              </w:rPr>
              <w:t>HEI registrations, enrolment data, scholarship statistics, budget allocations</w:t>
            </w:r>
          </w:p>
        </w:tc>
      </w:tr>
      <w:tr w:rsidR="001C6407" w14:paraId="058A6B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6651" w14:textId="77777777" w:rsidR="001C6407" w:rsidRDefault="00000000">
            <w:r>
              <w:rPr>
                <w:rFonts w:eastAsia="Arial"/>
              </w:rPr>
              <w:t>Sri Lanka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14DC" w14:textId="77777777" w:rsidR="001C6407" w:rsidRDefault="00000000">
            <w:r>
              <w:rPr>
                <w:rFonts w:eastAsia="Arial"/>
              </w:rPr>
              <w:t>University Grants Commission Sri Lanka, Ministry of Education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F0E6" w14:textId="77777777" w:rsidR="001C6407" w:rsidRDefault="00000000">
            <w:r>
              <w:rPr>
                <w:rFonts w:eastAsia="Arial"/>
              </w:rPr>
              <w:t>University admissions (Z-score system), enrolment by faculty, graduation rates, research output</w:t>
            </w:r>
          </w:p>
        </w:tc>
      </w:tr>
      <w:tr w:rsidR="001C6407" w14:paraId="06FDB8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17C6" w14:textId="77777777" w:rsidR="001C6407" w:rsidRDefault="00000000">
            <w:r>
              <w:rPr>
                <w:rFonts w:eastAsia="Arial"/>
              </w:rPr>
              <w:t>Pakistan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DCA7" w14:textId="77777777" w:rsidR="001C6407" w:rsidRDefault="00000000">
            <w:r>
              <w:rPr>
                <w:rFonts w:eastAsia="Arial"/>
              </w:rPr>
              <w:t>Higher Education Commission (HEC) Pakistan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9E5A" w14:textId="77777777" w:rsidR="001C6407" w:rsidRDefault="00000000">
            <w:r>
              <w:rPr>
                <w:rFonts w:eastAsia="Arial"/>
              </w:rPr>
              <w:t>University-level enrolment, research output, faculty qualifications, international collaboration data</w:t>
            </w:r>
          </w:p>
        </w:tc>
      </w:tr>
      <w:tr w:rsidR="001C6407" w14:paraId="3AA9C2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4C4C" w14:textId="77777777" w:rsidR="001C6407" w:rsidRDefault="00000000">
            <w:r>
              <w:rPr>
                <w:rFonts w:eastAsia="Arial"/>
              </w:rPr>
              <w:t>Bhutan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CD3D" w14:textId="77777777" w:rsidR="001C6407" w:rsidRDefault="00000000">
            <w:r>
              <w:rPr>
                <w:rFonts w:eastAsia="Arial"/>
              </w:rPr>
              <w:t>Royal University of Bhutan, Ministry of Education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5787" w14:textId="77777777" w:rsidR="001C6407" w:rsidRDefault="00000000">
            <w:r>
              <w:rPr>
                <w:rFonts w:eastAsia="Arial"/>
              </w:rPr>
              <w:t>Small-scale HE system data; enrolment, scholarship, and workforce alignment metrics</w:t>
            </w:r>
          </w:p>
        </w:tc>
      </w:tr>
      <w:tr w:rsidR="001C6407" w14:paraId="02175B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41CC" w14:textId="77777777" w:rsidR="001C6407" w:rsidRDefault="00000000">
            <w:r>
              <w:rPr>
                <w:rFonts w:eastAsia="Arial"/>
              </w:rPr>
              <w:t>Maldives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F971" w14:textId="77777777" w:rsidR="001C6407" w:rsidRDefault="00000000">
            <w:r>
              <w:rPr>
                <w:rFonts w:eastAsia="Arial"/>
              </w:rPr>
              <w:t>Maldives Qualifications Authority, Ministry of Higher Education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01EB8" w14:textId="77777777" w:rsidR="001C6407" w:rsidRDefault="00000000">
            <w:r>
              <w:rPr>
                <w:rFonts w:eastAsia="Arial"/>
              </w:rPr>
              <w:t>Provider registrations, enrolment, qualification frameworks</w:t>
            </w:r>
          </w:p>
        </w:tc>
      </w:tr>
    </w:tbl>
    <w:p w14:paraId="5516665F" w14:textId="77777777" w:rsidR="001C6407" w:rsidRDefault="00000000">
      <w:pPr>
        <w:pStyle w:val="Heading1"/>
      </w:pPr>
      <w:r>
        <w:t>4. Cross-Cutting &amp; Thematic Sources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1C6407" w14:paraId="53FF0F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23CB4" w14:textId="77777777" w:rsidR="001C6407" w:rsidRDefault="00000000">
            <w:r>
              <w:rPr>
                <w:rFonts w:eastAsia="Arial"/>
                <w:b/>
                <w:bCs/>
                <w:color w:val="FFFFFF"/>
              </w:rPr>
              <w:t>Theme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FAF56" w14:textId="77777777" w:rsidR="001C6407" w:rsidRDefault="00000000">
            <w:r>
              <w:rPr>
                <w:rFonts w:eastAsia="Arial"/>
                <w:b/>
                <w:bCs/>
                <w:color w:val="FFFFFF"/>
              </w:rPr>
              <w:t>Source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704D" w14:textId="77777777" w:rsidR="001C6407" w:rsidRDefault="00000000">
            <w:r>
              <w:rPr>
                <w:rFonts w:eastAsia="Arial"/>
                <w:b/>
                <w:bCs/>
                <w:color w:val="FFFFFF"/>
              </w:rPr>
              <w:t>What It Covers</w:t>
            </w:r>
          </w:p>
        </w:tc>
      </w:tr>
      <w:tr w:rsidR="001C6407" w14:paraId="50A19D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AB37" w14:textId="77777777" w:rsidR="001C6407" w:rsidRDefault="00000000">
            <w:r>
              <w:rPr>
                <w:rFonts w:eastAsia="Arial"/>
              </w:rPr>
              <w:t>Student Mobility (Global)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5518" w14:textId="77777777" w:rsidR="001C6407" w:rsidRDefault="00000000">
            <w:r>
              <w:rPr>
                <w:rFonts w:eastAsia="Arial"/>
              </w:rPr>
              <w:t>UNESCO UIS Outbound Mobility Data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33CA" w14:textId="77777777" w:rsidR="001C6407" w:rsidRDefault="00000000">
            <w:r>
              <w:rPr>
                <w:rFonts w:eastAsia="Arial"/>
              </w:rPr>
              <w:t>Students studying abroad by origin and host country, mobility ratios</w:t>
            </w:r>
          </w:p>
        </w:tc>
      </w:tr>
      <w:tr w:rsidR="001C6407" w14:paraId="324B84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5982" w14:textId="77777777" w:rsidR="001C6407" w:rsidRDefault="00000000">
            <w:r>
              <w:rPr>
                <w:rFonts w:eastAsia="Arial"/>
              </w:rPr>
              <w:t>Student Mobility (Global)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BF6C" w14:textId="77777777" w:rsidR="001C6407" w:rsidRDefault="00000000">
            <w:r>
              <w:rPr>
                <w:rFonts w:eastAsia="Arial"/>
              </w:rPr>
              <w:t>ICEF Monitor / ICEF Intelligence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5AFD" w14:textId="77777777" w:rsidR="001C6407" w:rsidRDefault="00000000">
            <w:r>
              <w:rPr>
                <w:rFonts w:eastAsia="Arial"/>
              </w:rPr>
              <w:t>Market intelligence, agent surveys, recruitment trends for international education</w:t>
            </w:r>
          </w:p>
        </w:tc>
      </w:tr>
      <w:tr w:rsidR="001C6407" w14:paraId="16505F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1FB9" w14:textId="77777777" w:rsidR="001C6407" w:rsidRDefault="00000000">
            <w:r>
              <w:rPr>
                <w:rFonts w:eastAsia="Arial"/>
              </w:rPr>
              <w:lastRenderedPageBreak/>
              <w:t>EdTech &amp; Innovation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C1BD" w14:textId="77777777" w:rsidR="001C6407" w:rsidRDefault="00000000">
            <w:proofErr w:type="spellStart"/>
            <w:r>
              <w:rPr>
                <w:rFonts w:eastAsia="Arial"/>
              </w:rPr>
              <w:t>HolonIQ</w:t>
            </w:r>
            <w:proofErr w:type="spellEnd"/>
            <w:r>
              <w:rPr>
                <w:rFonts w:eastAsia="Arial"/>
              </w:rPr>
              <w:t xml:space="preserve"> EdTech Intelligence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5F14" w14:textId="77777777" w:rsidR="001C6407" w:rsidRDefault="00000000">
            <w:r>
              <w:rPr>
                <w:rFonts w:eastAsia="Arial"/>
              </w:rPr>
              <w:t>Global EdTech venture capital, deal flow, market maps, unicorn tracker</w:t>
            </w:r>
          </w:p>
        </w:tc>
      </w:tr>
      <w:tr w:rsidR="001C6407" w14:paraId="17E945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E2E3" w14:textId="77777777" w:rsidR="001C6407" w:rsidRDefault="00000000">
            <w:r>
              <w:rPr>
                <w:rFonts w:eastAsia="Arial"/>
              </w:rPr>
              <w:t>EdTech &amp; Innovation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8E57F" w14:textId="77777777" w:rsidR="001C6407" w:rsidRDefault="00000000">
            <w:r>
              <w:rPr>
                <w:rFonts w:eastAsia="Arial"/>
              </w:rPr>
              <w:t>Coursera Global Skills Report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1A77" w14:textId="77777777" w:rsidR="001C6407" w:rsidRDefault="00000000">
            <w:r>
              <w:rPr>
                <w:rFonts w:eastAsia="Arial"/>
              </w:rPr>
              <w:t>Online learning trends, skill demand by country and industry</w:t>
            </w:r>
          </w:p>
        </w:tc>
      </w:tr>
      <w:tr w:rsidR="001C6407" w14:paraId="693041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623A" w14:textId="77777777" w:rsidR="001C6407" w:rsidRDefault="00000000">
            <w:r>
              <w:rPr>
                <w:rFonts w:eastAsia="Arial"/>
              </w:rPr>
              <w:t>Rankings &amp; Quality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3EC3" w14:textId="77777777" w:rsidR="001C6407" w:rsidRDefault="00000000">
            <w:r>
              <w:rPr>
                <w:rFonts w:eastAsia="Arial"/>
              </w:rPr>
              <w:t>QS World University Rankings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83B3" w14:textId="77777777" w:rsidR="001C6407" w:rsidRDefault="00000000">
            <w:r>
              <w:rPr>
                <w:rFonts w:eastAsia="Arial"/>
              </w:rPr>
              <w:t>1,500+ institutions ranked on academic reputation, employer reputation, research</w:t>
            </w:r>
          </w:p>
        </w:tc>
      </w:tr>
      <w:tr w:rsidR="001C6407" w14:paraId="318AE8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121A" w14:textId="77777777" w:rsidR="001C6407" w:rsidRDefault="00000000">
            <w:r>
              <w:rPr>
                <w:rFonts w:eastAsia="Arial"/>
              </w:rPr>
              <w:t>Rankings &amp; Quality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6E3A" w14:textId="77777777" w:rsidR="001C6407" w:rsidRDefault="00000000">
            <w:r>
              <w:rPr>
                <w:rFonts w:eastAsia="Arial"/>
              </w:rPr>
              <w:t>THE World University Rankings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676E" w14:textId="77777777" w:rsidR="001C6407" w:rsidRDefault="00000000">
            <w:r>
              <w:rPr>
                <w:rFonts w:eastAsia="Arial"/>
              </w:rPr>
              <w:t>2,000+ institutions ranked on teaching, research, citations, international outlook</w:t>
            </w:r>
          </w:p>
        </w:tc>
      </w:tr>
      <w:tr w:rsidR="001C6407" w14:paraId="4A022C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2624" w14:textId="77777777" w:rsidR="001C6407" w:rsidRDefault="00000000">
            <w:r>
              <w:rPr>
                <w:rFonts w:eastAsia="Arial"/>
              </w:rPr>
              <w:t>Rankings &amp; Quality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02F5" w14:textId="77777777" w:rsidR="001C6407" w:rsidRDefault="00000000">
            <w:r>
              <w:rPr>
                <w:rFonts w:eastAsia="Arial"/>
              </w:rPr>
              <w:t>Shanghai ARWU Rankings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163E" w14:textId="77777777" w:rsidR="001C6407" w:rsidRDefault="00000000">
            <w:r>
              <w:rPr>
                <w:rFonts w:eastAsia="Arial"/>
              </w:rPr>
              <w:t>Research-focused rankings (publications, citations, Nobel/Fields prizes)</w:t>
            </w:r>
          </w:p>
        </w:tc>
      </w:tr>
      <w:tr w:rsidR="001C6407" w14:paraId="409C66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6939" w14:textId="77777777" w:rsidR="001C6407" w:rsidRDefault="00000000">
            <w:r>
              <w:rPr>
                <w:rFonts w:eastAsia="Arial"/>
              </w:rPr>
              <w:t>Labour Market Outcomes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837A" w14:textId="77777777" w:rsidR="001C6407" w:rsidRDefault="00000000">
            <w:r>
              <w:rPr>
                <w:rFonts w:eastAsia="Arial"/>
              </w:rPr>
              <w:t>ILO ILOSTAT Database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BC01" w14:textId="77777777" w:rsidR="001C6407" w:rsidRDefault="00000000">
            <w:r>
              <w:rPr>
                <w:rFonts w:eastAsia="Arial"/>
              </w:rPr>
              <w:t>Employment rates by education level, youth unemployment, skills mismatch</w:t>
            </w:r>
          </w:p>
        </w:tc>
      </w:tr>
      <w:tr w:rsidR="001C6407" w14:paraId="66E06A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EAE9" w14:textId="77777777" w:rsidR="001C6407" w:rsidRDefault="00000000">
            <w:r>
              <w:rPr>
                <w:rFonts w:eastAsia="Arial"/>
              </w:rPr>
              <w:t>Labour Market Outcomes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C91B" w14:textId="77777777" w:rsidR="001C6407" w:rsidRDefault="00000000">
            <w:r>
              <w:rPr>
                <w:rFonts w:eastAsia="Arial"/>
              </w:rPr>
              <w:t>LinkedIn Economic Graph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F030" w14:textId="77777777" w:rsidR="001C6407" w:rsidRDefault="00000000">
            <w:r>
              <w:rPr>
                <w:rFonts w:eastAsia="Arial"/>
              </w:rPr>
              <w:t>Graduate hiring trends, skills demand, industry workforce composition</w:t>
            </w:r>
          </w:p>
        </w:tc>
      </w:tr>
      <w:tr w:rsidR="001C6407" w14:paraId="52CF6F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F31E" w14:textId="77777777" w:rsidR="001C6407" w:rsidRDefault="00000000">
            <w:r>
              <w:rPr>
                <w:rFonts w:eastAsia="Arial"/>
              </w:rPr>
              <w:t>Demographic Projections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AFD9" w14:textId="77777777" w:rsidR="001C6407" w:rsidRDefault="00000000">
            <w:r>
              <w:rPr>
                <w:rFonts w:eastAsia="Arial"/>
              </w:rPr>
              <w:t>UN Population Division (World Population Prospects)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EB87" w14:textId="77777777" w:rsidR="001C6407" w:rsidRDefault="00000000">
            <w:r>
              <w:rPr>
                <w:rFonts w:eastAsia="Arial"/>
              </w:rPr>
              <w:t>Age cohort projections critical for forecasting tertiary-age populations</w:t>
            </w:r>
          </w:p>
        </w:tc>
      </w:tr>
      <w:tr w:rsidR="001C6407" w14:paraId="640952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5DE2" w14:textId="77777777" w:rsidR="001C6407" w:rsidRDefault="00000000">
            <w:r>
              <w:rPr>
                <w:rFonts w:eastAsia="Arial"/>
              </w:rPr>
              <w:t>Demographic Projections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A355" w14:textId="77777777" w:rsidR="001C6407" w:rsidRDefault="00000000">
            <w:r>
              <w:rPr>
                <w:rFonts w:eastAsia="Arial"/>
              </w:rPr>
              <w:t>WICHE (US-specific)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D402" w14:textId="77777777" w:rsidR="001C6407" w:rsidRDefault="00000000">
            <w:r>
              <w:rPr>
                <w:rFonts w:eastAsia="Arial"/>
              </w:rPr>
              <w:t>High school graduate projections (peak 2025, 13% decline by 2041)</w:t>
            </w:r>
          </w:p>
        </w:tc>
      </w:tr>
      <w:tr w:rsidR="001C6407" w14:paraId="0F4B1C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A94F" w14:textId="77777777" w:rsidR="001C6407" w:rsidRDefault="00000000">
            <w:r>
              <w:rPr>
                <w:rFonts w:eastAsia="Arial"/>
              </w:rPr>
              <w:t>Government Spending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10F8" w14:textId="77777777" w:rsidR="001C6407" w:rsidRDefault="00000000">
            <w:r>
              <w:rPr>
                <w:rFonts w:eastAsia="Arial"/>
              </w:rPr>
              <w:t xml:space="preserve">World Bank </w:t>
            </w:r>
            <w:proofErr w:type="spellStart"/>
            <w:r>
              <w:rPr>
                <w:rFonts w:eastAsia="Arial"/>
              </w:rPr>
              <w:t>EdStats</w:t>
            </w:r>
            <w:proofErr w:type="spellEnd"/>
            <w:r>
              <w:rPr>
                <w:rFonts w:eastAsia="Arial"/>
              </w:rPr>
              <w:t xml:space="preserve"> / UNESCO UIS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C8B2" w14:textId="77777777" w:rsidR="001C6407" w:rsidRDefault="00000000">
            <w:r>
              <w:rPr>
                <w:rFonts w:eastAsia="Arial"/>
              </w:rPr>
              <w:t>Public expenditure on education as % of GDP and % of government spending</w:t>
            </w:r>
          </w:p>
        </w:tc>
      </w:tr>
      <w:tr w:rsidR="001C6407" w14:paraId="6F6579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5AED" w14:textId="77777777" w:rsidR="001C6407" w:rsidRDefault="00000000">
            <w:r>
              <w:rPr>
                <w:rFonts w:eastAsia="Arial"/>
              </w:rPr>
              <w:t>Research Output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18DA" w14:textId="77777777" w:rsidR="001C6407" w:rsidRDefault="00000000">
            <w:r>
              <w:rPr>
                <w:rFonts w:eastAsia="Arial"/>
              </w:rPr>
              <w:t xml:space="preserve">Scopus / Elsevier </w:t>
            </w:r>
            <w:proofErr w:type="spellStart"/>
            <w:r>
              <w:rPr>
                <w:rFonts w:eastAsia="Arial"/>
              </w:rPr>
              <w:t>SciVal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4C78" w14:textId="77777777" w:rsidR="001C6407" w:rsidRDefault="00000000">
            <w:r>
              <w:rPr>
                <w:rFonts w:eastAsia="Arial"/>
              </w:rPr>
              <w:t>Publication volumes, citation counts, collaboration metrics by institution and country</w:t>
            </w:r>
          </w:p>
        </w:tc>
      </w:tr>
      <w:tr w:rsidR="001C6407" w14:paraId="566852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536B" w14:textId="77777777" w:rsidR="001C6407" w:rsidRDefault="00000000">
            <w:r>
              <w:rPr>
                <w:rFonts w:eastAsia="Arial"/>
              </w:rPr>
              <w:t>Research Output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FE9F" w14:textId="77777777" w:rsidR="001C6407" w:rsidRDefault="00000000">
            <w:r>
              <w:rPr>
                <w:rFonts w:eastAsia="Arial"/>
              </w:rPr>
              <w:t xml:space="preserve">Clarivate Web of Science / </w:t>
            </w:r>
            <w:proofErr w:type="spellStart"/>
            <w:r>
              <w:rPr>
                <w:rFonts w:eastAsia="Arial"/>
              </w:rPr>
              <w:t>InCites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EFEE" w14:textId="77777777" w:rsidR="001C6407" w:rsidRDefault="00000000">
            <w:r>
              <w:rPr>
                <w:rFonts w:eastAsia="Arial"/>
              </w:rPr>
              <w:t>Research impact, collaboration networks, institutional benchmarking</w:t>
            </w:r>
          </w:p>
        </w:tc>
      </w:tr>
    </w:tbl>
    <w:p w14:paraId="7B433E24" w14:textId="078C332F" w:rsidR="001C6407" w:rsidRDefault="00000000">
      <w:pPr>
        <w:pStyle w:val="Heading1"/>
      </w:pPr>
      <w:r>
        <w:t>5. Using These Sources</w:t>
      </w:r>
    </w:p>
    <w:p w14:paraId="2DB84060" w14:textId="77777777" w:rsidR="001C6407" w:rsidRDefault="00000000">
      <w:pPr>
        <w:spacing w:before="240" w:after="120"/>
      </w:pPr>
      <w:r>
        <w:rPr>
          <w:rFonts w:eastAsia="Arial"/>
          <w:b/>
          <w:bCs/>
        </w:rPr>
        <w:t>Key caveats:</w:t>
      </w:r>
    </w:p>
    <w:p w14:paraId="108A6A0F" w14:textId="77777777" w:rsidR="001C640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Definitions vary across countries (e.g., what counts as a "higher education institution" differs significantly between India and OECD countries).</w:t>
      </w:r>
    </w:p>
    <w:p w14:paraId="29138A5B" w14:textId="77777777" w:rsidR="001C640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Time lags differ: PRISMS data is monthly; AISHE reports have a 1–</w:t>
      </w:r>
      <w:proofErr w:type="gramStart"/>
      <w:r>
        <w:rPr>
          <w:rFonts w:eastAsia="Arial"/>
        </w:rPr>
        <w:t>2 year</w:t>
      </w:r>
      <w:proofErr w:type="gramEnd"/>
      <w:r>
        <w:rPr>
          <w:rFonts w:eastAsia="Arial"/>
        </w:rPr>
        <w:t xml:space="preserve"> lag; UNESCO UIS can lag 2–3 years for some countries.</w:t>
      </w:r>
    </w:p>
    <w:p w14:paraId="6DAF94C8" w14:textId="77777777" w:rsidR="001C640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</w:rPr>
        <w:t>South Asian national data quality is uneven — India's AISHE is comprehensive but relies on self-reporting; smaller nations may have gaps.</w:t>
      </w:r>
    </w:p>
    <w:p w14:paraId="03EBA0B1" w14:textId="77777777" w:rsidR="001C6407" w:rsidRDefault="001C6407">
      <w:pPr>
        <w:spacing w:before="600"/>
      </w:pPr>
    </w:p>
    <w:p w14:paraId="0180464D" w14:textId="0145C96C" w:rsidR="001C6407" w:rsidRDefault="00000000">
      <w:pPr>
        <w:pBdr>
          <w:top w:val="single" w:sz="2" w:space="8" w:color="CCCCCC"/>
        </w:pBdr>
        <w:spacing w:before="200"/>
      </w:pPr>
      <w:r>
        <w:rPr>
          <w:rFonts w:eastAsia="Arial"/>
          <w:i/>
          <w:iCs/>
          <w:color w:val="999999"/>
          <w:sz w:val="18"/>
          <w:szCs w:val="18"/>
        </w:rPr>
        <w:t>Prepared: March 2026</w:t>
      </w:r>
      <w:r w:rsidR="00280989">
        <w:rPr>
          <w:rFonts w:hint="eastAsia"/>
          <w:i/>
          <w:iCs/>
          <w:color w:val="999999"/>
          <w:sz w:val="18"/>
          <w:szCs w:val="18"/>
        </w:rPr>
        <w:t xml:space="preserve"> </w:t>
      </w:r>
      <w:r>
        <w:rPr>
          <w:rFonts w:eastAsia="Arial"/>
          <w:i/>
          <w:iCs/>
          <w:color w:val="999999"/>
          <w:sz w:val="18"/>
          <w:szCs w:val="18"/>
        </w:rPr>
        <w:t>as preparation.</w:t>
      </w:r>
    </w:p>
    <w:sectPr w:rsidR="001C640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96456" w14:textId="77777777" w:rsidR="007A0AC9" w:rsidRDefault="007A0AC9">
      <w:r>
        <w:separator/>
      </w:r>
    </w:p>
  </w:endnote>
  <w:endnote w:type="continuationSeparator" w:id="0">
    <w:p w14:paraId="7E7BA10D" w14:textId="77777777" w:rsidR="007A0AC9" w:rsidRDefault="007A0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6211" w14:textId="77777777" w:rsidR="001C6407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D7F54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09448" w14:textId="77777777" w:rsidR="007A0AC9" w:rsidRDefault="007A0AC9">
      <w:r>
        <w:separator/>
      </w:r>
    </w:p>
  </w:footnote>
  <w:footnote w:type="continuationSeparator" w:id="0">
    <w:p w14:paraId="70AB9ACA" w14:textId="77777777" w:rsidR="007A0AC9" w:rsidRDefault="007A0A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7CC8E" w14:textId="77777777" w:rsidR="001C6407" w:rsidRDefault="00000000">
    <w:pPr>
      <w:jc w:val="right"/>
    </w:pPr>
    <w:r>
      <w:rPr>
        <w:rFonts w:eastAsia="Arial"/>
        <w:i/>
        <w:iCs/>
        <w:color w:val="999999"/>
        <w:sz w:val="16"/>
        <w:szCs w:val="16"/>
      </w:rPr>
      <w:t>Quantitative Data Sources for Higher Education Trends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6D74"/>
    <w:multiLevelType w:val="hybridMultilevel"/>
    <w:tmpl w:val="B6C4241E"/>
    <w:lvl w:ilvl="0" w:tplc="FA867330">
      <w:start w:val="1"/>
      <w:numFmt w:val="bullet"/>
      <w:lvlText w:val="•"/>
      <w:lvlJc w:val="left"/>
      <w:pPr>
        <w:ind w:left="720" w:hanging="360"/>
      </w:pPr>
    </w:lvl>
    <w:lvl w:ilvl="1" w:tplc="8B581FEE">
      <w:numFmt w:val="decimal"/>
      <w:lvlText w:val=""/>
      <w:lvlJc w:val="left"/>
    </w:lvl>
    <w:lvl w:ilvl="2" w:tplc="4558C9DA">
      <w:numFmt w:val="decimal"/>
      <w:lvlText w:val=""/>
      <w:lvlJc w:val="left"/>
    </w:lvl>
    <w:lvl w:ilvl="3" w:tplc="5CF6C632">
      <w:numFmt w:val="decimal"/>
      <w:lvlText w:val=""/>
      <w:lvlJc w:val="left"/>
    </w:lvl>
    <w:lvl w:ilvl="4" w:tplc="1F3A6308">
      <w:numFmt w:val="decimal"/>
      <w:lvlText w:val=""/>
      <w:lvlJc w:val="left"/>
    </w:lvl>
    <w:lvl w:ilvl="5" w:tplc="8954DF6E">
      <w:numFmt w:val="decimal"/>
      <w:lvlText w:val=""/>
      <w:lvlJc w:val="left"/>
    </w:lvl>
    <w:lvl w:ilvl="6" w:tplc="1A929F76">
      <w:numFmt w:val="decimal"/>
      <w:lvlText w:val=""/>
      <w:lvlJc w:val="left"/>
    </w:lvl>
    <w:lvl w:ilvl="7" w:tplc="08285880">
      <w:numFmt w:val="decimal"/>
      <w:lvlText w:val=""/>
      <w:lvlJc w:val="left"/>
    </w:lvl>
    <w:lvl w:ilvl="8" w:tplc="A476C166">
      <w:numFmt w:val="decimal"/>
      <w:lvlText w:val=""/>
      <w:lvlJc w:val="left"/>
    </w:lvl>
  </w:abstractNum>
  <w:abstractNum w:abstractNumId="1" w15:restartNumberingAfterBreak="0">
    <w:nsid w:val="199F219D"/>
    <w:multiLevelType w:val="hybridMultilevel"/>
    <w:tmpl w:val="9C841CEA"/>
    <w:lvl w:ilvl="0" w:tplc="A5B481A6">
      <w:start w:val="1"/>
      <w:numFmt w:val="bullet"/>
      <w:lvlText w:val="•"/>
      <w:lvlJc w:val="left"/>
      <w:pPr>
        <w:ind w:left="720" w:hanging="360"/>
      </w:pPr>
    </w:lvl>
    <w:lvl w:ilvl="1" w:tplc="5D643EA0">
      <w:numFmt w:val="decimal"/>
      <w:lvlText w:val=""/>
      <w:lvlJc w:val="left"/>
    </w:lvl>
    <w:lvl w:ilvl="2" w:tplc="DC7C1E0E">
      <w:numFmt w:val="decimal"/>
      <w:lvlText w:val=""/>
      <w:lvlJc w:val="left"/>
    </w:lvl>
    <w:lvl w:ilvl="3" w:tplc="897AB8F0">
      <w:numFmt w:val="decimal"/>
      <w:lvlText w:val=""/>
      <w:lvlJc w:val="left"/>
    </w:lvl>
    <w:lvl w:ilvl="4" w:tplc="88246C7C">
      <w:numFmt w:val="decimal"/>
      <w:lvlText w:val=""/>
      <w:lvlJc w:val="left"/>
    </w:lvl>
    <w:lvl w:ilvl="5" w:tplc="4466534E">
      <w:numFmt w:val="decimal"/>
      <w:lvlText w:val=""/>
      <w:lvlJc w:val="left"/>
    </w:lvl>
    <w:lvl w:ilvl="6" w:tplc="60C6067E">
      <w:numFmt w:val="decimal"/>
      <w:lvlText w:val=""/>
      <w:lvlJc w:val="left"/>
    </w:lvl>
    <w:lvl w:ilvl="7" w:tplc="764244FC">
      <w:numFmt w:val="decimal"/>
      <w:lvlText w:val=""/>
      <w:lvlJc w:val="left"/>
    </w:lvl>
    <w:lvl w:ilvl="8" w:tplc="C42ECB50">
      <w:numFmt w:val="decimal"/>
      <w:lvlText w:val=""/>
      <w:lvlJc w:val="left"/>
    </w:lvl>
  </w:abstractNum>
  <w:abstractNum w:abstractNumId="2" w15:restartNumberingAfterBreak="0">
    <w:nsid w:val="30707993"/>
    <w:multiLevelType w:val="hybridMultilevel"/>
    <w:tmpl w:val="868041E8"/>
    <w:lvl w:ilvl="0" w:tplc="AF865DC0">
      <w:start w:val="1"/>
      <w:numFmt w:val="bullet"/>
      <w:lvlText w:val="•"/>
      <w:lvlJc w:val="left"/>
      <w:pPr>
        <w:ind w:left="720" w:hanging="360"/>
      </w:pPr>
    </w:lvl>
    <w:lvl w:ilvl="1" w:tplc="EDC89F1E">
      <w:numFmt w:val="decimal"/>
      <w:lvlText w:val=""/>
      <w:lvlJc w:val="left"/>
    </w:lvl>
    <w:lvl w:ilvl="2" w:tplc="C7409EA6">
      <w:numFmt w:val="decimal"/>
      <w:lvlText w:val=""/>
      <w:lvlJc w:val="left"/>
    </w:lvl>
    <w:lvl w:ilvl="3" w:tplc="F6C8E318">
      <w:numFmt w:val="decimal"/>
      <w:lvlText w:val=""/>
      <w:lvlJc w:val="left"/>
    </w:lvl>
    <w:lvl w:ilvl="4" w:tplc="8D2A0012">
      <w:numFmt w:val="decimal"/>
      <w:lvlText w:val=""/>
      <w:lvlJc w:val="left"/>
    </w:lvl>
    <w:lvl w:ilvl="5" w:tplc="FC40D546">
      <w:numFmt w:val="decimal"/>
      <w:lvlText w:val=""/>
      <w:lvlJc w:val="left"/>
    </w:lvl>
    <w:lvl w:ilvl="6" w:tplc="9716BC5A">
      <w:numFmt w:val="decimal"/>
      <w:lvlText w:val=""/>
      <w:lvlJc w:val="left"/>
    </w:lvl>
    <w:lvl w:ilvl="7" w:tplc="674C4416">
      <w:numFmt w:val="decimal"/>
      <w:lvlText w:val=""/>
      <w:lvlJc w:val="left"/>
    </w:lvl>
    <w:lvl w:ilvl="8" w:tplc="84A2B99A">
      <w:numFmt w:val="decimal"/>
      <w:lvlText w:val=""/>
      <w:lvlJc w:val="left"/>
    </w:lvl>
  </w:abstractNum>
  <w:abstractNum w:abstractNumId="3" w15:restartNumberingAfterBreak="0">
    <w:nsid w:val="316F2DC6"/>
    <w:multiLevelType w:val="hybridMultilevel"/>
    <w:tmpl w:val="A7C23196"/>
    <w:lvl w:ilvl="0" w:tplc="B89839E0">
      <w:start w:val="1"/>
      <w:numFmt w:val="decimal"/>
      <w:lvlText w:val="%1."/>
      <w:lvlJc w:val="left"/>
      <w:pPr>
        <w:ind w:left="720" w:hanging="360"/>
      </w:pPr>
    </w:lvl>
    <w:lvl w:ilvl="1" w:tplc="A3883DA2">
      <w:numFmt w:val="decimal"/>
      <w:lvlText w:val=""/>
      <w:lvlJc w:val="left"/>
    </w:lvl>
    <w:lvl w:ilvl="2" w:tplc="CB586F0C">
      <w:numFmt w:val="decimal"/>
      <w:lvlText w:val=""/>
      <w:lvlJc w:val="left"/>
    </w:lvl>
    <w:lvl w:ilvl="3" w:tplc="8BEECDDC">
      <w:numFmt w:val="decimal"/>
      <w:lvlText w:val=""/>
      <w:lvlJc w:val="left"/>
    </w:lvl>
    <w:lvl w:ilvl="4" w:tplc="2318A9DE">
      <w:numFmt w:val="decimal"/>
      <w:lvlText w:val=""/>
      <w:lvlJc w:val="left"/>
    </w:lvl>
    <w:lvl w:ilvl="5" w:tplc="379CD65A">
      <w:numFmt w:val="decimal"/>
      <w:lvlText w:val=""/>
      <w:lvlJc w:val="left"/>
    </w:lvl>
    <w:lvl w:ilvl="6" w:tplc="C92666C2">
      <w:numFmt w:val="decimal"/>
      <w:lvlText w:val=""/>
      <w:lvlJc w:val="left"/>
    </w:lvl>
    <w:lvl w:ilvl="7" w:tplc="A0A8D752">
      <w:numFmt w:val="decimal"/>
      <w:lvlText w:val=""/>
      <w:lvlJc w:val="left"/>
    </w:lvl>
    <w:lvl w:ilvl="8" w:tplc="E440321C">
      <w:numFmt w:val="decimal"/>
      <w:lvlText w:val=""/>
      <w:lvlJc w:val="left"/>
    </w:lvl>
  </w:abstractNum>
  <w:abstractNum w:abstractNumId="4" w15:restartNumberingAfterBreak="0">
    <w:nsid w:val="4B0B3791"/>
    <w:multiLevelType w:val="hybridMultilevel"/>
    <w:tmpl w:val="C8F270E0"/>
    <w:lvl w:ilvl="0" w:tplc="BF0253AE">
      <w:start w:val="1"/>
      <w:numFmt w:val="bullet"/>
      <w:lvlText w:val="•"/>
      <w:lvlJc w:val="left"/>
      <w:pPr>
        <w:ind w:left="720" w:hanging="360"/>
      </w:pPr>
    </w:lvl>
    <w:lvl w:ilvl="1" w:tplc="A45C0E06">
      <w:numFmt w:val="decimal"/>
      <w:lvlText w:val=""/>
      <w:lvlJc w:val="left"/>
    </w:lvl>
    <w:lvl w:ilvl="2" w:tplc="6DD61D92">
      <w:numFmt w:val="decimal"/>
      <w:lvlText w:val=""/>
      <w:lvlJc w:val="left"/>
    </w:lvl>
    <w:lvl w:ilvl="3" w:tplc="B220F26C">
      <w:numFmt w:val="decimal"/>
      <w:lvlText w:val=""/>
      <w:lvlJc w:val="left"/>
    </w:lvl>
    <w:lvl w:ilvl="4" w:tplc="D7FA4526">
      <w:numFmt w:val="decimal"/>
      <w:lvlText w:val=""/>
      <w:lvlJc w:val="left"/>
    </w:lvl>
    <w:lvl w:ilvl="5" w:tplc="3D08ACFC">
      <w:numFmt w:val="decimal"/>
      <w:lvlText w:val=""/>
      <w:lvlJc w:val="left"/>
    </w:lvl>
    <w:lvl w:ilvl="6" w:tplc="C840D69C">
      <w:numFmt w:val="decimal"/>
      <w:lvlText w:val=""/>
      <w:lvlJc w:val="left"/>
    </w:lvl>
    <w:lvl w:ilvl="7" w:tplc="9FAE638A">
      <w:numFmt w:val="decimal"/>
      <w:lvlText w:val=""/>
      <w:lvlJc w:val="left"/>
    </w:lvl>
    <w:lvl w:ilvl="8" w:tplc="2C621F0C">
      <w:numFmt w:val="decimal"/>
      <w:lvlText w:val=""/>
      <w:lvlJc w:val="left"/>
    </w:lvl>
  </w:abstractNum>
  <w:abstractNum w:abstractNumId="5" w15:restartNumberingAfterBreak="0">
    <w:nsid w:val="52013944"/>
    <w:multiLevelType w:val="hybridMultilevel"/>
    <w:tmpl w:val="0988FD5C"/>
    <w:lvl w:ilvl="0" w:tplc="655616A8">
      <w:start w:val="1"/>
      <w:numFmt w:val="bullet"/>
      <w:lvlText w:val="●"/>
      <w:lvlJc w:val="left"/>
      <w:pPr>
        <w:ind w:left="720" w:hanging="360"/>
      </w:pPr>
    </w:lvl>
    <w:lvl w:ilvl="1" w:tplc="AF6C37F6">
      <w:start w:val="1"/>
      <w:numFmt w:val="bullet"/>
      <w:lvlText w:val="○"/>
      <w:lvlJc w:val="left"/>
      <w:pPr>
        <w:ind w:left="1440" w:hanging="360"/>
      </w:pPr>
    </w:lvl>
    <w:lvl w:ilvl="2" w:tplc="636ECB40">
      <w:start w:val="1"/>
      <w:numFmt w:val="bullet"/>
      <w:lvlText w:val="■"/>
      <w:lvlJc w:val="left"/>
      <w:pPr>
        <w:ind w:left="2160" w:hanging="360"/>
      </w:pPr>
    </w:lvl>
    <w:lvl w:ilvl="3" w:tplc="00F02FF2">
      <w:start w:val="1"/>
      <w:numFmt w:val="bullet"/>
      <w:lvlText w:val="●"/>
      <w:lvlJc w:val="left"/>
      <w:pPr>
        <w:ind w:left="2880" w:hanging="360"/>
      </w:pPr>
    </w:lvl>
    <w:lvl w:ilvl="4" w:tplc="E53A8E50">
      <w:start w:val="1"/>
      <w:numFmt w:val="bullet"/>
      <w:lvlText w:val="○"/>
      <w:lvlJc w:val="left"/>
      <w:pPr>
        <w:ind w:left="3600" w:hanging="360"/>
      </w:pPr>
    </w:lvl>
    <w:lvl w:ilvl="5" w:tplc="224E86F6">
      <w:start w:val="1"/>
      <w:numFmt w:val="bullet"/>
      <w:lvlText w:val="■"/>
      <w:lvlJc w:val="left"/>
      <w:pPr>
        <w:ind w:left="4320" w:hanging="360"/>
      </w:pPr>
    </w:lvl>
    <w:lvl w:ilvl="6" w:tplc="08087E54">
      <w:start w:val="1"/>
      <w:numFmt w:val="bullet"/>
      <w:lvlText w:val="●"/>
      <w:lvlJc w:val="left"/>
      <w:pPr>
        <w:ind w:left="5040" w:hanging="360"/>
      </w:pPr>
    </w:lvl>
    <w:lvl w:ilvl="7" w:tplc="C4C2BEA0">
      <w:start w:val="1"/>
      <w:numFmt w:val="bullet"/>
      <w:lvlText w:val="●"/>
      <w:lvlJc w:val="left"/>
      <w:pPr>
        <w:ind w:left="5760" w:hanging="360"/>
      </w:pPr>
    </w:lvl>
    <w:lvl w:ilvl="8" w:tplc="B7CECA1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BD1277D"/>
    <w:multiLevelType w:val="hybridMultilevel"/>
    <w:tmpl w:val="5746866A"/>
    <w:lvl w:ilvl="0" w:tplc="02C6DC76">
      <w:start w:val="1"/>
      <w:numFmt w:val="bullet"/>
      <w:lvlText w:val="•"/>
      <w:lvlJc w:val="left"/>
      <w:pPr>
        <w:ind w:left="720" w:hanging="360"/>
      </w:pPr>
    </w:lvl>
    <w:lvl w:ilvl="1" w:tplc="1F7C561E">
      <w:numFmt w:val="decimal"/>
      <w:lvlText w:val=""/>
      <w:lvlJc w:val="left"/>
    </w:lvl>
    <w:lvl w:ilvl="2" w:tplc="55AC3F58">
      <w:numFmt w:val="decimal"/>
      <w:lvlText w:val=""/>
      <w:lvlJc w:val="left"/>
    </w:lvl>
    <w:lvl w:ilvl="3" w:tplc="6CF69682">
      <w:numFmt w:val="decimal"/>
      <w:lvlText w:val=""/>
      <w:lvlJc w:val="left"/>
    </w:lvl>
    <w:lvl w:ilvl="4" w:tplc="75B2A17A">
      <w:numFmt w:val="decimal"/>
      <w:lvlText w:val=""/>
      <w:lvlJc w:val="left"/>
    </w:lvl>
    <w:lvl w:ilvl="5" w:tplc="4CB8BCEE">
      <w:numFmt w:val="decimal"/>
      <w:lvlText w:val=""/>
      <w:lvlJc w:val="left"/>
    </w:lvl>
    <w:lvl w:ilvl="6" w:tplc="A3907686">
      <w:numFmt w:val="decimal"/>
      <w:lvlText w:val=""/>
      <w:lvlJc w:val="left"/>
    </w:lvl>
    <w:lvl w:ilvl="7" w:tplc="74F08946">
      <w:numFmt w:val="decimal"/>
      <w:lvlText w:val=""/>
      <w:lvlJc w:val="left"/>
    </w:lvl>
    <w:lvl w:ilvl="8" w:tplc="E9C27A36">
      <w:numFmt w:val="decimal"/>
      <w:lvlText w:val=""/>
      <w:lvlJc w:val="left"/>
    </w:lvl>
  </w:abstractNum>
  <w:abstractNum w:abstractNumId="7" w15:restartNumberingAfterBreak="0">
    <w:nsid w:val="6EF325B1"/>
    <w:multiLevelType w:val="hybridMultilevel"/>
    <w:tmpl w:val="799A9B66"/>
    <w:lvl w:ilvl="0" w:tplc="12C2F566">
      <w:start w:val="1"/>
      <w:numFmt w:val="bullet"/>
      <w:lvlText w:val="•"/>
      <w:lvlJc w:val="left"/>
      <w:pPr>
        <w:ind w:left="720" w:hanging="360"/>
      </w:pPr>
    </w:lvl>
    <w:lvl w:ilvl="1" w:tplc="E8D60C44">
      <w:numFmt w:val="decimal"/>
      <w:lvlText w:val=""/>
      <w:lvlJc w:val="left"/>
    </w:lvl>
    <w:lvl w:ilvl="2" w:tplc="E58CCBD6">
      <w:numFmt w:val="decimal"/>
      <w:lvlText w:val=""/>
      <w:lvlJc w:val="left"/>
    </w:lvl>
    <w:lvl w:ilvl="3" w:tplc="5204EE92">
      <w:numFmt w:val="decimal"/>
      <w:lvlText w:val=""/>
      <w:lvlJc w:val="left"/>
    </w:lvl>
    <w:lvl w:ilvl="4" w:tplc="E728671E">
      <w:numFmt w:val="decimal"/>
      <w:lvlText w:val=""/>
      <w:lvlJc w:val="left"/>
    </w:lvl>
    <w:lvl w:ilvl="5" w:tplc="603658CC">
      <w:numFmt w:val="decimal"/>
      <w:lvlText w:val=""/>
      <w:lvlJc w:val="left"/>
    </w:lvl>
    <w:lvl w:ilvl="6" w:tplc="E1D40C00">
      <w:numFmt w:val="decimal"/>
      <w:lvlText w:val=""/>
      <w:lvlJc w:val="left"/>
    </w:lvl>
    <w:lvl w:ilvl="7" w:tplc="A6A81220">
      <w:numFmt w:val="decimal"/>
      <w:lvlText w:val=""/>
      <w:lvlJc w:val="left"/>
    </w:lvl>
    <w:lvl w:ilvl="8" w:tplc="A5985B90">
      <w:numFmt w:val="decimal"/>
      <w:lvlText w:val=""/>
      <w:lvlJc w:val="left"/>
    </w:lvl>
  </w:abstractNum>
  <w:abstractNum w:abstractNumId="8" w15:restartNumberingAfterBreak="0">
    <w:nsid w:val="6FE5696B"/>
    <w:multiLevelType w:val="hybridMultilevel"/>
    <w:tmpl w:val="0504C322"/>
    <w:lvl w:ilvl="0" w:tplc="A8C8ABFE">
      <w:start w:val="1"/>
      <w:numFmt w:val="bullet"/>
      <w:lvlText w:val="•"/>
      <w:lvlJc w:val="left"/>
      <w:pPr>
        <w:ind w:left="720" w:hanging="360"/>
      </w:pPr>
    </w:lvl>
    <w:lvl w:ilvl="1" w:tplc="CBB8FCEA">
      <w:numFmt w:val="decimal"/>
      <w:lvlText w:val=""/>
      <w:lvlJc w:val="left"/>
    </w:lvl>
    <w:lvl w:ilvl="2" w:tplc="4B649C04">
      <w:numFmt w:val="decimal"/>
      <w:lvlText w:val=""/>
      <w:lvlJc w:val="left"/>
    </w:lvl>
    <w:lvl w:ilvl="3" w:tplc="D0642676">
      <w:numFmt w:val="decimal"/>
      <w:lvlText w:val=""/>
      <w:lvlJc w:val="left"/>
    </w:lvl>
    <w:lvl w:ilvl="4" w:tplc="D1FE81B0">
      <w:numFmt w:val="decimal"/>
      <w:lvlText w:val=""/>
      <w:lvlJc w:val="left"/>
    </w:lvl>
    <w:lvl w:ilvl="5" w:tplc="D6AAE084">
      <w:numFmt w:val="decimal"/>
      <w:lvlText w:val=""/>
      <w:lvlJc w:val="left"/>
    </w:lvl>
    <w:lvl w:ilvl="6" w:tplc="BF3261BA">
      <w:numFmt w:val="decimal"/>
      <w:lvlText w:val=""/>
      <w:lvlJc w:val="left"/>
    </w:lvl>
    <w:lvl w:ilvl="7" w:tplc="857A2FF8">
      <w:numFmt w:val="decimal"/>
      <w:lvlText w:val=""/>
      <w:lvlJc w:val="left"/>
    </w:lvl>
    <w:lvl w:ilvl="8" w:tplc="CCD25060">
      <w:numFmt w:val="decimal"/>
      <w:lvlText w:val=""/>
      <w:lvlJc w:val="left"/>
    </w:lvl>
  </w:abstractNum>
  <w:num w:numId="1" w16cid:durableId="952371312">
    <w:abstractNumId w:val="5"/>
    <w:lvlOverride w:ilvl="0">
      <w:startOverride w:val="1"/>
    </w:lvlOverride>
  </w:num>
  <w:num w:numId="2" w16cid:durableId="827866093">
    <w:abstractNumId w:val="6"/>
    <w:lvlOverride w:ilvl="0">
      <w:startOverride w:val="1"/>
    </w:lvlOverride>
  </w:num>
  <w:num w:numId="3" w16cid:durableId="944726011">
    <w:abstractNumId w:val="2"/>
    <w:lvlOverride w:ilvl="0">
      <w:startOverride w:val="1"/>
    </w:lvlOverride>
  </w:num>
  <w:num w:numId="4" w16cid:durableId="218177524">
    <w:abstractNumId w:val="1"/>
    <w:lvlOverride w:ilvl="0">
      <w:startOverride w:val="1"/>
    </w:lvlOverride>
  </w:num>
  <w:num w:numId="5" w16cid:durableId="712929764">
    <w:abstractNumId w:val="0"/>
    <w:lvlOverride w:ilvl="0">
      <w:startOverride w:val="1"/>
    </w:lvlOverride>
  </w:num>
  <w:num w:numId="6" w16cid:durableId="1407265216">
    <w:abstractNumId w:val="7"/>
    <w:lvlOverride w:ilvl="0">
      <w:startOverride w:val="1"/>
    </w:lvlOverride>
  </w:num>
  <w:num w:numId="7" w16cid:durableId="657151112">
    <w:abstractNumId w:val="4"/>
    <w:lvlOverride w:ilvl="0">
      <w:startOverride w:val="1"/>
    </w:lvlOverride>
  </w:num>
  <w:num w:numId="8" w16cid:durableId="733623638">
    <w:abstractNumId w:val="8"/>
    <w:lvlOverride w:ilvl="0">
      <w:startOverride w:val="1"/>
    </w:lvlOverride>
  </w:num>
  <w:num w:numId="9" w16cid:durableId="200015911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407"/>
    <w:rsid w:val="001C6407"/>
    <w:rsid w:val="00280989"/>
    <w:rsid w:val="002D7F54"/>
    <w:rsid w:val="007A0AC9"/>
    <w:rsid w:val="00C61EED"/>
    <w:rsid w:val="00CA4552"/>
    <w:rsid w:val="00F5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C3AE"/>
  <w15:docId w15:val="{01F10FAC-A094-4575-B949-A28C928EA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NZ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color w:val="3498D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1402</Words>
  <Characters>9538</Characters>
  <Application>Microsoft Office Word</Application>
  <DocSecurity>0</DocSecurity>
  <Lines>366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Hongyu Zhou</cp:lastModifiedBy>
  <cp:revision>3</cp:revision>
  <dcterms:created xsi:type="dcterms:W3CDTF">2026-03-18T10:27:00Z</dcterms:created>
  <dcterms:modified xsi:type="dcterms:W3CDTF">2026-03-19T05:35:00Z</dcterms:modified>
</cp:coreProperties>
</file>