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E004" w14:textId="77777777" w:rsidR="00CC542F" w:rsidRDefault="00A97EB9" w:rsidP="00A97EB9">
      <w:pPr>
        <w:pStyle w:val="Title"/>
      </w:pPr>
      <w:r>
        <w:t xml:space="preserve">CSE 417 HW 4, YANG ZHANG, 1030416, </w:t>
      </w:r>
      <w:r w:rsidRPr="00A97EB9">
        <w:t>zhy9036@uw.edu</w:t>
      </w:r>
    </w:p>
    <w:p w14:paraId="22C4AA75" w14:textId="77777777" w:rsidR="00A97EB9" w:rsidRPr="00A97EB9" w:rsidRDefault="00A97EB9" w:rsidP="00A97EB9"/>
    <w:p w14:paraId="6DCC1C66" w14:textId="77777777" w:rsidR="00A97EB9" w:rsidRDefault="00A97EB9" w:rsidP="00A97EB9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1</w:t>
      </w:r>
    </w:p>
    <w:p w14:paraId="4A6A6359" w14:textId="77777777" w:rsidR="00A97EB9" w:rsidRDefault="00A97EB9" w:rsidP="00A97EB9"/>
    <w:p w14:paraId="6E72358E" w14:textId="77777777" w:rsidR="00D46F5D" w:rsidRDefault="00A97EB9" w:rsidP="00A97EB9">
      <w:pPr>
        <w:rPr>
          <w:lang w:eastAsia="zh-CN"/>
        </w:rPr>
      </w:pPr>
      <w:r>
        <w:t>The solution for finding closest distance of two points in 1-dimensional is not proper for 2-dimensional case. The reason is that in 2-dimensional the distance between 2 points are affected by both the difference between x-coordinates and the difference between y-coordinates. Therefore, sorting by one coordinates may not returns the correct answer. For example, if w</w:t>
      </w:r>
      <w:r w:rsidR="00B74BC0">
        <w:t>e have many points that distribute</w:t>
      </w:r>
      <w:r w:rsidR="00D36DB9">
        <w:t>s centered</w:t>
      </w:r>
      <w:r w:rsidR="00D36DB9">
        <w:rPr>
          <w:rFonts w:hint="eastAsia"/>
          <w:lang w:eastAsia="zh-CN"/>
        </w:rPr>
        <w:t xml:space="preserve"> in one axis, like</w:t>
      </w:r>
      <w:r>
        <w:t xml:space="preserve"> </w:t>
      </w:r>
      <w:r w:rsidR="00D36DB9">
        <w:rPr>
          <w:rFonts w:hint="eastAsia"/>
          <w:lang w:eastAsia="zh-CN"/>
        </w:rPr>
        <w:t xml:space="preserve">the </w:t>
      </w:r>
      <w:r>
        <w:t xml:space="preserve">picture </w:t>
      </w:r>
      <w:r w:rsidR="00D36DB9">
        <w:rPr>
          <w:rFonts w:hint="eastAsia"/>
          <w:lang w:eastAsia="zh-CN"/>
        </w:rPr>
        <w:t xml:space="preserve">showing </w:t>
      </w:r>
      <w:r>
        <w:t>below:</w:t>
      </w:r>
    </w:p>
    <w:p w14:paraId="2E7D7BD4" w14:textId="77777777" w:rsidR="00D46F5D" w:rsidRDefault="00D46F5D" w:rsidP="00A97EB9">
      <w:pPr>
        <w:rPr>
          <w:lang w:eastAsia="zh-CN"/>
        </w:rPr>
      </w:pPr>
    </w:p>
    <w:p w14:paraId="1F043595" w14:textId="77777777" w:rsidR="00A97EB9" w:rsidRDefault="00D46F5D" w:rsidP="00A97EB9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409E0186" wp14:editId="08AD5976">
            <wp:extent cx="4368800" cy="2557145"/>
            <wp:effectExtent l="0" t="0" r="0" b="8255"/>
            <wp:docPr id="1" name="Picture 1" descr="Macintosh HD:Users:zhangyang:Desktop:Conter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ang:Desktop:Conter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EB9">
        <w:t xml:space="preserve"> </w:t>
      </w:r>
      <w:r w:rsidR="00B74BC0">
        <w:rPr>
          <w:rFonts w:hint="eastAsia"/>
          <w:lang w:eastAsia="zh-CN"/>
        </w:rPr>
        <w:t xml:space="preserve"> </w:t>
      </w:r>
    </w:p>
    <w:p w14:paraId="7F884621" w14:textId="77777777" w:rsidR="00D36DB9" w:rsidRDefault="00D46F5D" w:rsidP="00A97EB9">
      <w:pPr>
        <w:rPr>
          <w:lang w:eastAsia="zh-CN"/>
        </w:rPr>
      </w:pPr>
      <w:r>
        <w:rPr>
          <w:rFonts w:hint="eastAsia"/>
          <w:lang w:eastAsia="zh-CN"/>
        </w:rPr>
        <w:t>Sorted points by x-</w:t>
      </w:r>
      <w:r>
        <w:rPr>
          <w:lang w:eastAsia="zh-CN"/>
        </w:rPr>
        <w:t>coordinates</w:t>
      </w:r>
      <w:r w:rsidR="00D36DB9">
        <w:rPr>
          <w:rFonts w:hint="eastAsia"/>
          <w:lang w:eastAsia="zh-CN"/>
        </w:rPr>
        <w:t xml:space="preserve"> will not yield the closest pair (the pair with smallest distance in x-</w:t>
      </w:r>
      <w:r w:rsidR="00D36DB9">
        <w:rPr>
          <w:lang w:eastAsia="zh-CN"/>
        </w:rPr>
        <w:t>axis</w:t>
      </w:r>
      <w:r w:rsidR="00D36DB9">
        <w:rPr>
          <w:rFonts w:hint="eastAsia"/>
          <w:lang w:eastAsia="zh-CN"/>
        </w:rPr>
        <w:t xml:space="preserve"> has largest distance in y-axis)</w:t>
      </w:r>
    </w:p>
    <w:p w14:paraId="29F75840" w14:textId="77777777" w:rsidR="00D36DB9" w:rsidRDefault="00D36DB9" w:rsidP="00A97EB9">
      <w:pPr>
        <w:rPr>
          <w:lang w:eastAsia="zh-CN"/>
        </w:rPr>
      </w:pPr>
    </w:p>
    <w:p w14:paraId="11015742" w14:textId="77777777" w:rsidR="00D46F5D" w:rsidRDefault="00D46F5D" w:rsidP="00A97EB9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7B7D47CE" w14:textId="77777777" w:rsidR="00782870" w:rsidRDefault="00782870" w:rsidP="00782870">
      <w:pPr>
        <w:rPr>
          <w:b/>
          <w:sz w:val="36"/>
          <w:szCs w:val="36"/>
          <w:lang w:eastAsia="zh-CN"/>
        </w:rPr>
      </w:pPr>
      <w:r>
        <w:rPr>
          <w:b/>
          <w:sz w:val="36"/>
          <w:szCs w:val="36"/>
        </w:rPr>
        <w:t xml:space="preserve">Problem </w:t>
      </w:r>
      <w:r>
        <w:rPr>
          <w:rFonts w:hint="eastAsia"/>
          <w:b/>
          <w:sz w:val="36"/>
          <w:szCs w:val="36"/>
          <w:lang w:eastAsia="zh-CN"/>
        </w:rPr>
        <w:t>2</w:t>
      </w:r>
    </w:p>
    <w:p w14:paraId="6A8F2101" w14:textId="77777777" w:rsidR="000923DC" w:rsidRDefault="000923DC" w:rsidP="00782870">
      <w:pPr>
        <w:rPr>
          <w:b/>
          <w:sz w:val="36"/>
          <w:szCs w:val="36"/>
          <w:lang w:eastAsia="zh-CN"/>
        </w:rPr>
      </w:pPr>
    </w:p>
    <w:p w14:paraId="406FF89E" w14:textId="2EB429D5" w:rsidR="000923DC" w:rsidRDefault="000923DC" w:rsidP="000923D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Suppose </w:t>
      </w:r>
      <w:r w:rsidRPr="006F21E6">
        <w:rPr>
          <w:lang w:eastAsia="zh-CN"/>
        </w:rPr>
        <w:t>there</w:t>
      </w:r>
      <w:r>
        <w:rPr>
          <w:lang w:eastAsia="zh-CN"/>
        </w:rPr>
        <w:t xml:space="preserve"> are three points: p1 = (x, y1), p2 = (x, y2), p3 = (x, y3), </w:t>
      </w:r>
    </w:p>
    <w:p w14:paraId="0FF20E97" w14:textId="40967F82" w:rsidR="000923DC" w:rsidRDefault="000923DC" w:rsidP="000923DC">
      <w:pPr>
        <w:pStyle w:val="ListParagraph"/>
        <w:rPr>
          <w:lang w:eastAsia="zh-CN"/>
        </w:rPr>
      </w:pPr>
      <w:r>
        <w:rPr>
          <w:lang w:eastAsia="zh-CN"/>
        </w:rPr>
        <w:t>And y3 – y1 &gt; = 2(y2 – y1)</w:t>
      </w:r>
    </w:p>
    <w:p w14:paraId="76F31F80" w14:textId="71D42A55" w:rsidR="006F21E6" w:rsidRPr="006F21E6" w:rsidRDefault="000923DC" w:rsidP="006F21E6">
      <w:pPr>
        <w:rPr>
          <w:rFonts w:eastAsia="Times New Roman" w:cs="Times New Roman"/>
          <w:color w:val="252525"/>
          <w:shd w:val="clear" w:color="auto" w:fill="F9F9F9"/>
        </w:rPr>
      </w:pPr>
      <w:r>
        <w:rPr>
          <w:lang w:eastAsia="zh-CN"/>
        </w:rPr>
        <w:t>If p3 and p1 belong to right area plus this area only has those two point</w:t>
      </w:r>
      <w:r w:rsidR="006F21E6">
        <w:rPr>
          <w:lang w:eastAsia="zh-CN"/>
        </w:rPr>
        <w:t>s</w:t>
      </w:r>
      <w:r>
        <w:rPr>
          <w:lang w:eastAsia="zh-CN"/>
        </w:rPr>
        <w:t>, and p2 belongs to left area</w:t>
      </w:r>
      <w:r w:rsidR="006F21E6">
        <w:rPr>
          <w:lang w:eastAsia="zh-CN"/>
        </w:rPr>
        <w:t xml:space="preserve">. The </w:t>
      </w:r>
      <w:r w:rsidR="006F21E6" w:rsidRPr="006F21E6">
        <w:rPr>
          <w:rFonts w:ascii="Helvetica" w:eastAsia="Times New Roman" w:hAnsi="Helvetica" w:cs="Times New Roman"/>
          <w:color w:val="252525"/>
          <w:sz w:val="23"/>
          <w:szCs w:val="23"/>
          <w:shd w:val="clear" w:color="auto" w:fill="F9F9F9"/>
        </w:rPr>
        <w:t xml:space="preserve">δ/2 </w:t>
      </w:r>
      <w:r w:rsidR="006F21E6" w:rsidRPr="006F21E6">
        <w:rPr>
          <w:rFonts w:eastAsia="Times New Roman" w:cs="Times New Roman"/>
          <w:color w:val="252525"/>
          <w:shd w:val="clear" w:color="auto" w:fill="F9F9F9"/>
        </w:rPr>
        <w:t xml:space="preserve">of left half is (y3 – y1)/2, which is equal or bigger than the distance between p1 and p2. Therefore, if we draw the box regards to p1, p2 will also be included in this box. </w:t>
      </w:r>
    </w:p>
    <w:p w14:paraId="23438F10" w14:textId="77777777" w:rsidR="006F21E6" w:rsidRPr="006F21E6" w:rsidRDefault="006F21E6" w:rsidP="006F21E6">
      <w:pPr>
        <w:rPr>
          <w:rFonts w:eastAsia="Times New Roman" w:cs="Times New Roman"/>
          <w:color w:val="252525"/>
          <w:shd w:val="clear" w:color="auto" w:fill="F9F9F9"/>
        </w:rPr>
      </w:pPr>
    </w:p>
    <w:p w14:paraId="7368F0B1" w14:textId="7C75CA4C" w:rsidR="006F21E6" w:rsidRDefault="006F21E6" w:rsidP="006F21E6">
      <w:pPr>
        <w:rPr>
          <w:rFonts w:eastAsia="Times New Roman" w:cs="Times New Roman"/>
          <w:color w:val="252525"/>
          <w:shd w:val="clear" w:color="auto" w:fill="F9F9F9"/>
        </w:rPr>
      </w:pPr>
      <w:r w:rsidRPr="006F21E6">
        <w:rPr>
          <w:rFonts w:eastAsia="Times New Roman" w:cs="Times New Roman"/>
          <w:color w:val="252525"/>
          <w:shd w:val="clear" w:color="auto" w:fill="F9F9F9"/>
        </w:rPr>
        <w:t>Therefore, the statement is false in this case.</w:t>
      </w:r>
      <w:r>
        <w:rPr>
          <w:rFonts w:eastAsia="Times New Roman" w:cs="Times New Roman"/>
          <w:color w:val="252525"/>
          <w:shd w:val="clear" w:color="auto" w:fill="F9F9F9"/>
        </w:rPr>
        <w:t xml:space="preserve"> </w:t>
      </w:r>
    </w:p>
    <w:p w14:paraId="4DDEC1D7" w14:textId="70C94EAD" w:rsidR="006F21E6" w:rsidRPr="00B63DE9" w:rsidRDefault="00B63DE9" w:rsidP="00B63DE9">
      <w:pPr>
        <w:pStyle w:val="ListParagraph"/>
        <w:numPr>
          <w:ilvl w:val="0"/>
          <w:numId w:val="1"/>
        </w:numPr>
        <w:rPr>
          <w:rFonts w:eastAsia="Times New Roman" w:cs="Times New Roman"/>
          <w:b/>
          <w:color w:val="252525"/>
          <w:shd w:val="clear" w:color="auto" w:fill="F9F9F9"/>
        </w:rPr>
      </w:pPr>
      <w:r w:rsidRPr="00B63DE9">
        <w:rPr>
          <w:rFonts w:eastAsia="Times New Roman" w:cs="Times New Roman"/>
          <w:b/>
          <w:color w:val="252525"/>
          <w:shd w:val="clear" w:color="auto" w:fill="F9F9F9"/>
        </w:rPr>
        <w:lastRenderedPageBreak/>
        <w:t xml:space="preserve">Prove: </w:t>
      </w:r>
    </w:p>
    <w:p w14:paraId="510C221C" w14:textId="645F7926" w:rsidR="00B63DE9" w:rsidRPr="00B63DE9" w:rsidRDefault="00B63DE9" w:rsidP="00B63DE9">
      <w:pPr>
        <w:pStyle w:val="ListParagraph"/>
        <w:rPr>
          <w:rFonts w:eastAsia="Times New Roman" w:cs="Times New Roman"/>
          <w:color w:val="252525"/>
          <w:shd w:val="clear" w:color="auto" w:fill="F9F9F9"/>
        </w:rPr>
      </w:pPr>
      <w:r>
        <w:rPr>
          <w:rFonts w:eastAsia="Times New Roman" w:cs="Times New Roman"/>
          <w:color w:val="252525"/>
          <w:shd w:val="clear" w:color="auto" w:fill="F9F9F9"/>
        </w:rPr>
        <w:t xml:space="preserve">Suppose there are two points A and B that have same x-coordinate and are both on line L, where A belongs to right half, while b belongs to the left half. Since the delta is constant for both side. There are at most two points with the delta/2 box of </w:t>
      </w:r>
      <w:proofErr w:type="gramStart"/>
      <w:r>
        <w:rPr>
          <w:rFonts w:eastAsia="Times New Roman" w:cs="Times New Roman"/>
          <w:color w:val="252525"/>
          <w:shd w:val="clear" w:color="auto" w:fill="F9F9F9"/>
        </w:rPr>
        <w:t>A</w:t>
      </w:r>
      <w:proofErr w:type="gramEnd"/>
      <w:r>
        <w:rPr>
          <w:rFonts w:eastAsia="Times New Roman" w:cs="Times New Roman"/>
          <w:color w:val="252525"/>
          <w:shd w:val="clear" w:color="auto" w:fill="F9F9F9"/>
        </w:rPr>
        <w:t xml:space="preserve"> and the delta/2 box of B. In other words, the boxes share the same two points. Moreover, other points are not on L, therefore, the old rule can applied for those points. </w:t>
      </w:r>
      <w:proofErr w:type="gramStart"/>
      <w:r>
        <w:rPr>
          <w:rFonts w:eastAsia="Times New Roman" w:cs="Times New Roman"/>
          <w:color w:val="252525"/>
          <w:shd w:val="clear" w:color="auto" w:fill="F9F9F9"/>
        </w:rPr>
        <w:t>i</w:t>
      </w:r>
      <w:proofErr w:type="gramEnd"/>
      <w:r>
        <w:rPr>
          <w:rFonts w:eastAsia="Times New Roman" w:cs="Times New Roman"/>
          <w:color w:val="252525"/>
          <w:shd w:val="clear" w:color="auto" w:fill="F9F9F9"/>
        </w:rPr>
        <w:t xml:space="preserve">.e. no more than 6 points can be within delta/2 area for those points. Therefore, in total, there </w:t>
      </w:r>
      <w:proofErr w:type="gramStart"/>
      <w:r>
        <w:rPr>
          <w:rFonts w:eastAsia="Times New Roman" w:cs="Times New Roman"/>
          <w:color w:val="252525"/>
          <w:shd w:val="clear" w:color="auto" w:fill="F9F9F9"/>
        </w:rPr>
        <w:t>are</w:t>
      </w:r>
      <w:proofErr w:type="gramEnd"/>
      <w:r>
        <w:rPr>
          <w:rFonts w:eastAsia="Times New Roman" w:cs="Times New Roman"/>
          <w:color w:val="252525"/>
          <w:shd w:val="clear" w:color="auto" w:fill="F9F9F9"/>
        </w:rPr>
        <w:t xml:space="preserve"> still at most 8 point within this region. </w:t>
      </w:r>
    </w:p>
    <w:p w14:paraId="77E1AEF7" w14:textId="77777777" w:rsidR="00171F33" w:rsidRDefault="00171F33" w:rsidP="006F21E6">
      <w:pPr>
        <w:rPr>
          <w:rFonts w:eastAsia="Times New Roman" w:cs="Times New Roman"/>
          <w:b/>
          <w:color w:val="252525"/>
          <w:shd w:val="clear" w:color="auto" w:fill="F9F9F9"/>
        </w:rPr>
      </w:pPr>
    </w:p>
    <w:p w14:paraId="2802360A" w14:textId="77777777" w:rsidR="00171F33" w:rsidRDefault="00171F33" w:rsidP="006F21E6">
      <w:pPr>
        <w:rPr>
          <w:rFonts w:eastAsia="Times New Roman" w:cs="Times New Roman"/>
          <w:b/>
          <w:color w:val="252525"/>
          <w:shd w:val="clear" w:color="auto" w:fill="F9F9F9"/>
        </w:rPr>
      </w:pPr>
    </w:p>
    <w:p w14:paraId="77DFDE4B" w14:textId="77777777" w:rsidR="00171F33" w:rsidRDefault="00171F33" w:rsidP="006F21E6">
      <w:pPr>
        <w:rPr>
          <w:rFonts w:eastAsia="Times New Roman" w:cs="Times New Roman"/>
          <w:b/>
          <w:color w:val="252525"/>
          <w:shd w:val="clear" w:color="auto" w:fill="F9F9F9"/>
        </w:rPr>
      </w:pPr>
    </w:p>
    <w:p w14:paraId="625FDA15" w14:textId="777B1492" w:rsidR="00171F33" w:rsidRPr="00171F33" w:rsidRDefault="00171F33" w:rsidP="006F21E6">
      <w:pPr>
        <w:rPr>
          <w:rFonts w:eastAsia="Times New Roman" w:cs="Times New Roman"/>
          <w:b/>
          <w:color w:val="252525"/>
          <w:sz w:val="36"/>
          <w:szCs w:val="36"/>
          <w:shd w:val="clear" w:color="auto" w:fill="F9F9F9"/>
        </w:rPr>
      </w:pPr>
      <w:r w:rsidRPr="00A964AD">
        <w:rPr>
          <w:rFonts w:eastAsia="Times New Roman" w:cs="Times New Roman"/>
          <w:b/>
          <w:color w:val="252525"/>
          <w:sz w:val="36"/>
          <w:szCs w:val="36"/>
          <w:shd w:val="clear" w:color="auto" w:fill="F9F9F9"/>
        </w:rPr>
        <w:t>Problem 3</w:t>
      </w:r>
    </w:p>
    <w:p w14:paraId="123E34C5" w14:textId="77777777" w:rsidR="00171F33" w:rsidRPr="006F21E6" w:rsidRDefault="00171F33" w:rsidP="006F21E6">
      <w:pPr>
        <w:rPr>
          <w:rFonts w:eastAsia="Times New Roman" w:cs="Times New Roman"/>
          <w:b/>
          <w:color w:val="252525"/>
          <w:shd w:val="clear" w:color="auto" w:fill="F9F9F9"/>
        </w:rPr>
      </w:pPr>
    </w:p>
    <w:p w14:paraId="1BE6B335" w14:textId="3DE07F0C" w:rsidR="006F21E6" w:rsidRPr="006F21E6" w:rsidRDefault="006F21E6" w:rsidP="006F21E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ED026A0" w14:textId="739380B1" w:rsidR="000923DC" w:rsidRPr="000923DC" w:rsidRDefault="000923DC" w:rsidP="000923DC">
      <w:pPr>
        <w:pStyle w:val="ListParagraph"/>
        <w:rPr>
          <w:lang w:eastAsia="zh-CN"/>
        </w:rPr>
      </w:pPr>
      <w:r>
        <w:rPr>
          <w:lang w:eastAsia="zh-CN"/>
        </w:rPr>
        <w:t xml:space="preserve"> </w:t>
      </w:r>
    </w:p>
    <w:p w14:paraId="103898F5" w14:textId="1AE2814A" w:rsidR="00782870" w:rsidRDefault="00A964AD" w:rsidP="00782870">
      <w:pPr>
        <w:rPr>
          <w:b/>
          <w:lang w:eastAsia="zh-CN"/>
        </w:rPr>
      </w:pPr>
      <w:r>
        <w:rPr>
          <w:b/>
          <w:lang w:eastAsia="zh-CN"/>
        </w:rPr>
        <w:t>Result for provided test case: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77"/>
        <w:gridCol w:w="2277"/>
        <w:gridCol w:w="2277"/>
        <w:gridCol w:w="2277"/>
      </w:tblGrid>
      <w:tr w:rsidR="00A964AD" w14:paraId="4BF1B7DD" w14:textId="77777777" w:rsidTr="00A964AD">
        <w:trPr>
          <w:trHeight w:val="741"/>
        </w:trPr>
        <w:tc>
          <w:tcPr>
            <w:tcW w:w="2277" w:type="dxa"/>
            <w:tcBorders>
              <w:tl2br w:val="single" w:sz="4" w:space="0" w:color="auto"/>
            </w:tcBorders>
          </w:tcPr>
          <w:p w14:paraId="4614273F" w14:textId="401950FD" w:rsidR="00A964AD" w:rsidRDefault="00A964AD" w:rsidP="00A964AD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</w:t>
            </w:r>
          </w:p>
          <w:p w14:paraId="251EE534" w14:textId="3748D7C5" w:rsidR="00A964AD" w:rsidRPr="00A964AD" w:rsidRDefault="00A964AD" w:rsidP="00A964AD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Test Case</w:t>
            </w:r>
          </w:p>
        </w:tc>
        <w:tc>
          <w:tcPr>
            <w:tcW w:w="2277" w:type="dxa"/>
          </w:tcPr>
          <w:p w14:paraId="0E32816B" w14:textId="4A672F72" w:rsidR="00A964AD" w:rsidRDefault="00A964AD" w:rsidP="00A964AD">
            <w:pPr>
              <w:jc w:val="center"/>
              <w:rPr>
                <w:rFonts w:hint="eastAsia"/>
                <w:b/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Burte</w:t>
            </w:r>
            <w:proofErr w:type="spellEnd"/>
            <w:r>
              <w:rPr>
                <w:rFonts w:hint="eastAsia"/>
                <w:b/>
                <w:lang w:eastAsia="zh-CN"/>
              </w:rPr>
              <w:t>-Force N^2</w:t>
            </w:r>
          </w:p>
        </w:tc>
        <w:tc>
          <w:tcPr>
            <w:tcW w:w="2277" w:type="dxa"/>
          </w:tcPr>
          <w:p w14:paraId="429B9E11" w14:textId="6D5C3E92" w:rsidR="00A964AD" w:rsidRDefault="00A964AD" w:rsidP="00A964AD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CP </w:t>
            </w:r>
            <w:proofErr w:type="spellStart"/>
            <w:r>
              <w:rPr>
                <w:rFonts w:hint="eastAsia"/>
                <w:b/>
                <w:lang w:eastAsia="zh-CN"/>
              </w:rPr>
              <w:t>nlogn</w:t>
            </w:r>
            <w:proofErr w:type="spellEnd"/>
          </w:p>
        </w:tc>
        <w:tc>
          <w:tcPr>
            <w:tcW w:w="2277" w:type="dxa"/>
          </w:tcPr>
          <w:p w14:paraId="670BD4DB" w14:textId="1B42AFD8" w:rsidR="00A964AD" w:rsidRDefault="00A964AD" w:rsidP="00A964AD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CP nlog2n</w:t>
            </w:r>
          </w:p>
        </w:tc>
      </w:tr>
      <w:tr w:rsidR="00A964AD" w14:paraId="3B64A6CF" w14:textId="77777777" w:rsidTr="00A964AD">
        <w:trPr>
          <w:trHeight w:val="741"/>
        </w:trPr>
        <w:tc>
          <w:tcPr>
            <w:tcW w:w="2277" w:type="dxa"/>
          </w:tcPr>
          <w:p w14:paraId="13277F1E" w14:textId="54928A20" w:rsidR="00A964AD" w:rsidRDefault="00A964AD" w:rsidP="00A964AD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File 1</w:t>
            </w:r>
          </w:p>
        </w:tc>
        <w:tc>
          <w:tcPr>
            <w:tcW w:w="2277" w:type="dxa"/>
          </w:tcPr>
          <w:p w14:paraId="6D444F9A" w14:textId="02DA5F48" w:rsidR="00A964AD" w:rsidRPr="008C7631" w:rsidRDefault="008C7631" w:rsidP="00A964AD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Infinity</w:t>
            </w:r>
          </w:p>
        </w:tc>
        <w:tc>
          <w:tcPr>
            <w:tcW w:w="2277" w:type="dxa"/>
          </w:tcPr>
          <w:p w14:paraId="70AEBF81" w14:textId="3A62EB94" w:rsidR="00A964AD" w:rsidRDefault="008C7631" w:rsidP="00A964AD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Infinity</w:t>
            </w:r>
          </w:p>
        </w:tc>
        <w:tc>
          <w:tcPr>
            <w:tcW w:w="2277" w:type="dxa"/>
          </w:tcPr>
          <w:p w14:paraId="7AF59BBD" w14:textId="7FF46780" w:rsidR="00A964AD" w:rsidRDefault="008C7631" w:rsidP="00A964AD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Infinity</w:t>
            </w:r>
          </w:p>
        </w:tc>
      </w:tr>
      <w:tr w:rsidR="00A964AD" w14:paraId="129831CD" w14:textId="77777777" w:rsidTr="00A964AD">
        <w:trPr>
          <w:trHeight w:val="741"/>
        </w:trPr>
        <w:tc>
          <w:tcPr>
            <w:tcW w:w="2277" w:type="dxa"/>
          </w:tcPr>
          <w:p w14:paraId="1F602480" w14:textId="1FAB3C12" w:rsidR="00A964AD" w:rsidRDefault="00A964AD" w:rsidP="00A964AD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File 2</w:t>
            </w:r>
          </w:p>
        </w:tc>
        <w:tc>
          <w:tcPr>
            <w:tcW w:w="2277" w:type="dxa"/>
          </w:tcPr>
          <w:p w14:paraId="4664F90C" w14:textId="411B5C9A" w:rsidR="00A964AD" w:rsidRPr="00A606F9" w:rsidRDefault="008C7631" w:rsidP="00A964AD">
            <w:pPr>
              <w:jc w:val="center"/>
              <w:rPr>
                <w:rFonts w:hint="eastAsia"/>
                <w:lang w:eastAsia="zh-CN"/>
              </w:rPr>
            </w:pPr>
            <w:r w:rsidRPr="00A606F9">
              <w:rPr>
                <w:rFonts w:hint="eastAsia"/>
                <w:lang w:eastAsia="zh-CN"/>
              </w:rPr>
              <w:t>1.0</w:t>
            </w:r>
          </w:p>
        </w:tc>
        <w:tc>
          <w:tcPr>
            <w:tcW w:w="2277" w:type="dxa"/>
          </w:tcPr>
          <w:p w14:paraId="2AB32431" w14:textId="0147AE6C" w:rsidR="00A964AD" w:rsidRPr="00A606F9" w:rsidRDefault="008C7631" w:rsidP="00A964AD">
            <w:pPr>
              <w:jc w:val="center"/>
              <w:rPr>
                <w:rFonts w:hint="eastAsia"/>
                <w:lang w:eastAsia="zh-CN"/>
              </w:rPr>
            </w:pPr>
            <w:r w:rsidRPr="00A606F9">
              <w:rPr>
                <w:rFonts w:hint="eastAsia"/>
                <w:lang w:eastAsia="zh-CN"/>
              </w:rPr>
              <w:t>1.0</w:t>
            </w:r>
          </w:p>
        </w:tc>
        <w:tc>
          <w:tcPr>
            <w:tcW w:w="2277" w:type="dxa"/>
          </w:tcPr>
          <w:p w14:paraId="358035AE" w14:textId="0B9A04DB" w:rsidR="00A964AD" w:rsidRPr="00A606F9" w:rsidRDefault="008C7631" w:rsidP="00A964AD">
            <w:pPr>
              <w:jc w:val="center"/>
              <w:rPr>
                <w:rFonts w:hint="eastAsia"/>
                <w:lang w:eastAsia="zh-CN"/>
              </w:rPr>
            </w:pPr>
            <w:r w:rsidRPr="00A606F9">
              <w:rPr>
                <w:rFonts w:hint="eastAsia"/>
                <w:lang w:eastAsia="zh-CN"/>
              </w:rPr>
              <w:t>1.0</w:t>
            </w:r>
          </w:p>
        </w:tc>
      </w:tr>
      <w:tr w:rsidR="00A964AD" w14:paraId="02287E21" w14:textId="77777777" w:rsidTr="00A964AD">
        <w:trPr>
          <w:trHeight w:val="741"/>
        </w:trPr>
        <w:tc>
          <w:tcPr>
            <w:tcW w:w="2277" w:type="dxa"/>
          </w:tcPr>
          <w:p w14:paraId="73BB33ED" w14:textId="49CD906E" w:rsidR="00A964AD" w:rsidRDefault="00A964AD" w:rsidP="00A964AD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File 3</w:t>
            </w:r>
          </w:p>
        </w:tc>
        <w:tc>
          <w:tcPr>
            <w:tcW w:w="2277" w:type="dxa"/>
          </w:tcPr>
          <w:p w14:paraId="6FC3FC9D" w14:textId="77318884" w:rsidR="00A964AD" w:rsidRPr="00A606F9" w:rsidRDefault="008C7631" w:rsidP="00A964AD">
            <w:pPr>
              <w:jc w:val="center"/>
              <w:rPr>
                <w:rFonts w:hint="eastAsia"/>
                <w:lang w:eastAsia="zh-CN"/>
              </w:rPr>
            </w:pPr>
            <w:r w:rsidRPr="00A606F9">
              <w:rPr>
                <w:rFonts w:hint="eastAsia"/>
                <w:lang w:eastAsia="zh-CN"/>
              </w:rPr>
              <w:t>0.99</w:t>
            </w:r>
          </w:p>
        </w:tc>
        <w:tc>
          <w:tcPr>
            <w:tcW w:w="2277" w:type="dxa"/>
          </w:tcPr>
          <w:p w14:paraId="4CBEF411" w14:textId="1FBD311D" w:rsidR="00A964AD" w:rsidRPr="00A606F9" w:rsidRDefault="008C7631" w:rsidP="00A964AD">
            <w:pPr>
              <w:jc w:val="center"/>
              <w:rPr>
                <w:rFonts w:hint="eastAsia"/>
                <w:lang w:eastAsia="zh-CN"/>
              </w:rPr>
            </w:pPr>
            <w:r w:rsidRPr="00A606F9">
              <w:rPr>
                <w:rFonts w:hint="eastAsia"/>
                <w:lang w:eastAsia="zh-CN"/>
              </w:rPr>
              <w:t>0.99</w:t>
            </w:r>
          </w:p>
        </w:tc>
        <w:tc>
          <w:tcPr>
            <w:tcW w:w="2277" w:type="dxa"/>
          </w:tcPr>
          <w:p w14:paraId="54A612B5" w14:textId="4B5D9DBA" w:rsidR="00A964AD" w:rsidRPr="00A606F9" w:rsidRDefault="008C7631" w:rsidP="00A964AD">
            <w:pPr>
              <w:jc w:val="center"/>
              <w:rPr>
                <w:rFonts w:hint="eastAsia"/>
                <w:lang w:eastAsia="zh-CN"/>
              </w:rPr>
            </w:pPr>
            <w:r w:rsidRPr="00A606F9">
              <w:rPr>
                <w:rFonts w:hint="eastAsia"/>
                <w:lang w:eastAsia="zh-CN"/>
              </w:rPr>
              <w:t>0.99</w:t>
            </w:r>
          </w:p>
        </w:tc>
      </w:tr>
    </w:tbl>
    <w:p w14:paraId="13FAE2FB" w14:textId="77777777" w:rsidR="00A964AD" w:rsidRPr="00A964AD" w:rsidRDefault="00A964AD" w:rsidP="00782870">
      <w:pPr>
        <w:rPr>
          <w:b/>
          <w:lang w:eastAsia="zh-CN"/>
        </w:rPr>
      </w:pPr>
    </w:p>
    <w:p w14:paraId="6650B0DD" w14:textId="21EC41B6" w:rsidR="00782870" w:rsidRDefault="00F9332A" w:rsidP="00A97EB9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Time </w:t>
      </w:r>
      <w:r>
        <w:rPr>
          <w:b/>
          <w:lang w:eastAsia="zh-CN"/>
        </w:rPr>
        <w:t>Analyses:</w:t>
      </w:r>
    </w:p>
    <w:p w14:paraId="7D435947" w14:textId="77777777" w:rsidR="00F9332A" w:rsidRDefault="00F9332A" w:rsidP="00A97EB9">
      <w:pPr>
        <w:rPr>
          <w:rFonts w:hint="eastAsia"/>
          <w:b/>
          <w:lang w:eastAsia="zh-CN"/>
        </w:rPr>
      </w:pPr>
    </w:p>
    <w:p w14:paraId="1BC4F10E" w14:textId="4009C4D4" w:rsidR="00F9332A" w:rsidRDefault="00F9332A" w:rsidP="00A97EB9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Case 1: points are distributed evenly </w:t>
      </w:r>
    </w:p>
    <w:p w14:paraId="7FA1A81F" w14:textId="77777777" w:rsidR="00F9332A" w:rsidRDefault="00F9332A" w:rsidP="00A97EB9">
      <w:pPr>
        <w:rPr>
          <w:rFonts w:hint="eastAsia"/>
          <w:b/>
          <w:lang w:eastAsia="zh-CN"/>
        </w:rPr>
      </w:pPr>
    </w:p>
    <w:p w14:paraId="77BBB8A0" w14:textId="3E5B0747" w:rsidR="00F9332A" w:rsidRDefault="00F9332A" w:rsidP="00A97EB9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lang w:eastAsia="zh-CN"/>
        </w:rPr>
        <w:t>D</w:t>
      </w:r>
      <w:r>
        <w:rPr>
          <w:rFonts w:hint="eastAsia"/>
          <w:lang w:eastAsia="zh-CN"/>
        </w:rPr>
        <w:t>ata:</w:t>
      </w:r>
    </w:p>
    <w:p w14:paraId="672E911D" w14:textId="77777777" w:rsidR="00F9332A" w:rsidRPr="00F9332A" w:rsidRDefault="00F9332A" w:rsidP="00A97EB9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9332A" w:rsidRPr="00F9332A" w14:paraId="039BDAD5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F6D5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9332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EF12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9332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F9332A">
              <w:rPr>
                <w:rFonts w:ascii="Calibri" w:eastAsia="Times New Roman" w:hAnsi="Calibri" w:cs="Times New Roman"/>
                <w:color w:val="000000"/>
              </w:rPr>
              <w:t>^2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4706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9332A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B371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9332A">
              <w:rPr>
                <w:rFonts w:ascii="Calibri" w:eastAsia="Times New Roman" w:hAnsi="Calibri" w:cs="Times New Roman"/>
                <w:color w:val="000000"/>
              </w:rPr>
              <w:t>nlog2n</w:t>
            </w:r>
            <w:proofErr w:type="gramEnd"/>
          </w:p>
        </w:tc>
      </w:tr>
      <w:tr w:rsidR="00F9332A" w:rsidRPr="00F9332A" w14:paraId="2331DAF2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DCB2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5ECC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928B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E7EA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9332A" w:rsidRPr="00F9332A" w14:paraId="3932108A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2EB6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C9D1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1459.1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EA0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17.7861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68F4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28.3582</w:t>
            </w:r>
          </w:p>
        </w:tc>
      </w:tr>
      <w:tr w:rsidR="00F9332A" w:rsidRPr="00F9332A" w14:paraId="1B8CA043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44F0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9DFA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5713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6426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121.23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E7F6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178.45</w:t>
            </w:r>
          </w:p>
        </w:tc>
      </w:tr>
      <w:tr w:rsidR="00F9332A" w:rsidRPr="00F9332A" w14:paraId="6E96AA64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E049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4855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35084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A971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1276.907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0F3E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1318.0001</w:t>
            </w:r>
          </w:p>
        </w:tc>
      </w:tr>
      <w:tr w:rsidR="00F9332A" w:rsidRPr="00F9332A" w14:paraId="299ACFD7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BB9C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1E20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6BEC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3335.182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FC59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3389.46</w:t>
            </w:r>
          </w:p>
        </w:tc>
      </w:tr>
      <w:tr w:rsidR="00F9332A" w:rsidRPr="00F9332A" w14:paraId="4F3FA8FF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43AC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EBCA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50BE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4350.2048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50E2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4445.1799</w:t>
            </w:r>
          </w:p>
        </w:tc>
      </w:tr>
      <w:tr w:rsidR="00AB725C" w:rsidRPr="00F9332A" w14:paraId="7121DEB5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BC8DE" w14:textId="3323D5A7" w:rsidR="00AB725C" w:rsidRPr="00F9332A" w:rsidRDefault="00AB725C" w:rsidP="00AB725C">
            <w:pPr>
              <w:rPr>
                <w:rFonts w:ascii="Calibri" w:eastAsia="Times New Roman" w:hAnsi="Calibri" w:cs="Times New Roman" w:hint="eastAsia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5B960" w14:textId="77777777" w:rsidR="00AB725C" w:rsidRPr="00F9332A" w:rsidRDefault="00AB725C" w:rsidP="00F9332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57D38" w14:textId="77777777" w:rsidR="00AB725C" w:rsidRPr="00F9332A" w:rsidRDefault="00AB725C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18756" w14:textId="77777777" w:rsidR="00AB725C" w:rsidRPr="00F9332A" w:rsidRDefault="00AB725C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532FF91" w14:textId="3524FDEF" w:rsidR="00F9332A" w:rsidRDefault="00F9332A" w:rsidP="00A97EB9">
      <w:pPr>
        <w:rPr>
          <w:rFonts w:hint="eastAsia"/>
          <w:lang w:eastAsia="zh-CN"/>
        </w:rPr>
      </w:pPr>
    </w:p>
    <w:p w14:paraId="00C8493B" w14:textId="77777777" w:rsidR="00AB725C" w:rsidRDefault="00AB725C" w:rsidP="00A97EB9">
      <w:pPr>
        <w:rPr>
          <w:rFonts w:hint="eastAsia"/>
          <w:lang w:eastAsia="zh-CN"/>
        </w:rPr>
      </w:pPr>
    </w:p>
    <w:p w14:paraId="1EADFC95" w14:textId="23DCFAFD" w:rsidR="00AB725C" w:rsidRDefault="00AB725C" w:rsidP="00A97EB9">
      <w:pPr>
        <w:rPr>
          <w:lang w:eastAsia="zh-CN"/>
        </w:rPr>
      </w:pPr>
      <w:r>
        <w:rPr>
          <w:lang w:eastAsia="zh-CN"/>
        </w:rPr>
        <w:t>Graph for n^2:</w:t>
      </w:r>
    </w:p>
    <w:p w14:paraId="371E6387" w14:textId="6AB1FD0D" w:rsidR="00AB725C" w:rsidRDefault="00AB725C" w:rsidP="00A97EB9">
      <w:pPr>
        <w:rPr>
          <w:lang w:eastAsia="zh-CN"/>
        </w:rPr>
      </w:pPr>
      <w:r>
        <w:rPr>
          <w:noProof/>
        </w:rPr>
        <w:drawing>
          <wp:inline distT="0" distB="0" distL="0" distR="0" wp14:anchorId="4945C91E" wp14:editId="4A6C3180">
            <wp:extent cx="3543300" cy="21717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BF90B0" w14:textId="77777777" w:rsidR="00AB725C" w:rsidRDefault="00AB725C" w:rsidP="00A97EB9">
      <w:pPr>
        <w:rPr>
          <w:rFonts w:hint="eastAsia"/>
          <w:lang w:eastAsia="zh-CN"/>
        </w:rPr>
      </w:pPr>
    </w:p>
    <w:p w14:paraId="58430FA2" w14:textId="27BDDBBF" w:rsidR="00F9332A" w:rsidRDefault="00F9332A" w:rsidP="00A97EB9">
      <w:pPr>
        <w:rPr>
          <w:rFonts w:hint="eastAsia"/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 xml:space="preserve">raph for </w:t>
      </w:r>
      <w:proofErr w:type="spellStart"/>
      <w:r>
        <w:rPr>
          <w:rFonts w:hint="eastAsia"/>
          <w:lang w:eastAsia="zh-CN"/>
        </w:rPr>
        <w:t>nlogn</w:t>
      </w:r>
      <w:proofErr w:type="spellEnd"/>
      <w:r>
        <w:rPr>
          <w:rFonts w:hint="eastAsia"/>
          <w:lang w:eastAsia="zh-CN"/>
        </w:rPr>
        <w:t>:</w:t>
      </w:r>
    </w:p>
    <w:p w14:paraId="39A3FDF6" w14:textId="3B98C33C" w:rsidR="00F9332A" w:rsidRDefault="00F9332A" w:rsidP="00A97EB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E86B8AC" wp14:editId="42346726">
            <wp:extent cx="3543300" cy="2286000"/>
            <wp:effectExtent l="0" t="0" r="127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65F85D" w14:textId="77777777" w:rsidR="00F9332A" w:rsidRDefault="00F9332A" w:rsidP="00A97EB9">
      <w:pPr>
        <w:rPr>
          <w:rFonts w:hint="eastAsia"/>
          <w:lang w:eastAsia="zh-CN"/>
        </w:rPr>
      </w:pPr>
    </w:p>
    <w:p w14:paraId="35F606A4" w14:textId="73CDAFD6" w:rsidR="00F9332A" w:rsidRDefault="00F9332A" w:rsidP="00A97EB9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graph</w:t>
      </w:r>
      <w:proofErr w:type="gramEnd"/>
      <w:r>
        <w:rPr>
          <w:rFonts w:hint="eastAsia"/>
          <w:lang w:eastAsia="zh-CN"/>
        </w:rPr>
        <w:t xml:space="preserve"> for nlog2n:</w:t>
      </w:r>
    </w:p>
    <w:p w14:paraId="34DF9D14" w14:textId="790EACC8" w:rsidR="00F9332A" w:rsidRDefault="00F9332A" w:rsidP="00A97EB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3077708" wp14:editId="7144127D">
            <wp:extent cx="3543300" cy="2133600"/>
            <wp:effectExtent l="0" t="0" r="127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8B2562" w14:textId="77777777" w:rsidR="00F9332A" w:rsidRDefault="00F9332A" w:rsidP="00A97EB9">
      <w:pPr>
        <w:rPr>
          <w:rFonts w:hint="eastAsia"/>
          <w:lang w:eastAsia="zh-CN"/>
        </w:rPr>
      </w:pPr>
    </w:p>
    <w:p w14:paraId="7A260E4B" w14:textId="77777777" w:rsidR="00F9332A" w:rsidRDefault="00F9332A" w:rsidP="00A97EB9">
      <w:pPr>
        <w:rPr>
          <w:rFonts w:hint="eastAsia"/>
          <w:lang w:eastAsia="zh-CN"/>
        </w:rPr>
      </w:pPr>
    </w:p>
    <w:p w14:paraId="7DBE39B2" w14:textId="0B278FD2" w:rsidR="00F9332A" w:rsidRDefault="00F9332A" w:rsidP="00F9332A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Case 2: points are distributed within </w:t>
      </w:r>
      <w:proofErr w:type="gramStart"/>
      <w:r>
        <w:rPr>
          <w:rFonts w:hint="eastAsia"/>
          <w:b/>
          <w:lang w:eastAsia="zh-CN"/>
        </w:rPr>
        <w:t>range(</w:t>
      </w:r>
      <w:proofErr w:type="gramEnd"/>
      <w:r>
        <w:rPr>
          <w:rFonts w:hint="eastAsia"/>
          <w:b/>
          <w:lang w:eastAsia="zh-CN"/>
        </w:rPr>
        <w:t xml:space="preserve">0,1) </w:t>
      </w:r>
    </w:p>
    <w:p w14:paraId="20FF5074" w14:textId="02D6B23C" w:rsidR="00F9332A" w:rsidRDefault="00F9332A" w:rsidP="00A97E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D</w:t>
      </w:r>
      <w:r>
        <w:rPr>
          <w:rFonts w:hint="eastAsia"/>
          <w:lang w:eastAsia="zh-CN"/>
        </w:rPr>
        <w:t>ata:</w:t>
      </w: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9332A" w:rsidRPr="00F9332A" w14:paraId="3F4FD3B8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E9CA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9332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98FD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9332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F9332A">
              <w:rPr>
                <w:rFonts w:ascii="Calibri" w:eastAsia="Times New Roman" w:hAnsi="Calibri" w:cs="Times New Roman"/>
                <w:color w:val="000000"/>
              </w:rPr>
              <w:t xml:space="preserve">^2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FB00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9332A">
              <w:rPr>
                <w:rFonts w:ascii="Calibri" w:eastAsia="Times New Roman" w:hAnsi="Calibri" w:cs="Times New Roman"/>
                <w:color w:val="000000"/>
              </w:rPr>
              <w:t>nlogn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07B7" w14:textId="77777777" w:rsidR="00F9332A" w:rsidRPr="00F9332A" w:rsidRDefault="00F9332A" w:rsidP="00F933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9332A">
              <w:rPr>
                <w:rFonts w:ascii="Calibri" w:eastAsia="Times New Roman" w:hAnsi="Calibri" w:cs="Times New Roman"/>
                <w:color w:val="000000"/>
              </w:rPr>
              <w:t>nlog2n</w:t>
            </w:r>
            <w:proofErr w:type="gramEnd"/>
          </w:p>
        </w:tc>
      </w:tr>
      <w:tr w:rsidR="00F9332A" w:rsidRPr="00F9332A" w14:paraId="2AC3BCD1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0452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ACC3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68C4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FC52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9332A" w:rsidRPr="00F9332A" w14:paraId="303BC897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6E66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1C0A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1303.5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956F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20.345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8915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23.13</w:t>
            </w:r>
          </w:p>
        </w:tc>
      </w:tr>
      <w:tr w:rsidR="00F9332A" w:rsidRPr="00F9332A" w14:paraId="7A3EE3E7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1A28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2714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5014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0D19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204.12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4D94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230.03</w:t>
            </w:r>
          </w:p>
        </w:tc>
      </w:tr>
      <w:tr w:rsidR="00F9332A" w:rsidRPr="00F9332A" w14:paraId="44C98F89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1D83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0986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36214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38D7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1356.09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5DCF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1405.68</w:t>
            </w:r>
          </w:p>
        </w:tc>
      </w:tr>
      <w:tr w:rsidR="00F9332A" w:rsidRPr="00F9332A" w14:paraId="69A347CD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6399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9C7A" w14:textId="2DE6FC13" w:rsidR="00F9332A" w:rsidRPr="00F9332A" w:rsidRDefault="00F9332A" w:rsidP="00F9332A">
            <w:pPr>
              <w:rPr>
                <w:rFonts w:ascii="Calibri" w:eastAsia="Times New Roman" w:hAnsi="Calibri" w:cs="Times New Roman" w:hint="eastAsia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E17D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3290.65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6B46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4000.24</w:t>
            </w:r>
          </w:p>
        </w:tc>
      </w:tr>
      <w:tr w:rsidR="00F9332A" w:rsidRPr="00F9332A" w14:paraId="1AAF06FE" w14:textId="77777777" w:rsidTr="00F9332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687A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E476" w14:textId="57A8B39D" w:rsidR="00F9332A" w:rsidRPr="00F9332A" w:rsidRDefault="00F9332A" w:rsidP="00F9332A">
            <w:pPr>
              <w:rPr>
                <w:rFonts w:ascii="Calibri" w:eastAsia="Times New Roman" w:hAnsi="Calibri" w:cs="Times New Roman" w:hint="eastAsia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8265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4409.87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3C5F" w14:textId="77777777" w:rsidR="00F9332A" w:rsidRPr="00F9332A" w:rsidRDefault="00F9332A" w:rsidP="00F933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332A">
              <w:rPr>
                <w:rFonts w:ascii="Calibri" w:eastAsia="Times New Roman" w:hAnsi="Calibri" w:cs="Times New Roman"/>
                <w:color w:val="000000"/>
              </w:rPr>
              <w:t>4789.21</w:t>
            </w:r>
          </w:p>
        </w:tc>
      </w:tr>
    </w:tbl>
    <w:p w14:paraId="0180664B" w14:textId="77777777" w:rsidR="00F9332A" w:rsidRDefault="00F9332A" w:rsidP="00A97EB9">
      <w:pPr>
        <w:rPr>
          <w:rFonts w:hint="eastAsia"/>
          <w:lang w:eastAsia="zh-CN"/>
        </w:rPr>
      </w:pPr>
    </w:p>
    <w:p w14:paraId="4A0E7C51" w14:textId="77777777" w:rsidR="00B31802" w:rsidRDefault="00B31802" w:rsidP="00A97EB9">
      <w:pPr>
        <w:rPr>
          <w:lang w:eastAsia="zh-CN"/>
        </w:rPr>
      </w:pPr>
    </w:p>
    <w:p w14:paraId="28C413D5" w14:textId="1930DA3F" w:rsidR="00B31802" w:rsidRDefault="00B31802" w:rsidP="00A97EB9">
      <w:pPr>
        <w:rPr>
          <w:lang w:eastAsia="zh-CN"/>
        </w:rPr>
      </w:pPr>
      <w:r>
        <w:rPr>
          <w:lang w:eastAsia="zh-CN"/>
        </w:rPr>
        <w:t>Graph for n^2:</w:t>
      </w:r>
    </w:p>
    <w:p w14:paraId="6D52B684" w14:textId="7A7CB2E4" w:rsidR="00B31802" w:rsidRDefault="00B31802" w:rsidP="00A97EB9">
      <w:pPr>
        <w:rPr>
          <w:lang w:eastAsia="zh-CN"/>
        </w:rPr>
      </w:pPr>
      <w:r>
        <w:rPr>
          <w:noProof/>
        </w:rPr>
        <w:drawing>
          <wp:inline distT="0" distB="0" distL="0" distR="0" wp14:anchorId="1CE7D0B0" wp14:editId="05621B1C">
            <wp:extent cx="3429000" cy="2700867"/>
            <wp:effectExtent l="0" t="0" r="25400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399525" w14:textId="77777777" w:rsidR="00B31802" w:rsidRDefault="00B31802" w:rsidP="00A97EB9">
      <w:pPr>
        <w:rPr>
          <w:lang w:eastAsia="zh-CN"/>
        </w:rPr>
      </w:pPr>
    </w:p>
    <w:p w14:paraId="0D1B59DA" w14:textId="77777777" w:rsidR="00B31802" w:rsidRDefault="00B31802" w:rsidP="00A97EB9">
      <w:pPr>
        <w:rPr>
          <w:lang w:eastAsia="zh-CN"/>
        </w:rPr>
      </w:pPr>
    </w:p>
    <w:p w14:paraId="3170D4E2" w14:textId="77777777" w:rsidR="00AB725C" w:rsidRDefault="00AB725C" w:rsidP="00A97EB9">
      <w:pPr>
        <w:rPr>
          <w:rFonts w:hint="eastAsia"/>
          <w:noProof/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 xml:space="preserve">raph for </w:t>
      </w:r>
      <w:proofErr w:type="spellStart"/>
      <w:r>
        <w:rPr>
          <w:rFonts w:hint="eastAsia"/>
          <w:lang w:eastAsia="zh-CN"/>
        </w:rPr>
        <w:t>nlogn</w:t>
      </w:r>
      <w:proofErr w:type="spellEnd"/>
      <w:r>
        <w:rPr>
          <w:rFonts w:hint="eastAsia"/>
          <w:lang w:eastAsia="zh-CN"/>
        </w:rPr>
        <w:t>:</w:t>
      </w:r>
      <w:r w:rsidRPr="00AB725C">
        <w:rPr>
          <w:noProof/>
        </w:rPr>
        <w:t xml:space="preserve"> </w:t>
      </w:r>
    </w:p>
    <w:p w14:paraId="7305AF2B" w14:textId="50A3ABC1" w:rsidR="00AB725C" w:rsidRDefault="00AB725C" w:rsidP="00A97EB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2C37FEE" wp14:editId="6A89B1B6">
            <wp:extent cx="3429000" cy="20574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738383" w14:textId="77777777" w:rsidR="00AB725C" w:rsidRDefault="00AB725C" w:rsidP="00A97EB9">
      <w:pPr>
        <w:rPr>
          <w:rFonts w:hint="eastAsia"/>
          <w:lang w:eastAsia="zh-CN"/>
        </w:rPr>
      </w:pPr>
    </w:p>
    <w:p w14:paraId="4D88FDC0" w14:textId="77777777" w:rsidR="00AB725C" w:rsidRDefault="00AB725C" w:rsidP="00A97EB9">
      <w:pPr>
        <w:rPr>
          <w:rFonts w:hint="eastAsia"/>
          <w:lang w:eastAsia="zh-CN"/>
        </w:rPr>
      </w:pPr>
    </w:p>
    <w:p w14:paraId="1B7B7B54" w14:textId="5F3F313F" w:rsidR="00AB725C" w:rsidRDefault="00AB725C" w:rsidP="00A97EB9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graph</w:t>
      </w:r>
      <w:proofErr w:type="gramEnd"/>
      <w:r>
        <w:rPr>
          <w:rFonts w:hint="eastAsia"/>
          <w:lang w:eastAsia="zh-CN"/>
        </w:rPr>
        <w:t xml:space="preserve"> for nlog2n:</w:t>
      </w:r>
    </w:p>
    <w:p w14:paraId="16512E22" w14:textId="7DB7A939" w:rsidR="00AB725C" w:rsidRDefault="00AB725C" w:rsidP="00A97EB9">
      <w:pPr>
        <w:rPr>
          <w:lang w:eastAsia="zh-CN"/>
        </w:rPr>
      </w:pPr>
      <w:r>
        <w:rPr>
          <w:noProof/>
        </w:rPr>
        <w:drawing>
          <wp:inline distT="0" distB="0" distL="0" distR="0" wp14:anchorId="09E3E7AC" wp14:editId="00843523">
            <wp:extent cx="3429000" cy="26416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14:paraId="597D4F74" w14:textId="77777777" w:rsidR="0039799D" w:rsidRDefault="0039799D" w:rsidP="00A97EB9">
      <w:pPr>
        <w:rPr>
          <w:lang w:eastAsia="zh-CN"/>
        </w:rPr>
      </w:pPr>
    </w:p>
    <w:p w14:paraId="375E022A" w14:textId="77777777" w:rsidR="0039799D" w:rsidRDefault="0039799D" w:rsidP="00A97EB9">
      <w:pPr>
        <w:rPr>
          <w:lang w:eastAsia="zh-CN"/>
        </w:rPr>
      </w:pPr>
    </w:p>
    <w:p w14:paraId="1C30ACC1" w14:textId="77777777" w:rsidR="00EA3209" w:rsidRDefault="0039799D" w:rsidP="00A97EB9">
      <w:pPr>
        <w:rPr>
          <w:lang w:eastAsia="zh-CN"/>
        </w:rPr>
      </w:pPr>
      <w:r>
        <w:rPr>
          <w:lang w:eastAsia="zh-CN"/>
        </w:rPr>
        <w:t xml:space="preserve">After testing the three algorithms, I concluded that in both cases, the run time increasing speed of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 xml:space="preserve">n^2) is always the fastest, then is O(nlog2n). Finally, </w:t>
      </w:r>
      <w:r w:rsidR="00EA3209">
        <w:rPr>
          <w:lang w:eastAsia="zh-CN"/>
        </w:rPr>
        <w:t xml:space="preserve">the run time increasing of </w:t>
      </w:r>
      <w:proofErr w:type="gramStart"/>
      <w:r w:rsidR="00EA3209">
        <w:rPr>
          <w:lang w:eastAsia="zh-CN"/>
        </w:rPr>
        <w:t>O(</w:t>
      </w:r>
      <w:proofErr w:type="spellStart"/>
      <w:proofErr w:type="gramEnd"/>
      <w:r w:rsidR="00EA3209">
        <w:rPr>
          <w:lang w:eastAsia="zh-CN"/>
        </w:rPr>
        <w:t>nlogn</w:t>
      </w:r>
      <w:proofErr w:type="spellEnd"/>
      <w:r w:rsidR="00EA3209">
        <w:rPr>
          <w:lang w:eastAsia="zh-CN"/>
        </w:rPr>
        <w:t xml:space="preserve">) is the slowest. However, there is not a significant run time difference between different </w:t>
      </w:r>
      <w:proofErr w:type="gramStart"/>
      <w:r w:rsidR="00EA3209">
        <w:rPr>
          <w:lang w:eastAsia="zh-CN"/>
        </w:rPr>
        <w:t>case</w:t>
      </w:r>
      <w:proofErr w:type="gramEnd"/>
      <w:r w:rsidR="00EA3209">
        <w:rPr>
          <w:lang w:eastAsia="zh-CN"/>
        </w:rPr>
        <w:t xml:space="preserve"> for the same algorithm. </w:t>
      </w:r>
    </w:p>
    <w:p w14:paraId="0FF4B4A8" w14:textId="77777777" w:rsidR="00EA3209" w:rsidRDefault="00EA3209" w:rsidP="00A97EB9">
      <w:pPr>
        <w:rPr>
          <w:lang w:eastAsia="zh-CN"/>
        </w:rPr>
      </w:pPr>
    </w:p>
    <w:p w14:paraId="2C85C3C0" w14:textId="413EB505" w:rsidR="0039799D" w:rsidRPr="00F9332A" w:rsidRDefault="00EA3209" w:rsidP="00A97EB9">
      <w:pPr>
        <w:rPr>
          <w:lang w:eastAsia="zh-CN"/>
        </w:rPr>
      </w:pPr>
      <w:r>
        <w:rPr>
          <w:lang w:eastAsia="zh-CN"/>
        </w:rPr>
        <w:t xml:space="preserve">In my test case, when n is bigger than 100, a notable difference of run time can be observed between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n^2) and O(log) family.</w:t>
      </w:r>
      <w:r w:rsidR="00066EBB">
        <w:rPr>
          <w:lang w:eastAsia="zh-CN"/>
        </w:rPr>
        <w:t xml:space="preserve"> In other word, when n is bigger than 100, the divide and conquer algorithms are faster than the naïve method. </w:t>
      </w:r>
      <w:r>
        <w:rPr>
          <w:lang w:eastAsia="zh-CN"/>
        </w:rPr>
        <w:t xml:space="preserve"> </w:t>
      </w:r>
      <w:r w:rsidR="0039799D">
        <w:rPr>
          <w:lang w:eastAsia="zh-CN"/>
        </w:rPr>
        <w:t xml:space="preserve"> </w:t>
      </w:r>
    </w:p>
    <w:sectPr w:rsidR="0039799D" w:rsidRPr="00F9332A" w:rsidSect="00021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24B9"/>
    <w:multiLevelType w:val="hybridMultilevel"/>
    <w:tmpl w:val="CB24DD92"/>
    <w:lvl w:ilvl="0" w:tplc="BAAE4F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B9"/>
    <w:rsid w:val="00021664"/>
    <w:rsid w:val="000437F2"/>
    <w:rsid w:val="00066EBB"/>
    <w:rsid w:val="000923DC"/>
    <w:rsid w:val="001265C4"/>
    <w:rsid w:val="00171F33"/>
    <w:rsid w:val="0039799D"/>
    <w:rsid w:val="006F21E6"/>
    <w:rsid w:val="00782870"/>
    <w:rsid w:val="008C7631"/>
    <w:rsid w:val="00A606F9"/>
    <w:rsid w:val="00A964AD"/>
    <w:rsid w:val="00A97EB9"/>
    <w:rsid w:val="00AB725C"/>
    <w:rsid w:val="00B31802"/>
    <w:rsid w:val="00B63DE9"/>
    <w:rsid w:val="00B74BC0"/>
    <w:rsid w:val="00CC542F"/>
    <w:rsid w:val="00D36DB9"/>
    <w:rsid w:val="00D46F5D"/>
    <w:rsid w:val="00EA3209"/>
    <w:rsid w:val="00F9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9F8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7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97E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5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923DC"/>
    <w:pPr>
      <w:ind w:left="720"/>
      <w:contextualSpacing/>
    </w:pPr>
  </w:style>
  <w:style w:type="table" w:styleId="TableGrid">
    <w:name w:val="Table Grid"/>
    <w:basedOn w:val="TableNormal"/>
    <w:uiPriority w:val="59"/>
    <w:rsid w:val="00A9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7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97E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5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923DC"/>
    <w:pPr>
      <w:ind w:left="720"/>
      <w:contextualSpacing/>
    </w:pPr>
  </w:style>
  <w:style w:type="table" w:styleId="TableGrid">
    <w:name w:val="Table Grid"/>
    <w:basedOn w:val="TableNormal"/>
    <w:uiPriority w:val="59"/>
    <w:rsid w:val="00A9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21422572178478"/>
          <c:y val="0.211111111111111"/>
          <c:w val="0.804887576552931"/>
          <c:h val="0.6716054243219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n^2 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Sheet1!$A$18:$A$23</c:f>
              <c:numCache>
                <c:formatCode>General</c:formatCode>
                <c:ptCount val="6"/>
                <c:pt idx="0">
                  <c:v>10.0</c:v>
                </c:pt>
                <c:pt idx="1">
                  <c:v>1000.0</c:v>
                </c:pt>
                <c:pt idx="2">
                  <c:v>2000.0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xVal>
          <c:yVal>
            <c:numRef>
              <c:f>Sheet1!$B$18:$B$23</c:f>
              <c:numCache>
                <c:formatCode>General</c:formatCode>
                <c:ptCount val="6"/>
                <c:pt idx="0">
                  <c:v>0.0</c:v>
                </c:pt>
                <c:pt idx="1">
                  <c:v>1303.5</c:v>
                </c:pt>
                <c:pt idx="2">
                  <c:v>5014.0</c:v>
                </c:pt>
                <c:pt idx="3">
                  <c:v>36214.0</c:v>
                </c:pt>
                <c:pt idx="4">
                  <c:v>40000.0</c:v>
                </c:pt>
                <c:pt idx="5">
                  <c:v>40000.0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716376"/>
        <c:axId val="2115720056"/>
      </c:scatterChart>
      <c:valAx>
        <c:axId val="2108716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5720056"/>
        <c:crosses val="autoZero"/>
        <c:crossBetween val="midCat"/>
      </c:valAx>
      <c:valAx>
        <c:axId val="2115720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87163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9115704286964"/>
          <c:y val="0.00322834645669294"/>
          <c:w val="0.24532874015748"/>
          <c:h val="0.1815062700495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48728868568848"/>
          <c:y val="0.253333333333333"/>
          <c:w val="0.755201930403861"/>
          <c:h val="0.67444444444444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nlogn</c:v>
                </c:pt>
              </c:strCache>
            </c:strRef>
          </c:tx>
          <c:spPr>
            <a:ln w="47625">
              <a:noFill/>
            </a:ln>
          </c:spPr>
          <c:trendline>
            <c:trendlineType val="log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10.0</c:v>
                </c:pt>
                <c:pt idx="1">
                  <c:v>1000.0</c:v>
                </c:pt>
                <c:pt idx="2">
                  <c:v>2000.0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0.0</c:v>
                </c:pt>
                <c:pt idx="1">
                  <c:v>17.7861</c:v>
                </c:pt>
                <c:pt idx="2">
                  <c:v>121.23</c:v>
                </c:pt>
                <c:pt idx="3">
                  <c:v>1276.907</c:v>
                </c:pt>
                <c:pt idx="4">
                  <c:v>3335.182</c:v>
                </c:pt>
                <c:pt idx="5">
                  <c:v>4350.2048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1321064"/>
        <c:axId val="2111323960"/>
      </c:scatterChart>
      <c:valAx>
        <c:axId val="2111321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1323960"/>
        <c:crosses val="autoZero"/>
        <c:crossBetween val="midCat"/>
      </c:valAx>
      <c:valAx>
        <c:axId val="2111323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13210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75158468094714"/>
          <c:y val="0.00387401574803153"/>
          <c:w val="0.299751926170519"/>
          <c:h val="0.21780752405949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15264873140857"/>
          <c:y val="0.211111111111111"/>
          <c:w val="0.808685258092738"/>
          <c:h val="0.7287037037037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nlog2n</c:v>
                </c:pt>
              </c:strCache>
            </c:strRef>
          </c:tx>
          <c:spPr>
            <a:ln w="47625">
              <a:noFill/>
            </a:ln>
          </c:spPr>
          <c:trendline>
            <c:trendlineType val="log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10.0</c:v>
                </c:pt>
                <c:pt idx="1">
                  <c:v>1000.0</c:v>
                </c:pt>
                <c:pt idx="2">
                  <c:v>2000.0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0.0</c:v>
                </c:pt>
                <c:pt idx="1">
                  <c:v>28.3582</c:v>
                </c:pt>
                <c:pt idx="2">
                  <c:v>178.45</c:v>
                </c:pt>
                <c:pt idx="3">
                  <c:v>1318.0001</c:v>
                </c:pt>
                <c:pt idx="4">
                  <c:v>3389.46</c:v>
                </c:pt>
                <c:pt idx="5">
                  <c:v>4445.1799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3745336"/>
        <c:axId val="2113748232"/>
      </c:scatterChart>
      <c:valAx>
        <c:axId val="2113745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3748232"/>
        <c:crosses val="autoZero"/>
        <c:crossBetween val="midCat"/>
      </c:valAx>
      <c:valAx>
        <c:axId val="2113748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37453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7311242344707"/>
          <c:y val="0.0"/>
          <c:w val="0.247688757655293"/>
          <c:h val="0.1815062700495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21422572178478"/>
          <c:y val="0.211111111111111"/>
          <c:w val="0.804887576552931"/>
          <c:h val="0.6716054243219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n^2 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Sheet1!$A$18:$A$23</c:f>
              <c:numCache>
                <c:formatCode>General</c:formatCode>
                <c:ptCount val="6"/>
                <c:pt idx="0">
                  <c:v>10.0</c:v>
                </c:pt>
                <c:pt idx="1">
                  <c:v>1000.0</c:v>
                </c:pt>
                <c:pt idx="2">
                  <c:v>2000.0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xVal>
          <c:yVal>
            <c:numRef>
              <c:f>Sheet1!$B$18:$B$23</c:f>
              <c:numCache>
                <c:formatCode>General</c:formatCode>
                <c:ptCount val="6"/>
                <c:pt idx="0">
                  <c:v>0.0</c:v>
                </c:pt>
                <c:pt idx="1">
                  <c:v>1303.5</c:v>
                </c:pt>
                <c:pt idx="2">
                  <c:v>5014.0</c:v>
                </c:pt>
                <c:pt idx="3">
                  <c:v>36214.0</c:v>
                </c:pt>
                <c:pt idx="4">
                  <c:v>40000.0</c:v>
                </c:pt>
                <c:pt idx="5">
                  <c:v>40000.0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639512"/>
        <c:axId val="2111475128"/>
      </c:scatterChart>
      <c:valAx>
        <c:axId val="2114639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1475128"/>
        <c:crosses val="autoZero"/>
        <c:crossBetween val="midCat"/>
      </c:valAx>
      <c:valAx>
        <c:axId val="2111475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463951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6893482064742"/>
          <c:y val="0.0263764946048411"/>
          <c:w val="0.24532874015748"/>
          <c:h val="0.1815062700495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15264873140857"/>
          <c:y val="0.211111111111111"/>
          <c:w val="0.81017738407699"/>
          <c:h val="0.7287037037037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Sheet1!$C$17</c:f>
              <c:strCache>
                <c:ptCount val="1"/>
                <c:pt idx="0">
                  <c:v>nlogn</c:v>
                </c:pt>
              </c:strCache>
            </c:strRef>
          </c:tx>
          <c:spPr>
            <a:ln w="47625">
              <a:noFill/>
            </a:ln>
          </c:spPr>
          <c:trendline>
            <c:trendlineType val="log"/>
            <c:dispRSqr val="0"/>
            <c:dispEq val="0"/>
          </c:trendline>
          <c:xVal>
            <c:numRef>
              <c:f>Sheet1!$A$18:$A$23</c:f>
              <c:numCache>
                <c:formatCode>General</c:formatCode>
                <c:ptCount val="6"/>
                <c:pt idx="0">
                  <c:v>10.0</c:v>
                </c:pt>
                <c:pt idx="1">
                  <c:v>1000.0</c:v>
                </c:pt>
                <c:pt idx="2">
                  <c:v>2000.0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xVal>
          <c:yVal>
            <c:numRef>
              <c:f>Sheet1!$C$18:$C$23</c:f>
              <c:numCache>
                <c:formatCode>General</c:formatCode>
                <c:ptCount val="6"/>
                <c:pt idx="0">
                  <c:v>0.0</c:v>
                </c:pt>
                <c:pt idx="1">
                  <c:v>20.345</c:v>
                </c:pt>
                <c:pt idx="2">
                  <c:v>204.12</c:v>
                </c:pt>
                <c:pt idx="3">
                  <c:v>1356.09</c:v>
                </c:pt>
                <c:pt idx="4">
                  <c:v>3290.65</c:v>
                </c:pt>
                <c:pt idx="5">
                  <c:v>4409.87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3813016"/>
        <c:axId val="2113811080"/>
      </c:scatterChart>
      <c:valAx>
        <c:axId val="2113813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3811080"/>
        <c:crosses val="autoZero"/>
        <c:crossBetween val="midCat"/>
      </c:valAx>
      <c:valAx>
        <c:axId val="2113811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38130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6025590551181"/>
          <c:y val="0.0217468649752115"/>
          <c:w val="0.232307742782152"/>
          <c:h val="0.1815062700495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15264873140857"/>
          <c:y val="0.211111111111111"/>
          <c:w val="0.825818460192476"/>
          <c:h val="0.7287037037037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nlog2n</c:v>
                </c:pt>
              </c:strCache>
            </c:strRef>
          </c:tx>
          <c:spPr>
            <a:ln w="47625">
              <a:noFill/>
            </a:ln>
          </c:spPr>
          <c:trendline>
            <c:trendlineType val="log"/>
            <c:dispRSqr val="0"/>
            <c:dispEq val="0"/>
          </c:trendline>
          <c:xVal>
            <c:numRef>
              <c:f>Sheet1!$A$18:$A$23</c:f>
              <c:numCache>
                <c:formatCode>General</c:formatCode>
                <c:ptCount val="6"/>
                <c:pt idx="0">
                  <c:v>10.0</c:v>
                </c:pt>
                <c:pt idx="1">
                  <c:v>1000.0</c:v>
                </c:pt>
                <c:pt idx="2">
                  <c:v>2000.0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xVal>
          <c:yVal>
            <c:numRef>
              <c:f>Sheet1!$D$18:$D$23</c:f>
              <c:numCache>
                <c:formatCode>General</c:formatCode>
                <c:ptCount val="6"/>
                <c:pt idx="0">
                  <c:v>0.0</c:v>
                </c:pt>
                <c:pt idx="1">
                  <c:v>23.13</c:v>
                </c:pt>
                <c:pt idx="2">
                  <c:v>230.03</c:v>
                </c:pt>
                <c:pt idx="3">
                  <c:v>1405.68</c:v>
                </c:pt>
                <c:pt idx="4">
                  <c:v>4000.24</c:v>
                </c:pt>
                <c:pt idx="5">
                  <c:v>4789.21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903032"/>
        <c:axId val="2110089768"/>
      </c:scatterChart>
      <c:valAx>
        <c:axId val="2109903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0089768"/>
        <c:crosses val="autoZero"/>
        <c:crossBetween val="midCat"/>
      </c:valAx>
      <c:valAx>
        <c:axId val="2110089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99030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7311242344707"/>
          <c:y val="0.00785797608632257"/>
          <c:w val="0.247688757655293"/>
          <c:h val="0.1815062700495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2567</Characters>
  <Application>Microsoft Macintosh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3</cp:revision>
  <cp:lastPrinted>2014-04-30T10:13:00Z</cp:lastPrinted>
  <dcterms:created xsi:type="dcterms:W3CDTF">2014-04-30T10:13:00Z</dcterms:created>
  <dcterms:modified xsi:type="dcterms:W3CDTF">2014-04-30T10:13:00Z</dcterms:modified>
</cp:coreProperties>
</file>