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B985B1">
      <w:pPr>
        <w:numPr>
          <w:ilvl w:val="0"/>
          <w:numId w:val="1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选择</w:t>
      </w:r>
    </w:p>
    <w:p w14:paraId="424AA9A6">
      <w:pPr>
        <w:numPr>
          <w:ilvl w:val="0"/>
          <w:numId w:val="2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在BCIs产品设计方面，在风险管理环节中，下列选项中不属于必要环节的是（）</w:t>
      </w:r>
    </w:p>
    <w:p w14:paraId="455B10AF">
      <w:pPr>
        <w:numPr>
          <w:ilvl w:val="0"/>
          <w:numId w:val="3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风险分析       B.风险控制        C.需求分析            D.产后信息</w:t>
      </w:r>
    </w:p>
    <w:p w14:paraId="105743E7">
      <w:r>
        <w:rPr>
          <w:rFonts w:ascii="Times New Roman" w:hAnsi="Times New Roman" w:eastAsia="宋体"/>
          <w:b/>
          <w:color w:val="0066CC"/>
          <w:sz w:val="22"/>
        </w:rPr>
        <w:t>答案：</w:t>
      </w:r>
      <w:r>
        <w:rPr>
          <w:rFonts w:ascii="Times New Roman" w:hAnsi="Times New Roman" w:eastAsia="宋体"/>
          <w:b w:val="0"/>
          <w:color w:val="0066CC"/>
          <w:sz w:val="22"/>
        </w:rPr>
        <w:t>C（需求分析）</w:t>
      </w:r>
    </w:p>
    <w:p w14:paraId="008A177E">
      <w:r>
        <w:rPr>
          <w:rFonts w:ascii="Times New Roman" w:hAnsi="Times New Roman" w:eastAsia="宋体"/>
          <w:b/>
          <w:color w:val="4F81BD"/>
          <w:sz w:val="21"/>
        </w:rPr>
        <w:t>出处：</w:t>
      </w:r>
      <w:r>
        <w:rPr>
          <w:rFonts w:ascii="Times New Roman" w:hAnsi="Times New Roman" w:eastAsia="宋体"/>
          <w:b w:val="0"/>
          <w:color w:val="4F81BD"/>
          <w:sz w:val="21"/>
        </w:rPr>
        <w:t>第21章 21.2“设计方面考虑—风险管理”。课件直接说明风险管理遵循 ISO14971 并贯穿产品生命周期；题目中的“需求分析”不属于风险管理必要环节。</w:t>
      </w:r>
    </w:p>
    <w:p w14:paraId="519BD913">
      <w:pPr>
        <w:numPr>
          <w:ilvl w:val="0"/>
          <w:numId w:val="4"/>
        </w:numPr>
      </w:pPr>
      <w:r>
        <w:t>BCI的非医疗用途可分为以下三类：</w:t>
      </w:r>
      <w:r>
        <w:rPr>
          <w:rFonts w:hint="eastAsia"/>
        </w:rPr>
        <w:t>（）</w:t>
      </w:r>
    </w:p>
    <w:p w14:paraId="62E37D06">
      <w:r>
        <w:rPr>
          <w:rFonts w:ascii="Calibri" w:hAnsi="Calibri" w:cs="Calibri"/>
        </w:rPr>
        <w:t>①</w:t>
      </w:r>
      <w:r>
        <w:t>用于改善、 稳定或其它优化常规神经肌肉性能的BCI应用</w:t>
      </w:r>
      <w:r>
        <w:rPr>
          <w:rFonts w:hint="eastAsia"/>
        </w:rPr>
        <w:t>;</w:t>
      </w:r>
    </w:p>
    <w:p w14:paraId="4C404830">
      <w:r>
        <w:rPr>
          <w:rFonts w:ascii="Calibri" w:hAnsi="Calibri" w:cs="Calibri"/>
        </w:rPr>
        <w:t>②</w:t>
      </w:r>
      <w:r>
        <w:t>用于提高常规神经肌肉性能使其超出它们正常能力的BCI技术应用</w:t>
      </w:r>
      <w:r>
        <w:rPr>
          <w:rFonts w:hint="eastAsia"/>
        </w:rPr>
        <w:t>;</w:t>
      </w:r>
    </w:p>
    <w:p w14:paraId="591E40B0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 w:cs="Calibri"/>
        </w:rPr>
        <w:t>③</w:t>
      </w:r>
      <w:r>
        <w:rPr>
          <w:rFonts w:hint="eastAsia"/>
        </w:rPr>
        <w:t>用于拓展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或丰富生活体验的BCI应用；</w:t>
      </w:r>
    </w:p>
    <w:p w14:paraId="78A48550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 w:cs="Calibri"/>
        </w:rPr>
        <w:t>④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治疗注意力缺陷症并改进认知加工。</w:t>
      </w:r>
    </w:p>
    <w:p w14:paraId="5A9B450C">
      <w:pPr>
        <w:numPr>
          <w:ilvl w:val="0"/>
          <w:numId w:val="5"/>
        </w:numPr>
        <w:rPr>
          <w:rFonts w:ascii="Calibri" w:hAnsi="Calibri" w:cs="Calibri"/>
        </w:rPr>
      </w:pPr>
      <w:r>
        <w:rPr>
          <w:rFonts w:ascii="Calibri" w:hAnsi="Calibri" w:cs="Calibri"/>
        </w:rPr>
        <w:t>①③④</w:t>
      </w:r>
      <w:r>
        <w:rPr>
          <w:rFonts w:hint="eastAsia" w:ascii="Calibri" w:hAnsi="Calibri" w:cs="Calibri"/>
        </w:rPr>
        <w:t xml:space="preserve">        </w:t>
      </w:r>
      <w:r>
        <w:rPr>
          <w:rFonts w:hint="eastAsia"/>
        </w:rPr>
        <w:t>B.</w:t>
      </w:r>
      <w:r>
        <w:rPr>
          <w:rFonts w:ascii="Calibri" w:hAnsi="Calibri" w:cs="Calibri"/>
        </w:rPr>
        <w:t>①②④</w:t>
      </w:r>
      <w:r>
        <w:rPr>
          <w:rFonts w:hint="eastAsia" w:ascii="Calibri" w:hAnsi="Calibri" w:cs="Calibri"/>
        </w:rPr>
        <w:t xml:space="preserve">        </w:t>
      </w:r>
      <w:r>
        <w:rPr>
          <w:rFonts w:hint="eastAsia"/>
        </w:rPr>
        <w:t>C.</w:t>
      </w:r>
      <w:r>
        <w:rPr>
          <w:rFonts w:ascii="Calibri" w:hAnsi="Calibri" w:cs="Calibri"/>
        </w:rPr>
        <w:t>②③④</w:t>
      </w:r>
      <w:r>
        <w:rPr>
          <w:rFonts w:hint="eastAsia" w:ascii="Calibri" w:hAnsi="Calibri" w:cs="Calibri"/>
        </w:rPr>
        <w:t xml:space="preserve">            </w:t>
      </w:r>
      <w:r>
        <w:rPr>
          <w:rFonts w:hint="eastAsia"/>
        </w:rPr>
        <w:t>D.</w:t>
      </w:r>
      <w:r>
        <w:rPr>
          <w:rFonts w:ascii="Calibri" w:hAnsi="Calibri" w:cs="Calibri"/>
        </w:rPr>
        <w:t>①②③</w:t>
      </w:r>
    </w:p>
    <w:p w14:paraId="4EF60AC6">
      <w:r>
        <w:rPr>
          <w:rFonts w:ascii="Times New Roman" w:hAnsi="Times New Roman" w:eastAsia="宋体"/>
          <w:b/>
          <w:color w:val="0066CC"/>
          <w:sz w:val="22"/>
        </w:rPr>
        <w:t>答案：</w:t>
      </w:r>
      <w:r>
        <w:rPr>
          <w:rFonts w:ascii="Times New Roman" w:hAnsi="Times New Roman" w:eastAsia="宋体"/>
          <w:b w:val="0"/>
          <w:color w:val="0066CC"/>
          <w:sz w:val="22"/>
        </w:rPr>
        <w:t>D（①②③）</w:t>
      </w:r>
    </w:p>
    <w:p w14:paraId="010BD20A">
      <w:r>
        <w:rPr>
          <w:rFonts w:ascii="Times New Roman" w:hAnsi="Times New Roman" w:eastAsia="宋体"/>
          <w:b/>
          <w:color w:val="4F81BD"/>
          <w:sz w:val="21"/>
        </w:rPr>
        <w:t>出处：</w:t>
      </w:r>
      <w:r>
        <w:rPr>
          <w:rFonts w:ascii="Times New Roman" w:hAnsi="Times New Roman" w:eastAsia="宋体"/>
          <w:b w:val="0"/>
          <w:color w:val="4F81BD"/>
          <w:sz w:val="21"/>
        </w:rPr>
        <w:t>第22、23章 23.1“引言”。课件明确将 BCI 的非医疗用途分为三类：优化常规性能、提高常规性能、拓展或丰富生活体验。</w:t>
      </w:r>
    </w:p>
    <w:p w14:paraId="11B4C849">
      <w:pPr>
        <w:numPr>
          <w:ilvl w:val="0"/>
          <w:numId w:val="4"/>
        </w:numPr>
        <w:rPr>
          <w:rFonts w:ascii="Calibri" w:hAnsi="Calibri" w:cs="Calibri"/>
        </w:rPr>
      </w:pPr>
      <w:r>
        <w:t>评估任何事业的行善的先决条件是</w:t>
      </w:r>
      <w:r>
        <w:rPr>
          <w:rFonts w:hint="eastAsia"/>
        </w:rPr>
        <w:t>（）</w:t>
      </w:r>
    </w:p>
    <w:p w14:paraId="5F7453B6">
      <w:pPr>
        <w:numPr>
          <w:ilvl w:val="0"/>
          <w:numId w:val="6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明确定义行善       B.明确行善方式      C.明确事业影响    D.明确行善对象</w:t>
      </w:r>
    </w:p>
    <w:p w14:paraId="23146216">
      <w:r>
        <w:rPr>
          <w:rFonts w:ascii="Times New Roman" w:hAnsi="Times New Roman" w:eastAsia="宋体"/>
          <w:b/>
          <w:color w:val="0066CC"/>
          <w:sz w:val="22"/>
        </w:rPr>
        <w:t>答案：</w:t>
      </w:r>
      <w:r>
        <w:rPr>
          <w:rFonts w:ascii="Times New Roman" w:hAnsi="Times New Roman" w:eastAsia="宋体"/>
          <w:b w:val="0"/>
          <w:color w:val="0066CC"/>
          <w:sz w:val="22"/>
        </w:rPr>
        <w:t>A（明确定义行善）</w:t>
      </w:r>
    </w:p>
    <w:p w14:paraId="78E3B319">
      <w:r>
        <w:rPr>
          <w:rFonts w:ascii="Times New Roman" w:hAnsi="Times New Roman" w:eastAsia="宋体"/>
          <w:b/>
          <w:color w:val="4F81BD"/>
          <w:sz w:val="21"/>
        </w:rPr>
        <w:t>出处：</w:t>
      </w:r>
      <w:r>
        <w:rPr>
          <w:rFonts w:ascii="Times New Roman" w:hAnsi="Times New Roman" w:eastAsia="宋体"/>
          <w:b w:val="0"/>
          <w:color w:val="4F81BD"/>
          <w:sz w:val="21"/>
        </w:rPr>
        <w:t>第24、25章+ 第24章 24.2.1“行善：做有益的事，不做有害的事”。</w:t>
      </w:r>
    </w:p>
    <w:p w14:paraId="0CBC59FE">
      <w:pPr>
        <w:numPr>
          <w:ilvl w:val="0"/>
          <w:numId w:val="4"/>
        </w:numPr>
        <w:rPr>
          <w:rFonts w:ascii="Calibri" w:hAnsi="Calibri" w:cs="Calibri"/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在BCIs研究中，不属于这项工作涉及的风险</w:t>
      </w:r>
      <w:r>
        <w:rPr>
          <w:rFonts w:hint="eastAsia"/>
        </w:rPr>
        <w:t>为（）</w:t>
      </w:r>
    </w:p>
    <w:p w14:paraId="30D515D4">
      <w:pPr>
        <w:numPr>
          <w:ilvl w:val="0"/>
          <w:numId w:val="7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身体风险</w:t>
      </w:r>
    </w:p>
    <w:p w14:paraId="79B33476">
      <w:pPr>
        <w:numPr>
          <w:ilvl w:val="0"/>
          <w:numId w:val="7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有害的中枢神经系统可塑性的风险 </w:t>
      </w:r>
    </w:p>
    <w:p w14:paraId="6AF099E3">
      <w:pPr>
        <w:numPr>
          <w:ilvl w:val="0"/>
          <w:numId w:val="7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设备操作不熟练的风险  </w:t>
      </w:r>
    </w:p>
    <w:p w14:paraId="2B4C7F98">
      <w:pPr>
        <w:numPr>
          <w:ilvl w:val="0"/>
          <w:numId w:val="7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不适当的输出的风险</w:t>
      </w:r>
    </w:p>
    <w:p w14:paraId="571B1A10">
      <w:r>
        <w:rPr>
          <w:rFonts w:ascii="Times New Roman" w:hAnsi="Times New Roman" w:eastAsia="宋体"/>
          <w:b/>
          <w:color w:val="0066CC"/>
          <w:sz w:val="22"/>
        </w:rPr>
        <w:t>答案：</w:t>
      </w:r>
      <w:r>
        <w:rPr>
          <w:rFonts w:ascii="Times New Roman" w:hAnsi="Times New Roman" w:eastAsia="宋体"/>
          <w:b w:val="0"/>
          <w:color w:val="0066CC"/>
          <w:sz w:val="22"/>
        </w:rPr>
        <w:t>C（设备操作不熟练的风险）</w:t>
      </w:r>
    </w:p>
    <w:p w14:paraId="2D1E4728">
      <w:r>
        <w:rPr>
          <w:rFonts w:ascii="Times New Roman" w:hAnsi="Times New Roman" w:eastAsia="宋体"/>
          <w:b/>
          <w:color w:val="4F81BD"/>
          <w:sz w:val="21"/>
        </w:rPr>
        <w:t>出处：</w:t>
      </w:r>
      <w:r>
        <w:rPr>
          <w:rFonts w:ascii="Times New Roman" w:hAnsi="Times New Roman" w:eastAsia="宋体"/>
          <w:b w:val="0"/>
          <w:color w:val="4F81BD"/>
          <w:sz w:val="21"/>
        </w:rPr>
        <w:t>第24、25章+ 第24章 24.2.1“行善：做有益的事，不做有害的事”。课件列出的风险包括身体风险、心理风险、不适当的输出风险、侵犯隐私权风险、有时限研究的问题、有害的中枢神经系统可塑性的风险、未经审查行为的风险。</w:t>
      </w:r>
    </w:p>
    <w:p w14:paraId="30C7B3E0">
      <w:pPr>
        <w:numPr>
          <w:ilvl w:val="0"/>
          <w:numId w:val="4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下列说法不正确的是（）</w:t>
      </w:r>
    </w:p>
    <w:p w14:paraId="784C610D">
      <w:pPr>
        <w:numPr>
          <w:ilvl w:val="0"/>
          <w:numId w:val="8"/>
        </w:numPr>
        <w:rPr>
          <w:rFonts w:ascii="Calibri" w:hAnsi="Calibri" w:cs="Calibri"/>
        </w:rPr>
      </w:pPr>
      <w:r>
        <w:rPr>
          <w:rFonts w:ascii="Calibri" w:hAnsi="Calibri" w:cs="Calibri"/>
        </w:rPr>
        <w:t>BCI研究要求被试提供知情同意</w:t>
      </w:r>
    </w:p>
    <w:p w14:paraId="25343745">
      <w:pPr>
        <w:numPr>
          <w:ilvl w:val="0"/>
          <w:numId w:val="8"/>
        </w:numPr>
        <w:rPr>
          <w:rFonts w:ascii="Calibri" w:hAnsi="Calibri" w:cs="Calibri"/>
        </w:rPr>
      </w:pPr>
      <w:r>
        <w:rPr>
          <w:rFonts w:ascii="Calibri" w:hAnsi="Calibri" w:cs="Calibri"/>
        </w:rPr>
        <w:t>BCI研究</w:t>
      </w:r>
      <w:r>
        <w:rPr>
          <w:rFonts w:hint="eastAsia" w:ascii="Calibri" w:hAnsi="Calibri" w:cs="Calibri"/>
        </w:rPr>
        <w:t>不</w:t>
      </w:r>
      <w:r>
        <w:rPr>
          <w:rFonts w:ascii="Calibri" w:hAnsi="Calibri" w:cs="Calibri"/>
        </w:rPr>
        <w:t>要求护理人员提供知情同意</w:t>
      </w:r>
    </w:p>
    <w:p w14:paraId="5F391C2B">
      <w:pPr>
        <w:numPr>
          <w:ilvl w:val="0"/>
          <w:numId w:val="8"/>
        </w:numPr>
        <w:rPr>
          <w:rFonts w:ascii="Calibri" w:hAnsi="Calibri" w:cs="Calibri"/>
        </w:rPr>
      </w:pPr>
      <w:r>
        <w:rPr>
          <w:rFonts w:ascii="Calibri" w:hAnsi="Calibri" w:cs="Calibri"/>
        </w:rPr>
        <w:t>BCI研究要求家庭成员提供知情同意</w:t>
      </w:r>
    </w:p>
    <w:p w14:paraId="2CFA901D">
      <w:pPr>
        <w:numPr>
          <w:ilvl w:val="0"/>
          <w:numId w:val="8"/>
        </w:numPr>
        <w:rPr>
          <w:rFonts w:ascii="Calibri" w:hAnsi="Calibri" w:cs="Calibri"/>
        </w:rPr>
      </w:pPr>
      <w:r>
        <w:rPr>
          <w:rFonts w:ascii="Calibri" w:hAnsi="Calibri" w:cs="Calibri"/>
        </w:rPr>
        <w:t>BCI研究要求护理人员提供知情同意</w:t>
      </w:r>
    </w:p>
    <w:p w14:paraId="5DF84CA2">
      <w:r>
        <w:rPr>
          <w:rFonts w:ascii="Times New Roman" w:hAnsi="Times New Roman" w:eastAsia="宋体"/>
          <w:b/>
          <w:color w:val="0066CC"/>
          <w:sz w:val="22"/>
        </w:rPr>
        <w:t>答案：</w:t>
      </w:r>
      <w:r>
        <w:rPr>
          <w:rFonts w:ascii="Times New Roman" w:hAnsi="Times New Roman" w:eastAsia="宋体"/>
          <w:b w:val="0"/>
          <w:color w:val="0066CC"/>
          <w:sz w:val="22"/>
        </w:rPr>
        <w:t>B</w:t>
      </w:r>
    </w:p>
    <w:p w14:paraId="479A2809">
      <w:r>
        <w:rPr>
          <w:rFonts w:ascii="Times New Roman" w:hAnsi="Times New Roman" w:eastAsia="宋体"/>
          <w:b/>
          <w:color w:val="4F81BD"/>
          <w:sz w:val="21"/>
        </w:rPr>
        <w:t>出处：</w:t>
      </w:r>
      <w:r>
        <w:rPr>
          <w:rFonts w:ascii="Times New Roman" w:hAnsi="Times New Roman" w:eastAsia="宋体"/>
          <w:b w:val="0"/>
          <w:color w:val="4F81BD"/>
          <w:sz w:val="21"/>
        </w:rPr>
        <w:t>第24、25章+ 第24章 24.2.2“尊重人：知情同意”。课件指出长期独立 BCI 使用研究中，知情同意可能涉及未来用户之外的护理人员、家庭成员和其他人。</w:t>
      </w:r>
    </w:p>
    <w:p w14:paraId="237770FE">
      <w:pPr>
        <w:numPr>
          <w:ilvl w:val="0"/>
          <w:numId w:val="1"/>
        </w:numPr>
      </w:pPr>
      <w:r>
        <w:rPr>
          <w:rFonts w:hint="eastAsia"/>
        </w:rPr>
        <w:t>填空</w:t>
      </w:r>
    </w:p>
    <w:p w14:paraId="38368C8D">
      <w:pPr>
        <w:numPr>
          <w:ilvl w:val="0"/>
          <w:numId w:val="9"/>
        </w:numPr>
      </w:pPr>
      <w:r>
        <w:t>BCI用于治疗</w:t>
      </w:r>
      <w:r>
        <w:rPr>
          <w:rFonts w:hint="eastAsia"/>
        </w:rPr>
        <w:t>可</w:t>
      </w:r>
      <w:r>
        <w:t>以改善大脑功能</w:t>
      </w:r>
      <w:r>
        <w:rPr>
          <w:rFonts w:hint="eastAsia"/>
        </w:rPr>
        <w:t>，课堂中提到的基于EEG的BCIs治疗用途有</w:t>
      </w:r>
      <w:r>
        <w:rPr>
          <w:rFonts w:hint="eastAsia"/>
          <w:u w:val="single"/>
        </w:rPr>
        <w:t xml:space="preserve">              </w:t>
      </w:r>
      <w:r>
        <w:rPr>
          <w:rFonts w:hint="eastAsia"/>
        </w:rPr>
        <w:t>、</w:t>
      </w:r>
      <w:r>
        <w:rPr>
          <w:rFonts w:hint="eastAsia"/>
          <w:u w:val="single"/>
        </w:rPr>
        <w:t xml:space="preserve">                 </w:t>
      </w:r>
      <w:r>
        <w:rPr>
          <w:rFonts w:hint="eastAsia"/>
        </w:rPr>
        <w:t>、</w:t>
      </w:r>
      <w:r>
        <w:rPr>
          <w:rFonts w:hint="eastAsia"/>
          <w:u w:val="single"/>
        </w:rPr>
        <w:t xml:space="preserve">                 </w:t>
      </w:r>
      <w:r>
        <w:rPr>
          <w:rFonts w:hint="eastAsia"/>
        </w:rPr>
        <w:t>。</w:t>
      </w:r>
    </w:p>
    <w:p w14:paraId="75996C44">
      <w:r>
        <w:rPr>
          <w:rFonts w:ascii="Times New Roman" w:hAnsi="Times New Roman" w:eastAsia="宋体"/>
          <w:b/>
          <w:color w:val="0066CC"/>
          <w:sz w:val="22"/>
        </w:rPr>
        <w:t>答案：</w:t>
      </w:r>
      <w:r>
        <w:rPr>
          <w:rFonts w:ascii="Times New Roman" w:hAnsi="Times New Roman" w:eastAsia="宋体"/>
          <w:b w:val="0"/>
          <w:color w:val="0066CC"/>
          <w:sz w:val="22"/>
        </w:rPr>
        <w:t>减少癫痫发作频率、治疗注意力缺陷症并改进认知加工、改善运动功能的恢复</w:t>
      </w:r>
    </w:p>
    <w:p w14:paraId="020C22AD">
      <w:r>
        <w:rPr>
          <w:rFonts w:ascii="Times New Roman" w:hAnsi="Times New Roman" w:eastAsia="宋体"/>
          <w:b/>
          <w:color w:val="4F81BD"/>
          <w:sz w:val="21"/>
        </w:rPr>
        <w:t>出处：</w:t>
      </w:r>
      <w:r>
        <w:rPr>
          <w:rFonts w:ascii="Times New Roman" w:hAnsi="Times New Roman" w:eastAsia="宋体"/>
          <w:b w:val="0"/>
          <w:color w:val="4F81BD"/>
          <w:sz w:val="21"/>
        </w:rPr>
        <w:t>第22、23章 第22章 22.3“基于EEG的BCIs治疗用途”。</w:t>
      </w:r>
    </w:p>
    <w:p w14:paraId="5D55186F">
      <w:pPr>
        <w:numPr>
          <w:ilvl w:val="0"/>
          <w:numId w:val="9"/>
        </w:numPr>
      </w:pPr>
      <w:r>
        <w:rPr>
          <w:rFonts w:hint="eastAsia"/>
        </w:rPr>
        <w:t>目前，正在使用两种运动辅助设备：</w:t>
      </w:r>
      <w:r>
        <w:rPr>
          <w:rFonts w:hint="eastAsia"/>
          <w:u w:val="single"/>
        </w:rPr>
        <w:t xml:space="preserve">                 </w:t>
      </w:r>
      <w:r>
        <w:rPr>
          <w:rFonts w:hint="eastAsia"/>
        </w:rPr>
        <w:t>、</w:t>
      </w:r>
      <w:r>
        <w:rPr>
          <w:rFonts w:hint="eastAsia"/>
          <w:u w:val="single"/>
        </w:rPr>
        <w:t xml:space="preserve">                 </w:t>
      </w:r>
      <w:r>
        <w:rPr>
          <w:rFonts w:hint="eastAsia"/>
        </w:rPr>
        <w:t>。</w:t>
      </w:r>
    </w:p>
    <w:p w14:paraId="469BEC51">
      <w:r>
        <w:rPr>
          <w:rFonts w:ascii="Times New Roman" w:hAnsi="Times New Roman" w:eastAsia="宋体"/>
          <w:b/>
          <w:color w:val="0066CC"/>
          <w:sz w:val="22"/>
        </w:rPr>
        <w:t>答案：</w:t>
      </w:r>
      <w:r>
        <w:rPr>
          <w:rFonts w:ascii="Times New Roman" w:hAnsi="Times New Roman" w:eastAsia="宋体"/>
          <w:b w:val="0"/>
          <w:color w:val="0066CC"/>
          <w:sz w:val="22"/>
        </w:rPr>
        <w:t>功能性电刺激（FES）、机器人（Robots）</w:t>
      </w:r>
    </w:p>
    <w:p w14:paraId="1FACAC35">
      <w:r>
        <w:rPr>
          <w:rFonts w:ascii="Times New Roman" w:hAnsi="Times New Roman" w:eastAsia="宋体"/>
          <w:b/>
          <w:color w:val="4F81BD"/>
          <w:sz w:val="21"/>
        </w:rPr>
        <w:t>出处：</w:t>
      </w:r>
      <w:r>
        <w:rPr>
          <w:rFonts w:ascii="Times New Roman" w:hAnsi="Times New Roman" w:eastAsia="宋体"/>
          <w:b w:val="0"/>
          <w:color w:val="4F81BD"/>
          <w:sz w:val="21"/>
        </w:rPr>
        <w:t>第22、23章 第22章 22.3“基于EEG的BCIs治疗用途——改善运动功能的恢复”。</w:t>
      </w:r>
    </w:p>
    <w:p w14:paraId="57518596">
      <w:pPr>
        <w:numPr>
          <w:ilvl w:val="0"/>
          <w:numId w:val="9"/>
        </w:numPr>
      </w:pPr>
      <w:r>
        <w:rPr>
          <w:rFonts w:hint="eastAsia"/>
        </w:rPr>
        <w:t>BCI应用于一般人群时，用户应用可能性很大程度上取决于BCI的</w:t>
      </w:r>
      <w:r>
        <w:rPr>
          <w:rFonts w:hint="eastAsia"/>
          <w:u w:val="single"/>
        </w:rPr>
        <w:t xml:space="preserve">              </w:t>
      </w:r>
      <w:r>
        <w:rPr>
          <w:rFonts w:hint="eastAsia"/>
        </w:rPr>
        <w:t>、</w:t>
      </w:r>
      <w:r>
        <w:rPr>
          <w:rFonts w:hint="eastAsia"/>
          <w:u w:val="single"/>
        </w:rPr>
        <w:t xml:space="preserve">                 </w:t>
      </w:r>
      <w:r>
        <w:rPr>
          <w:rFonts w:hint="eastAsia"/>
        </w:rPr>
        <w:t>、</w:t>
      </w:r>
      <w:r>
        <w:rPr>
          <w:rFonts w:hint="eastAsia"/>
          <w:u w:val="single"/>
        </w:rPr>
        <w:t xml:space="preserve">                 </w:t>
      </w:r>
      <w:r>
        <w:rPr>
          <w:rFonts w:hint="eastAsia"/>
        </w:rPr>
        <w:t>方面的大幅改善。</w:t>
      </w:r>
    </w:p>
    <w:p w14:paraId="7607EFEF">
      <w:r>
        <w:rPr>
          <w:rFonts w:ascii="Times New Roman" w:hAnsi="Times New Roman" w:eastAsia="宋体"/>
          <w:b/>
          <w:color w:val="0066CC"/>
          <w:sz w:val="22"/>
        </w:rPr>
        <w:t>答案：</w:t>
      </w:r>
      <w:r>
        <w:rPr>
          <w:rFonts w:ascii="Times New Roman" w:hAnsi="Times New Roman" w:eastAsia="宋体"/>
          <w:b w:val="0"/>
          <w:color w:val="0066CC"/>
          <w:sz w:val="22"/>
        </w:rPr>
        <w:t>便利性、控制能力、一致性</w:t>
      </w:r>
    </w:p>
    <w:p w14:paraId="7C1A22E6">
      <w:r>
        <w:rPr>
          <w:rFonts w:ascii="Times New Roman" w:hAnsi="Times New Roman" w:eastAsia="宋体"/>
          <w:b/>
          <w:color w:val="4F81BD"/>
          <w:sz w:val="21"/>
        </w:rPr>
        <w:t>出处：</w:t>
      </w:r>
      <w:r>
        <w:rPr>
          <w:rFonts w:ascii="Times New Roman" w:hAnsi="Times New Roman" w:eastAsia="宋体"/>
          <w:b w:val="0"/>
          <w:color w:val="4F81BD"/>
          <w:sz w:val="21"/>
        </w:rPr>
        <w:t>第22、23章 第23章 23.1“引言”。</w:t>
      </w:r>
    </w:p>
    <w:p w14:paraId="2DC4C91F">
      <w:pPr>
        <w:numPr>
          <w:ilvl w:val="0"/>
          <w:numId w:val="9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1978年Belmont报告中（保护人类被试的国家委员会）阐述的三项原则：</w:t>
      </w:r>
      <w:r>
        <w:rPr>
          <w:rFonts w:hint="eastAsia"/>
          <w:u w:val="single"/>
        </w:rPr>
        <w:t xml:space="preserve">           </w:t>
      </w:r>
      <w:r>
        <w:rPr>
          <w:rFonts w:hint="eastAsia"/>
        </w:rPr>
        <w:t>、</w:t>
      </w:r>
      <w:r>
        <w:rPr>
          <w:rFonts w:hint="eastAsia"/>
          <w:u w:val="single"/>
        </w:rPr>
        <w:t xml:space="preserve">             </w:t>
      </w:r>
      <w:r>
        <w:rPr>
          <w:rFonts w:hint="eastAsia"/>
        </w:rPr>
        <w:t>、</w:t>
      </w:r>
      <w:r>
        <w:rPr>
          <w:rFonts w:hint="eastAsia"/>
          <w:u w:val="single"/>
        </w:rPr>
        <w:t xml:space="preserve">          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，讨论对人的脑-机接口研究引发的伦理道德问题，该报告是现代人类研究标准的创始文件。</w:t>
      </w:r>
    </w:p>
    <w:p w14:paraId="114DA14F">
      <w:r>
        <w:rPr>
          <w:rFonts w:ascii="Times New Roman" w:hAnsi="Times New Roman" w:eastAsia="宋体"/>
          <w:b/>
          <w:color w:val="0066CC"/>
          <w:sz w:val="22"/>
        </w:rPr>
        <w:t>答案：</w:t>
      </w:r>
      <w:r>
        <w:rPr>
          <w:rFonts w:ascii="Times New Roman" w:hAnsi="Times New Roman" w:eastAsia="宋体"/>
          <w:b w:val="0"/>
          <w:color w:val="0066CC"/>
          <w:sz w:val="22"/>
        </w:rPr>
        <w:t>行善、对人尊重、公正</w:t>
      </w:r>
    </w:p>
    <w:p w14:paraId="0C6ADE38">
      <w:r>
        <w:rPr>
          <w:rFonts w:ascii="Times New Roman" w:hAnsi="Times New Roman" w:eastAsia="宋体"/>
          <w:b/>
          <w:color w:val="4F81BD"/>
          <w:sz w:val="21"/>
        </w:rPr>
        <w:t>出处：</w:t>
      </w:r>
      <w:r>
        <w:rPr>
          <w:rFonts w:ascii="Times New Roman" w:hAnsi="Times New Roman" w:eastAsia="宋体"/>
          <w:b w:val="0"/>
          <w:color w:val="4F81BD"/>
          <w:sz w:val="21"/>
        </w:rPr>
        <w:t>第24、25章+ 第24章“引言”。</w:t>
      </w:r>
    </w:p>
    <w:p w14:paraId="37D0AF42">
      <w:pPr>
        <w:numPr>
          <w:ilvl w:val="0"/>
          <w:numId w:val="9"/>
        </w:numPr>
      </w:pPr>
      <w:r>
        <w:t>BCIs把中枢神经系统的活动转化为新的输出，新的输出可以</w:t>
      </w:r>
      <w:r>
        <w:rPr>
          <w:rFonts w:hint="eastAsia"/>
          <w:u w:val="single"/>
        </w:rPr>
        <w:t xml:space="preserve">       </w:t>
      </w:r>
      <w:r>
        <w:rPr>
          <w:rFonts w:hint="eastAsia"/>
        </w:rPr>
        <w:t>、</w:t>
      </w:r>
      <w:r>
        <w:rPr>
          <w:rFonts w:hint="eastAsia"/>
          <w:u w:val="single"/>
        </w:rPr>
        <w:t xml:space="preserve">       </w:t>
      </w:r>
      <w:r>
        <w:rPr>
          <w:rFonts w:hint="eastAsia"/>
        </w:rPr>
        <w:t>、</w:t>
      </w:r>
      <w:r>
        <w:rPr>
          <w:rFonts w:hint="eastAsia"/>
          <w:u w:val="single"/>
        </w:rPr>
        <w:t xml:space="preserve">       </w:t>
      </w:r>
      <w:r>
        <w:rPr>
          <w:rFonts w:hint="eastAsia"/>
        </w:rPr>
        <w:t>、</w:t>
      </w:r>
      <w:r>
        <w:rPr>
          <w:rFonts w:hint="eastAsia"/>
          <w:u w:val="single"/>
        </w:rPr>
        <w:t xml:space="preserve">       </w:t>
      </w:r>
      <w:r>
        <w:rPr>
          <w:rFonts w:hint="eastAsia"/>
        </w:rPr>
        <w:t>、</w:t>
      </w:r>
      <w:r>
        <w:rPr>
          <w:rFonts w:hint="eastAsia"/>
          <w:u w:val="single"/>
        </w:rPr>
        <w:t xml:space="preserve">       </w:t>
      </w:r>
      <w:r>
        <w:t>自然的中枢神经系统输出。</w:t>
      </w:r>
    </w:p>
    <w:p w14:paraId="6E7F8A72">
      <w:r>
        <w:rPr>
          <w:rFonts w:ascii="Times New Roman" w:hAnsi="Times New Roman" w:eastAsia="宋体"/>
          <w:b/>
          <w:color w:val="0066CC"/>
          <w:sz w:val="22"/>
        </w:rPr>
        <w:t>答案：</w:t>
      </w:r>
      <w:r>
        <w:rPr>
          <w:rFonts w:ascii="Times New Roman" w:hAnsi="Times New Roman" w:eastAsia="宋体"/>
          <w:b w:val="0"/>
          <w:color w:val="0066CC"/>
          <w:sz w:val="22"/>
        </w:rPr>
        <w:t>替代、恢复、增强、补充、改善</w:t>
      </w:r>
    </w:p>
    <w:p w14:paraId="23801DB1">
      <w:pPr>
        <w:rPr>
          <w:rFonts w:ascii="Times New Roman" w:hAnsi="Times New Roman" w:eastAsia="宋体"/>
          <w:b w:val="0"/>
          <w:color w:val="4F81BD"/>
          <w:sz w:val="21"/>
        </w:rPr>
      </w:pPr>
      <w:r>
        <w:rPr>
          <w:rFonts w:ascii="Times New Roman" w:hAnsi="Times New Roman" w:eastAsia="宋体"/>
          <w:b/>
          <w:color w:val="4F81BD"/>
          <w:sz w:val="21"/>
        </w:rPr>
        <w:t>出处：</w:t>
      </w:r>
      <w:r>
        <w:rPr>
          <w:rFonts w:ascii="Times New Roman" w:hAnsi="Times New Roman" w:eastAsia="宋体"/>
          <w:b w:val="0"/>
          <w:color w:val="4F81BD"/>
          <w:sz w:val="21"/>
        </w:rPr>
        <w:t>第24、25章+ 第24章 24.2.1；第25章 25.2“承诺”。</w:t>
      </w:r>
    </w:p>
    <w:p w14:paraId="2D3C85E6">
      <w:pPr>
        <w:numPr>
          <w:ilvl w:val="0"/>
          <w:numId w:val="1"/>
        </w:numPr>
      </w:pPr>
      <w:r>
        <w:rPr>
          <w:rFonts w:hint="eastAsia"/>
        </w:rPr>
        <w:t>论述</w:t>
      </w:r>
    </w:p>
    <w:p w14:paraId="05E99C7A">
      <w:pPr>
        <w:numPr>
          <w:ilvl w:val="0"/>
          <w:numId w:val="10"/>
        </w:numPr>
      </w:pPr>
      <w:r>
        <w:t>BCIs</w:t>
      </w:r>
      <w:r>
        <w:rPr>
          <w:rFonts w:hint="eastAsia"/>
        </w:rPr>
        <w:t>的传播中，研发新的医疗器械的趋势是积极和消极因素相混合的迅速发展。请简述两方面因素内容，并谈论研究者应如何面对。</w:t>
      </w:r>
    </w:p>
    <w:p w14:paraId="0C165863">
      <w:r>
        <w:rPr>
          <w:rFonts w:ascii="Times New Roman" w:hAnsi="Times New Roman" w:eastAsia="宋体"/>
          <w:b/>
          <w:color w:val="0066CC"/>
          <w:sz w:val="22"/>
        </w:rPr>
        <w:t>答案：</w:t>
      </w:r>
      <w:r>
        <w:rPr>
          <w:rFonts w:ascii="Times New Roman" w:hAnsi="Times New Roman" w:eastAsia="宋体"/>
          <w:b w:val="0"/>
          <w:color w:val="0066CC"/>
          <w:sz w:val="22"/>
        </w:rPr>
        <w:t>积极因素主要在于：一方面，BCI 已经形成较多科学积累，政府和慈善机构愿意资助基础研究；另一方面，监管审批、替代审批路径、全球营销与保险偿付等机制正在逐步完善，为产品真正进入临床和市场提供了可能。消极因素主要在于：研发时间历程和结果具有不确定性，产品开发还要面对设计控制、风险管理、监管审批、偿付、商业合作和金融可持续性等复杂问题，而且 BCI 作为罕见疾病技术往往商业激励不足。研究者面对这一趋势时，应坚持多学科合作，尽早把设计控制、风险管理、监管、偿付和商业模式纳入整体规划，既重视技术突破，也重视产品化和长期可持续传播。</w:t>
      </w:r>
    </w:p>
    <w:p w14:paraId="73E71DD9">
      <w:r>
        <w:rPr>
          <w:rFonts w:ascii="Times New Roman" w:hAnsi="Times New Roman" w:eastAsia="宋体"/>
          <w:b/>
          <w:color w:val="4F81BD"/>
          <w:sz w:val="21"/>
        </w:rPr>
        <w:t>出处：</w:t>
      </w:r>
      <w:r>
        <w:rPr>
          <w:rFonts w:ascii="Times New Roman" w:hAnsi="Times New Roman" w:eastAsia="宋体"/>
          <w:b w:val="0"/>
          <w:color w:val="4F81BD"/>
          <w:sz w:val="21"/>
        </w:rPr>
        <w:t>第21章 21.2“设计方面考虑—科学研究与工程发展、设计控制、风险管理”；21.3—21.8“监管、审批、偿付、金融挑战与传播替代方案”。</w:t>
      </w:r>
    </w:p>
    <w:p w14:paraId="5FEBCFBE">
      <w:pPr>
        <w:numPr>
          <w:ilvl w:val="0"/>
          <w:numId w:val="10"/>
        </w:numPr>
      </w:pPr>
      <w:r>
        <w:t>基于BCI的运动康复未来研究中的关键问题</w:t>
      </w:r>
    </w:p>
    <w:p w14:paraId="737E8B77">
      <w:r>
        <w:rPr>
          <w:rFonts w:ascii="Times New Roman" w:hAnsi="Times New Roman" w:eastAsia="宋体"/>
          <w:b/>
          <w:color w:val="0066CC"/>
          <w:sz w:val="22"/>
        </w:rPr>
        <w:t>答案：</w:t>
      </w:r>
      <w:r>
        <w:rPr>
          <w:rFonts w:ascii="Times New Roman" w:hAnsi="Times New Roman" w:eastAsia="宋体"/>
          <w:b w:val="0"/>
          <w:color w:val="0066CC"/>
          <w:sz w:val="22"/>
        </w:rPr>
        <w:t>基于BCI的运动康复未来研究中的关键问题主要包括：第一，谁是基于BCI运动训练或基于BCI运动辅助训练的最佳候选人；第二，BCI治疗结果会在多大程度上受到病因、病变部位、病变性质以及中枢神经系统受损或疾病严重程度等因素影响；第三，研究设计上应纳入足够数量的被试和恰当的对照，以充分检验BCI是否能够比现有方法更有效地促进运动康复。除此之外，在实际推广层面，还应尽量减少系统设置和训练时间，使用尽可能少但足够有效的通道，培训运动康复人员参与患者筛查、系统设置和训练，并推动家庭治疗可用性以及医疗保险报销审批。</w:t>
      </w:r>
    </w:p>
    <w:p w14:paraId="08A947C6">
      <w:r>
        <w:rPr>
          <w:rFonts w:ascii="Times New Roman" w:hAnsi="Times New Roman" w:eastAsia="宋体"/>
          <w:b/>
          <w:color w:val="4F81BD"/>
          <w:sz w:val="21"/>
        </w:rPr>
        <w:t>出处：</w:t>
      </w:r>
      <w:r>
        <w:rPr>
          <w:rFonts w:ascii="Times New Roman" w:hAnsi="Times New Roman" w:eastAsia="宋体"/>
          <w:b w:val="0"/>
          <w:color w:val="4F81BD"/>
          <w:sz w:val="21"/>
        </w:rPr>
        <w:t>第22、23章 第22章 22.3“基于EEG的BCIs治疗用途——改善运动功能的恢复”中“3、基于BCI的运动康复未来研究中的关键问题”“4、基于BCI的运动康复未来研究中的关键问题”。</w:t>
      </w:r>
    </w:p>
    <w:p w14:paraId="19221185">
      <w:r>
        <w:rPr>
          <w:rFonts w:hint="eastAsia"/>
        </w:rPr>
        <w:t>3. BCI研究中的伦理问题方面，在应用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1978年Belmont报告中阐述的三项原则</w:t>
      </w:r>
      <w:r>
        <w:rPr>
          <w:rFonts w:hint="eastAsia"/>
        </w:rPr>
        <w:t>时，把BCI研究划分为哪两种不同的类型，请分别简述两种类型的BCI研究内容。</w:t>
      </w:r>
    </w:p>
    <w:p w14:paraId="2F87ED5C">
      <w:r>
        <w:rPr>
          <w:rFonts w:ascii="Times New Roman" w:hAnsi="Times New Roman" w:eastAsia="宋体"/>
          <w:b/>
          <w:color w:val="0066CC"/>
          <w:sz w:val="22"/>
        </w:rPr>
        <w:t>答案：</w:t>
      </w:r>
      <w:r>
        <w:rPr>
          <w:rFonts w:ascii="Times New Roman" w:hAnsi="Times New Roman" w:eastAsia="宋体"/>
          <w:b w:val="0"/>
          <w:color w:val="0066CC"/>
          <w:sz w:val="22"/>
        </w:rPr>
        <w:t>应用 Belmont 报告三项原则时，可将 BCI 研究划分为两类。第一类是帮助残疾患者获得等同健全人的功能状态的研究，这类研究旨在恢复或替代自然中枢神经系统输出通路，或改善自然输出，使其达到没有残疾者的功能水平。第二类是针对一般人群的研究，这类研究旨在增强、补充或改善自然中枢神经系统输出，使其达到超常水平。前者强调帮助残疾人恢复交流、移动和控制等基本功能，后者则更关注性能增强、体验拓展和一般人群应用。</w:t>
      </w:r>
    </w:p>
    <w:p w14:paraId="23566F84">
      <w:r>
        <w:rPr>
          <w:rFonts w:ascii="Times New Roman" w:hAnsi="Times New Roman" w:eastAsia="宋体"/>
          <w:b/>
          <w:color w:val="4F81BD"/>
          <w:sz w:val="21"/>
        </w:rPr>
        <w:t>出处：</w:t>
      </w:r>
      <w:r>
        <w:rPr>
          <w:rFonts w:ascii="Times New Roman" w:hAnsi="Times New Roman" w:eastAsia="宋体"/>
          <w:b w:val="0"/>
          <w:color w:val="4F81BD"/>
          <w:sz w:val="21"/>
        </w:rPr>
        <w:t>第24、25章+ 第24章“引言”及 24.3“用于一般人群的BCI研究”。</w:t>
      </w:r>
    </w:p>
    <w:p w14:paraId="70408654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34CB7B"/>
    <w:multiLevelType w:val="singleLevel"/>
    <w:tmpl w:val="8234CB7B"/>
    <w:lvl w:ilvl="0" w:tentative="0">
      <w:start w:val="1"/>
      <w:numFmt w:val="upperLetter"/>
      <w:suff w:val="space"/>
      <w:lvlText w:val="%1."/>
      <w:lvlJc w:val="left"/>
    </w:lvl>
  </w:abstractNum>
  <w:abstractNum w:abstractNumId="1">
    <w:nsid w:val="85E15084"/>
    <w:multiLevelType w:val="singleLevel"/>
    <w:tmpl w:val="85E15084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2">
    <w:nsid w:val="93246F37"/>
    <w:multiLevelType w:val="singleLevel"/>
    <w:tmpl w:val="93246F37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3">
    <w:nsid w:val="94F587DA"/>
    <w:multiLevelType w:val="singleLevel"/>
    <w:tmpl w:val="94F587DA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C3BB69C7"/>
    <w:multiLevelType w:val="singleLevel"/>
    <w:tmpl w:val="C3BB69C7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051927EF"/>
    <w:multiLevelType w:val="singleLevel"/>
    <w:tmpl w:val="051927EF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6">
    <w:nsid w:val="14248E0C"/>
    <w:multiLevelType w:val="singleLevel"/>
    <w:tmpl w:val="14248E0C"/>
    <w:lvl w:ilvl="0" w:tentative="0">
      <w:start w:val="2"/>
      <w:numFmt w:val="decimal"/>
      <w:suff w:val="space"/>
      <w:lvlText w:val="%1."/>
      <w:lvlJc w:val="left"/>
    </w:lvl>
  </w:abstractNum>
  <w:abstractNum w:abstractNumId="7">
    <w:nsid w:val="16D658CF"/>
    <w:multiLevelType w:val="singleLevel"/>
    <w:tmpl w:val="16D658CF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8">
    <w:nsid w:val="196F26A4"/>
    <w:multiLevelType w:val="singleLevel"/>
    <w:tmpl w:val="196F26A4"/>
    <w:lvl w:ilvl="0" w:tentative="0">
      <w:start w:val="1"/>
      <w:numFmt w:val="decimal"/>
      <w:suff w:val="space"/>
      <w:lvlText w:val="%1."/>
      <w:lvlJc w:val="left"/>
    </w:lvl>
  </w:abstractNum>
  <w:abstractNum w:abstractNumId="9">
    <w:nsid w:val="79D5BA49"/>
    <w:multiLevelType w:val="singleLevel"/>
    <w:tmpl w:val="79D5BA49"/>
    <w:lvl w:ilvl="0" w:tentative="0">
      <w:start w:val="1"/>
      <w:numFmt w:val="upperLetter"/>
      <w:suff w:val="space"/>
      <w:lvlText w:val="%1."/>
      <w:lvlJc w:val="left"/>
    </w:lvl>
  </w:abstractNum>
  <w:num w:numId="1">
    <w:abstractNumId w:val="7"/>
  </w:num>
  <w:num w:numId="2">
    <w:abstractNumId w:val="8"/>
  </w:num>
  <w:num w:numId="3">
    <w:abstractNumId w:val="0"/>
  </w:num>
  <w:num w:numId="4">
    <w:abstractNumId w:val="6"/>
  </w:num>
  <w:num w:numId="5">
    <w:abstractNumId w:val="5"/>
  </w:num>
  <w:num w:numId="6">
    <w:abstractNumId w:val="1"/>
  </w:num>
  <w:num w:numId="7">
    <w:abstractNumId w:val="2"/>
  </w:num>
  <w:num w:numId="8">
    <w:abstractNumId w:val="9"/>
  </w:num>
  <w:num w:numId="9">
    <w:abstractNumId w:val="3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86E1AE3"/>
    <w:rsid w:val="00392BB9"/>
    <w:rsid w:val="00F73EAD"/>
    <w:rsid w:val="00FF5B4A"/>
    <w:rsid w:val="0B01658D"/>
    <w:rsid w:val="22EF423F"/>
    <w:rsid w:val="38684267"/>
    <w:rsid w:val="4F8A5BCF"/>
    <w:rsid w:val="57E04948"/>
    <w:rsid w:val="586E1AE3"/>
    <w:rsid w:val="5CDB552F"/>
    <w:rsid w:val="66E221F2"/>
    <w:rsid w:val="679542C8"/>
    <w:rsid w:val="6AC021DA"/>
    <w:rsid w:val="7AB14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590</Words>
  <Characters>664</Characters>
  <Lines>25</Lines>
  <Paragraphs>34</Paragraphs>
  <TotalTime>91</TotalTime>
  <ScaleCrop>false</ScaleCrop>
  <LinksUpToDate>false</LinksUpToDate>
  <CharactersWithSpaces>750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2020-09-25T07:50:00Z</dcterms:created>
  <dc:creator>Undertaker</dc:creator>
  <cp:lastModifiedBy>落叶满长安</cp:lastModifiedBy>
  <cp:lastPrinted>2020-09-25T09:07:00Z</cp:lastPrinted>
  <dcterms:modified xsi:type="dcterms:W3CDTF">2026-06-08T03:34:42Z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eyJoZGlkIjoiOTFhN2Y4NTA3YTRhMTZiMmZkNDgxYzc1NTQ1ZmVlMjQiLCJ1c2VySWQiOiIyNDIwNDk4MzkifQ==</vt:lpwstr>
  </property>
  <property fmtid="{D5CDD505-2E9C-101B-9397-08002B2CF9AE}" pid="4" name="ICV">
    <vt:lpwstr>4730C4CEEE504C50A6986185E4EE7036_12</vt:lpwstr>
  </property>
</Properties>
</file>