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行业专家经验与规则采集模板</w:t>
      </w:r>
    </w:p>
    <w:p>
      <w:pPr>
        <w:jc w:val="center"/>
      </w:pPr>
      <w:r>
        <w:t>用于收集可审核、可检索、可导入 RAG 的专家经验、规则与红线</w:t>
      </w:r>
    </w:p>
    <w:p>
      <w:r>
        <w:t>填写说明：一份文档建议只描述一个可独立审核的知识单元。尽量使用具体对象、条件、数值、时间和证据。管理员审核发布后，内容才进入 RAG 索引。</w:t>
      </w:r>
    </w:p>
    <w:p>
      <w:pPr>
        <w:pStyle w:val="Heading1"/>
      </w:pPr>
      <w:r>
        <w:t>一 基本信息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标题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t>例如：趋势突破后的回撤处理</w:t>
              <w:br/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知识类型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t>专家经验 / 规则 / 红线</w:t>
              <w:br/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专家姓名与角色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所属行业与领域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适用对象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t>产品、业务、品种或客户类型</w:t>
              <w:br/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适用标签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t>逗号分隔，例如：BTC/USDT, 15m, 趋势交易</w:t>
              <w:br/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来源与版本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t>来源可填专家访谈、文档或案例；版本建议 1.0</w:t>
              <w:br/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经验有效期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t>起止日期；长期有效仍需定期复核</w:t>
              <w:br/>
              <w:br/>
              <w:br/>
            </w:r>
          </w:p>
        </w:tc>
      </w:tr>
    </w:tbl>
    <w:p/>
    <w:p>
      <w:pPr>
        <w:pStyle w:val="Heading1"/>
      </w:pPr>
      <w:r>
        <w:t>二 一句话结论</w:t>
      </w:r>
    </w:p>
    <w:p>
      <w:r>
        <w:t>用一句话说明最希望系统记住什么。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p>
      <w:pPr>
        <w:pStyle w:val="Heading1"/>
      </w:pPr>
      <w:r>
        <w:t>三 适用条件</w:t>
      </w:r>
    </w:p>
    <w:p>
      <w:r>
        <w:t>描述什么情况下可以使用这条经验，尽量可观察、可判断。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市场或业务状态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输入数据要求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时间范围或阶段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前置条件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p>
      <w:pPr>
        <w:pStyle w:val="Heading1"/>
      </w:pPr>
      <w:r>
        <w:t>四 触发信号</w:t>
      </w:r>
    </w:p>
    <w:p>
      <w:r>
        <w:t>填写触发规则的事实信号，避免“感觉”“适当”等无法判断的词。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触发信号 1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触发信号 2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触发信号 3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p>
      <w:pPr>
        <w:pStyle w:val="Heading1"/>
      </w:pPr>
      <w:r>
        <w:t>五 建议动作</w:t>
      </w:r>
    </w:p>
    <w:p>
      <w:r>
        <w:t>说明动作、对象、幅度或范围、执行时机。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动作 1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t>执行时机：</w:t>
              <w:br/>
              <w:t>建议范围：</w:t>
              <w:br/>
              <w:t>预期目的：</w:t>
              <w:br/>
              <w:br/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动作 2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t>执行时机：</w:t>
              <w:br/>
              <w:t>建议范围：</w:t>
              <w:br/>
              <w:t>预期目的：</w:t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六 禁止动作与红线</w:t>
      </w:r>
    </w:p>
    <w:p>
      <w:r>
        <w:t>只有违反后必须停止、暂停或转人工时，才放入红线。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BLOCK 禁止动作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REVIEW 必须人工复核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违反后处理（PAUSED / MANUAL_CONTROL / 其他）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p>
      <w:pPr>
        <w:pStyle w:val="Heading1"/>
      </w:pPr>
      <w:r>
        <w:t>七 例外与冲突处理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例外情况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优先级更高的规则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信息不足时如何处理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与其他规则冲突时如何处理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p>
      <w:pPr>
        <w:pStyle w:val="Heading1"/>
      </w:pPr>
      <w:r>
        <w:t>八 失效条件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数据过期条件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市场或业务状态变化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指标或阈值失效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复核日期或触发事件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p>
      <w:pPr>
        <w:pStyle w:val="Heading1"/>
      </w:pPr>
      <w:r>
        <w:t>九 正例与反例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正例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t>背景：</w:t>
              <w:br/>
              <w:t>观察到的信号：</w:t>
              <w:br/>
              <w:t>采取的动作：</w:t>
              <w:br/>
              <w:t>结果：</w:t>
              <w:br/>
              <w:t>为什么适用：</w:t>
              <w:br/>
              <w:br/>
              <w:br/>
              <w:br/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反例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t>背景：</w:t>
              <w:br/>
              <w:t>看似相似但不适用的信号：</w:t>
              <w:br/>
              <w:t>不应采取的动作：</w:t>
              <w:br/>
              <w:t>原因：</w:t>
              <w:br/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十 证据与可信度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证据链接或文件名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数据区间或案例编号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样本数量与覆盖范围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专家置信度（高 / 中 / 低）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已知局限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建议复核周期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p>
      <w:pPr>
        <w:pStyle w:val="Heading1"/>
      </w:pPr>
      <w:r>
        <w:t>十一 给系统的简短摘要</w:t>
      </w:r>
    </w:p>
    <w:p>
      <w:r>
        <w:t>100 字以内，用于列表展示和人工审核。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摘要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p>
      <w:pPr>
        <w:pStyle w:val="Heading1"/>
      </w:pPr>
      <w:r>
        <w:t>十二 管理员审核记录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审核结论（通过 / 退回补充 / 不采用）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审核人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审核日期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</w:rPr>
              <w:t>修改意见</w:t>
            </w:r>
          </w:p>
        </w:tc>
      </w:tr>
      <w:tr>
        <w:tc>
          <w:tcPr>
            <w:tcW w:type="dxa" w:w="10224"/>
          </w:tcPr>
          <w:p>
            <w:r>
              <w:rPr>
                <w:color w:val="828282"/>
              </w:rPr>
              <w:br/>
              <w:br/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Axiom RAG 知识采集模板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Song" w:hAnsi="STSong" w:eastAsia="STSong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Song" w:hAnsi="STSong" w:eastAsia="STSong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Song" w:hAnsi="STSong" w:eastAsia="STSong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TSong" w:hAnsi="STSong" w:eastAsia="STSong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