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4D6DD">
      <w:pPr>
        <w:adjustRightInd w:val="0"/>
        <w:jc w:val="center"/>
        <w:rPr>
          <w:rFonts w:ascii="黑体" w:eastAsia="黑体" w:cs="黑体"/>
          <w:bCs/>
          <w:sz w:val="32"/>
          <w:szCs w:val="32"/>
        </w:rPr>
      </w:pPr>
      <w:r>
        <w:rPr>
          <w:rFonts w:hint="eastAsia" w:ascii="黑体" w:eastAsia="黑体" w:cs="黑体"/>
          <w:bCs/>
          <w:sz w:val="32"/>
          <w:szCs w:val="32"/>
        </w:rPr>
        <w:t>湖北职业技术学院2025-2026学年第</w:t>
      </w:r>
      <w:r>
        <w:rPr>
          <w:rFonts w:hint="eastAsia" w:ascii="黑体" w:eastAsia="黑体" w:cs="黑体"/>
          <w:bCs/>
          <w:sz w:val="32"/>
          <w:szCs w:val="32"/>
          <w:lang w:val="en-US" w:eastAsia="zh-CN"/>
        </w:rPr>
        <w:t>二</w:t>
      </w:r>
      <w:r>
        <w:rPr>
          <w:rFonts w:hint="eastAsia" w:ascii="黑体" w:eastAsia="黑体" w:cs="黑体"/>
          <w:bCs/>
          <w:sz w:val="32"/>
          <w:szCs w:val="32"/>
        </w:rPr>
        <w:t>学期</w:t>
      </w:r>
    </w:p>
    <w:p w14:paraId="4E33A087">
      <w:pPr>
        <w:adjustRightInd w:val="0"/>
        <w:snapToGrid w:val="0"/>
        <w:jc w:val="center"/>
        <w:rPr>
          <w:rFonts w:ascii="黑体" w:hAnsi="黑体" w:eastAsia="黑体"/>
          <w:bCs/>
          <w:spacing w:val="-4"/>
          <w:sz w:val="32"/>
          <w:szCs w:val="32"/>
        </w:rPr>
      </w:pPr>
      <w:r>
        <w:rPr>
          <w:rFonts w:hint="eastAsia" w:ascii="黑体" w:hAnsi="黑体" w:eastAsia="黑体"/>
          <w:bCs/>
          <w:spacing w:val="-4"/>
          <w:sz w:val="32"/>
          <w:szCs w:val="32"/>
        </w:rPr>
        <w:t>期末考试评分标准（含参考答案）</w:t>
      </w:r>
    </w:p>
    <w:p w14:paraId="663D712A"/>
    <w:p w14:paraId="5727FEA2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考试课程：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考试类型：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理论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考试方式：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闭卷 </w:t>
      </w:r>
      <w:r>
        <w:rPr>
          <w:rFonts w:hint="eastAsia" w:ascii="仿宋_GB2312" w:hAnsi="仿宋_GB2312" w:eastAsia="仿宋_GB2312" w:cs="仿宋_GB2312"/>
          <w:color w:val="000000"/>
        </w:rPr>
        <w:t xml:space="preserve">  试卷：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A卷 </w:t>
      </w:r>
    </w:p>
    <w:p w14:paraId="64C26D05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  <w:u w:val="single"/>
        </w:rPr>
      </w:pPr>
      <w:r>
        <w:rPr>
          <w:rFonts w:hint="eastAsia" w:ascii="仿宋_GB2312" w:hAnsi="仿宋_GB2312" w:eastAsia="仿宋_GB2312" w:cs="仿宋_GB2312"/>
          <w:color w:val="000000"/>
        </w:rPr>
        <w:t>年级：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202X </w:t>
      </w:r>
      <w:r>
        <w:rPr>
          <w:rFonts w:hint="eastAsia" w:ascii="仿宋_GB2312" w:hAnsi="仿宋_GB2312" w:eastAsia="仿宋_GB2312" w:cs="仿宋_GB2312"/>
          <w:color w:val="000000"/>
        </w:rPr>
        <w:t xml:space="preserve">    院系（专业）：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       XXXXX学院XXXXX专业              </w:t>
      </w:r>
    </w:p>
    <w:p w14:paraId="614F8A92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命题人：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  <w:r>
        <w:rPr>
          <w:rFonts w:hint="eastAsia" w:ascii="仿宋_GB2312" w:hAnsi="仿宋_GB2312" w:eastAsia="仿宋_GB2312" w:cs="仿宋_GB2312"/>
          <w:color w:val="000000"/>
        </w:rPr>
        <w:t xml:space="preserve">  审核人：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  <w:r>
        <w:rPr>
          <w:rFonts w:hint="eastAsia" w:ascii="仿宋_GB2312" w:hAnsi="仿宋_GB2312" w:eastAsia="仿宋_GB2312" w:cs="仿宋_GB2312"/>
          <w:color w:val="000000"/>
        </w:rPr>
        <w:t xml:space="preserve">  政审：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</w:p>
    <w:p w14:paraId="11DFD931"/>
    <w:p w14:paraId="4AB50BB8">
      <w:pPr>
        <w:ind w:left="482" w:hanging="482" w:hangingChars="200"/>
        <w:rPr>
          <w:rFonts w:ascii="宋体"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一、单项选择题</w:t>
      </w:r>
      <w:r>
        <w:rPr>
          <w:rFonts w:hint="eastAsia" w:ascii="黑体" w:hAnsi="黑体" w:eastAsia="黑体"/>
          <w:sz w:val="24"/>
          <w:szCs w:val="24"/>
        </w:rPr>
        <w:t>（每题只有一个答案是正确的，未选、错选或多选均</w:t>
      </w:r>
      <w:bookmarkStart w:id="0" w:name="_GoBack"/>
      <w:bookmarkEnd w:id="0"/>
      <w:r>
        <w:rPr>
          <w:rFonts w:hint="eastAsia" w:ascii="黑体" w:hAnsi="黑体" w:eastAsia="黑体"/>
          <w:sz w:val="24"/>
          <w:szCs w:val="24"/>
        </w:rPr>
        <w:t>不得分。共20小题，每小题分值4分，共80分）</w:t>
      </w:r>
    </w:p>
    <w:p w14:paraId="3B0C6684"/>
    <w:tbl>
      <w:tblPr>
        <w:tblStyle w:val="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824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29CA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3C674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题号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03B1C8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77CD3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809EB7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2F6BDF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4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5B31D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88FDB5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6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BAA2D7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7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8BFC48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8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DF3C74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9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01224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10</w:t>
            </w:r>
          </w:p>
        </w:tc>
      </w:tr>
      <w:tr w14:paraId="26EA6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D46A1C">
            <w:pPr>
              <w:spacing w:line="38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答案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73200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0B487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26593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DF404B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42802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C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E409C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EBB65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D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B6E216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D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1FCA5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F5CE3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</w:tr>
      <w:tr w14:paraId="2CC8B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39A27">
            <w:pPr>
              <w:spacing w:line="38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题号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17B6B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6B43F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12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35E6F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13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0F67E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14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C350C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D2D5F6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16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F3642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17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773EE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18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DCB34B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19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72A74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20</w:t>
            </w:r>
          </w:p>
        </w:tc>
      </w:tr>
      <w:tr w14:paraId="07F7F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E0B91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答案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7C386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0B0224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C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6B267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E4639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C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1C1E2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EBAFF8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0F5EC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57C05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F0A91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C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EEC832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C</w:t>
            </w:r>
          </w:p>
        </w:tc>
      </w:tr>
    </w:tbl>
    <w:p w14:paraId="28C94C73"/>
    <w:p w14:paraId="72EA1730">
      <w:pPr>
        <w:ind w:left="482" w:hanging="482" w:hangingChars="200"/>
        <w:rPr>
          <w:rFonts w:ascii="宋体"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二、多项选择题</w:t>
      </w:r>
      <w:r>
        <w:rPr>
          <w:rFonts w:hint="eastAsia" w:ascii="黑体" w:hAnsi="黑体" w:eastAsia="黑体"/>
          <w:sz w:val="24"/>
          <w:szCs w:val="24"/>
        </w:rPr>
        <w:t>（每题至少有2个答案是正确的，未选、错选或多选均不得分。共5小题，每小题分值6分，共30分）</w:t>
      </w:r>
    </w:p>
    <w:tbl>
      <w:tblPr>
        <w:tblStyle w:val="5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1511"/>
        <w:gridCol w:w="1513"/>
        <w:gridCol w:w="1513"/>
        <w:gridCol w:w="1513"/>
        <w:gridCol w:w="1513"/>
      </w:tblGrid>
      <w:tr w14:paraId="4AC41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AF887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题号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23ED8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95FFA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B5B6B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1821E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4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8C17A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5</w:t>
            </w:r>
          </w:p>
        </w:tc>
      </w:tr>
      <w:tr w14:paraId="1F2CE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4E32B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答案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DF2FA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ACD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0B101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ABC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31572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ACD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28AF10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ABD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14F14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ABCD</w:t>
            </w:r>
          </w:p>
        </w:tc>
      </w:tr>
    </w:tbl>
    <w:p w14:paraId="3E8D3FD2"/>
    <w:p w14:paraId="7478FBF2">
      <w:pPr>
        <w:ind w:left="482" w:hanging="482" w:hangingChars="2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三、判断题</w:t>
      </w:r>
      <w:r>
        <w:rPr>
          <w:rFonts w:hint="eastAsia" w:ascii="黑体" w:hAnsi="黑体" w:eastAsia="黑体"/>
          <w:sz w:val="24"/>
          <w:szCs w:val="24"/>
        </w:rPr>
        <w:t>（正确的打“√”，错误的打“×”。共10小题，每小题分值4分，共40分）</w:t>
      </w:r>
    </w:p>
    <w:tbl>
      <w:tblPr>
        <w:tblStyle w:val="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824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4EB23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BEDD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题号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C7DDE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DFAAC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F6B38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707F9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4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EBE02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01584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6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720029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7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E3E72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8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46826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9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EC009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10</w:t>
            </w:r>
          </w:p>
        </w:tc>
      </w:tr>
      <w:tr w14:paraId="3CC6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34404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答案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27AB9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×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2AB7D5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×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E8A67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√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65E92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×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77153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×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60990A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×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59AF73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√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6AB4D4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√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D3C2D9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√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5E46C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× </w:t>
            </w:r>
          </w:p>
        </w:tc>
      </w:tr>
    </w:tbl>
    <w:p w14:paraId="56901078"/>
    <w:p w14:paraId="35386EED">
      <w:pPr>
        <w:ind w:left="482" w:hanging="482" w:hangingChars="200"/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四、案例分析题</w:t>
      </w:r>
      <w:r>
        <w:rPr>
          <w:rFonts w:hint="eastAsia" w:ascii="黑体" w:hAnsi="黑体" w:eastAsia="黑体"/>
          <w:sz w:val="24"/>
          <w:szCs w:val="24"/>
        </w:rPr>
        <w:t>（共4小题，每小题分值分别为8、4、18、20分，共50分）</w:t>
      </w:r>
    </w:p>
    <w:p w14:paraId="01F67391">
      <w:pPr>
        <w:overflowPunct w:val="0"/>
        <w:ind w:firstLine="482" w:firstLineChars="200"/>
        <w:rPr>
          <w:b/>
          <w:bCs/>
        </w:rPr>
      </w:pPr>
      <w:r>
        <w:rPr>
          <w:rFonts w:hint="eastAsia" w:ascii="宋体" w:hAnsi="宋体" w:cs="宋体"/>
          <w:b/>
          <w:bCs/>
          <w:sz w:val="24"/>
          <w:szCs w:val="24"/>
        </w:rPr>
        <w:t>1.</w:t>
      </w:r>
      <w:r>
        <w:rPr>
          <w:rFonts w:hint="eastAsia"/>
          <w:b/>
          <w:bCs/>
        </w:rPr>
        <w:t>请分析本次事故的原因。</w:t>
      </w:r>
    </w:p>
    <w:p w14:paraId="03A6FB19">
      <w:pPr>
        <w:overflowPunct w:val="0"/>
        <w:ind w:firstLine="420" w:firstLineChars="200"/>
      </w:pPr>
      <w:r>
        <w:rPr>
          <w:rFonts w:hint="eastAsia"/>
        </w:rPr>
        <w:t>①日程安排不当</w:t>
      </w:r>
      <w:r>
        <w:t>:</w:t>
      </w:r>
      <w:r>
        <w:rPr>
          <w:rFonts w:hint="eastAsia"/>
        </w:rPr>
        <w:t>旅游者快要离开本市时不应安排他们去广场购物（</w:t>
      </w:r>
      <w:r>
        <w:t>4</w:t>
      </w:r>
      <w:r>
        <w:rPr>
          <w:rFonts w:hint="eastAsia"/>
        </w:rPr>
        <w:t>分）</w:t>
      </w:r>
    </w:p>
    <w:p w14:paraId="1671DD07">
      <w:pPr>
        <w:overflowPunct w:val="0"/>
        <w:ind w:firstLine="420" w:firstLineChars="200"/>
      </w:pPr>
      <w:r>
        <w:rPr>
          <w:rFonts w:hint="eastAsia"/>
        </w:rPr>
        <w:t>②措施不当：发现客人未归时应积极寻找而不应等待（</w:t>
      </w:r>
      <w:r>
        <w:t>4</w:t>
      </w:r>
      <w:r>
        <w:rPr>
          <w:rFonts w:hint="eastAsia"/>
        </w:rPr>
        <w:t>分）</w:t>
      </w:r>
    </w:p>
    <w:p w14:paraId="6F930049">
      <w:pPr>
        <w:overflowPunct w:val="0"/>
        <w:ind w:firstLine="420" w:firstLineChars="200"/>
      </w:pPr>
    </w:p>
    <w:p w14:paraId="0148DA72">
      <w:pPr>
        <w:overflowPunct w:val="0"/>
        <w:ind w:firstLine="482" w:firstLineChars="200"/>
        <w:rPr>
          <w:b/>
          <w:bCs/>
        </w:rPr>
      </w:pPr>
      <w:r>
        <w:rPr>
          <w:rFonts w:hint="eastAsia" w:ascii="宋体" w:hAnsi="宋体" w:cs="宋体"/>
          <w:b/>
          <w:bCs/>
          <w:sz w:val="24"/>
          <w:szCs w:val="24"/>
        </w:rPr>
        <w:t>2.</w:t>
      </w:r>
      <w:r>
        <w:rPr>
          <w:rFonts w:hint="eastAsia"/>
          <w:b/>
          <w:bCs/>
        </w:rPr>
        <w:t>发现只有</w:t>
      </w:r>
      <w:r>
        <w:rPr>
          <w:b/>
          <w:bCs/>
        </w:rPr>
        <w:t>38</w:t>
      </w:r>
      <w:r>
        <w:rPr>
          <w:rFonts w:hint="eastAsia"/>
          <w:b/>
          <w:bCs/>
        </w:rPr>
        <w:t>人返回时应如何处理？</w:t>
      </w:r>
    </w:p>
    <w:p w14:paraId="2D539A4C">
      <w:pPr>
        <w:overflowPunct w:val="0"/>
        <w:ind w:firstLine="420" w:firstLineChars="200"/>
      </w:pPr>
      <w:r>
        <w:rPr>
          <w:rFonts w:hint="eastAsia"/>
        </w:rPr>
        <w:t>发现只有</w:t>
      </w:r>
      <w:r>
        <w:t>38</w:t>
      </w:r>
      <w:r>
        <w:rPr>
          <w:rFonts w:hint="eastAsia"/>
        </w:rPr>
        <w:t>人返回时让全陪带</w:t>
      </w:r>
      <w:r>
        <w:t>38</w:t>
      </w:r>
      <w:r>
        <w:rPr>
          <w:rFonts w:hint="eastAsia"/>
        </w:rPr>
        <w:t>人先去火车站，自己留下寻找未归者</w:t>
      </w:r>
      <w:r>
        <w:t>,</w:t>
      </w:r>
      <w:r>
        <w:rPr>
          <w:rFonts w:hint="eastAsia"/>
        </w:rPr>
        <w:t>而不应让大家在原地等待。（</w:t>
      </w:r>
      <w:r>
        <w:t>4</w:t>
      </w:r>
      <w:r>
        <w:rPr>
          <w:rFonts w:hint="eastAsia"/>
        </w:rPr>
        <w:t>分）</w:t>
      </w:r>
    </w:p>
    <w:p w14:paraId="1B5C48DE">
      <w:pPr>
        <w:overflowPunct w:val="0"/>
        <w:ind w:firstLine="420" w:firstLineChars="200"/>
      </w:pPr>
    </w:p>
    <w:p w14:paraId="1FA38663">
      <w:pPr>
        <w:overflowPunct w:val="0"/>
        <w:ind w:firstLine="482" w:firstLineChars="200"/>
        <w:rPr>
          <w:b/>
          <w:bCs/>
        </w:rPr>
      </w:pPr>
      <w:r>
        <w:rPr>
          <w:rFonts w:hint="eastAsia" w:ascii="宋体" w:hAnsi="宋体" w:cs="宋体"/>
          <w:b/>
          <w:bCs/>
          <w:sz w:val="24"/>
          <w:szCs w:val="24"/>
        </w:rPr>
        <w:t>3.</w:t>
      </w:r>
      <w:r>
        <w:rPr>
          <w:rFonts w:hint="eastAsia"/>
          <w:b/>
          <w:bCs/>
        </w:rPr>
        <w:t>已经误车的处理</w:t>
      </w:r>
    </w:p>
    <w:p w14:paraId="5A3FC83F">
      <w:pPr>
        <w:overflowPunct w:val="0"/>
        <w:ind w:firstLine="420" w:firstLineChars="200"/>
      </w:pPr>
      <w:r>
        <w:rPr>
          <w:rFonts w:hint="eastAsia"/>
        </w:rPr>
        <w:t>①地陪导游应立即向旅行社领导及有关部门</w:t>
      </w:r>
      <w:r>
        <w:t>]</w:t>
      </w:r>
      <w:r>
        <w:rPr>
          <w:rFonts w:hint="eastAsia"/>
        </w:rPr>
        <w:t>报告并请求协助。（</w:t>
      </w:r>
      <w:r>
        <w:t>4</w:t>
      </w:r>
      <w:r>
        <w:rPr>
          <w:rFonts w:hint="eastAsia"/>
        </w:rPr>
        <w:t>分）</w:t>
      </w:r>
    </w:p>
    <w:p w14:paraId="23238C26">
      <w:pPr>
        <w:overflowPunct w:val="0"/>
        <w:ind w:firstLine="420" w:firstLineChars="200"/>
      </w:pPr>
      <w:r>
        <w:rPr>
          <w:rFonts w:hint="eastAsia"/>
        </w:rPr>
        <w:t>②地陪导游和旅行社要尽快与机场</w:t>
      </w:r>
      <w:r>
        <w:t>(</w:t>
      </w:r>
      <w:r>
        <w:rPr>
          <w:rFonts w:hint="eastAsia"/>
        </w:rPr>
        <w:t>车站、码头</w:t>
      </w:r>
      <w:r>
        <w:t>)</w:t>
      </w:r>
      <w:r>
        <w:rPr>
          <w:rFonts w:hint="eastAsia"/>
        </w:rPr>
        <w:t>联系，争取让旅游者乖最近班次的交通工具离开本站，或采取包机</w:t>
      </w:r>
      <w:r>
        <w:t>(</w:t>
      </w:r>
      <w:r>
        <w:rPr>
          <w:rFonts w:hint="eastAsia"/>
        </w:rPr>
        <w:t>车厢、船</w:t>
      </w:r>
      <w:r>
        <w:t>)</w:t>
      </w:r>
      <w:r>
        <w:rPr>
          <w:rFonts w:hint="eastAsia"/>
        </w:rPr>
        <w:t>或改乘其他交通工具前往下一站。（</w:t>
      </w:r>
      <w:r>
        <w:t>4</w:t>
      </w:r>
      <w:r>
        <w:rPr>
          <w:rFonts w:hint="eastAsia"/>
        </w:rPr>
        <w:t>分）</w:t>
      </w:r>
    </w:p>
    <w:p w14:paraId="69504450">
      <w:pPr>
        <w:overflowPunct w:val="0"/>
        <w:ind w:firstLine="420" w:firstLineChars="200"/>
      </w:pPr>
      <w:r>
        <w:rPr>
          <w:rFonts w:hint="eastAsia"/>
        </w:rPr>
        <w:t>③稳定旅游者的情绪</w:t>
      </w:r>
      <w:r>
        <w:t>,</w:t>
      </w:r>
      <w:r>
        <w:rPr>
          <w:rFonts w:hint="eastAsia"/>
        </w:rPr>
        <w:t>安排好在当地滞留期间的食宿、游览等事宜。（</w:t>
      </w:r>
      <w:r>
        <w:t>4</w:t>
      </w:r>
      <w:r>
        <w:rPr>
          <w:rFonts w:hint="eastAsia"/>
        </w:rPr>
        <w:t>分）</w:t>
      </w:r>
    </w:p>
    <w:p w14:paraId="3A6E42E1">
      <w:pPr>
        <w:overflowPunct w:val="0"/>
        <w:ind w:firstLine="420" w:firstLineChars="200"/>
      </w:pPr>
      <w:r>
        <w:rPr>
          <w:rFonts w:hint="eastAsia"/>
        </w:rPr>
        <w:t>④及时通知下一站，对日程做相应的调整。（</w:t>
      </w:r>
      <w:r>
        <w:t>4</w:t>
      </w:r>
      <w:r>
        <w:rPr>
          <w:rFonts w:hint="eastAsia"/>
        </w:rPr>
        <w:t>分）</w:t>
      </w:r>
    </w:p>
    <w:p w14:paraId="34B3727E">
      <w:pPr>
        <w:overflowPunct w:val="0"/>
        <w:ind w:firstLine="420" w:firstLineChars="200"/>
      </w:pPr>
      <w:r>
        <w:rPr>
          <w:rFonts w:hint="eastAsia"/>
        </w:rPr>
        <w:t>⑤安排好离开本地前的游览活动（</w:t>
      </w:r>
      <w:r>
        <w:t>2</w:t>
      </w:r>
      <w:r>
        <w:rPr>
          <w:rFonts w:hint="eastAsia"/>
        </w:rPr>
        <w:t>分）</w:t>
      </w:r>
    </w:p>
    <w:p w14:paraId="5FABFF3B">
      <w:pPr>
        <w:overflowPunct w:val="0"/>
        <w:ind w:firstLine="420" w:firstLineChars="200"/>
      </w:pPr>
    </w:p>
    <w:p w14:paraId="379B9D1D">
      <w:pPr>
        <w:overflowPunct w:val="0"/>
        <w:ind w:firstLine="482" w:firstLineChars="200"/>
        <w:rPr>
          <w:b/>
          <w:bCs/>
        </w:rPr>
      </w:pPr>
      <w:r>
        <w:rPr>
          <w:rFonts w:hint="eastAsia" w:ascii="宋体" w:hAnsi="宋体" w:cs="宋体"/>
          <w:b/>
          <w:bCs/>
          <w:sz w:val="24"/>
          <w:szCs w:val="24"/>
        </w:rPr>
        <w:t>4.</w:t>
      </w:r>
      <w:r>
        <w:rPr>
          <w:rFonts w:hint="eastAsia"/>
          <w:b/>
          <w:bCs/>
        </w:rPr>
        <w:t>如何避免此类事故再次发生。</w:t>
      </w:r>
    </w:p>
    <w:p w14:paraId="4E579687">
      <w:pPr>
        <w:overflowPunct w:val="0"/>
        <w:ind w:firstLine="420" w:firstLineChars="200"/>
      </w:pPr>
      <w:r>
        <w:rPr>
          <w:rFonts w:hint="eastAsia"/>
        </w:rPr>
        <w:t>①认真核实机（车、船）票的班次（车次、船次）、日期、时间及在哪个机场（车站、码头）乘机（车、船）等。（</w:t>
      </w:r>
      <w:r>
        <w:t>4</w:t>
      </w:r>
      <w:r>
        <w:rPr>
          <w:rFonts w:hint="eastAsia"/>
        </w:rPr>
        <w:t>分）</w:t>
      </w:r>
    </w:p>
    <w:p w14:paraId="52DD7E27">
      <w:pPr>
        <w:overflowPunct w:val="0"/>
        <w:ind w:firstLine="420" w:firstLineChars="200"/>
      </w:pPr>
      <w:r>
        <w:rPr>
          <w:rFonts w:hint="eastAsia"/>
        </w:rPr>
        <w:t>②如果票据未落实，接团期间应随时与地接社有关人员保持联系。没有行李车的旅游团在拿到票据核实无误后，地陪导游应立即将其交到全陪导游或旅游者手中。（</w:t>
      </w:r>
      <w:r>
        <w:t>4</w:t>
      </w:r>
      <w:r>
        <w:rPr>
          <w:rFonts w:hint="eastAsia"/>
        </w:rPr>
        <w:t>分）</w:t>
      </w:r>
    </w:p>
    <w:p w14:paraId="1D7E994B">
      <w:pPr>
        <w:overflowPunct w:val="0"/>
        <w:ind w:firstLine="420" w:firstLineChars="200"/>
      </w:pPr>
      <w:r>
        <w:rPr>
          <w:rFonts w:hint="eastAsia"/>
        </w:rPr>
        <w:t>③离开当天不要安排旅游团到地域复杂、偏远的景点参观游览，不要安排自由活动。（</w:t>
      </w:r>
      <w:r>
        <w:t>4</w:t>
      </w:r>
      <w:r>
        <w:rPr>
          <w:rFonts w:hint="eastAsia"/>
        </w:rPr>
        <w:t>分）</w:t>
      </w:r>
    </w:p>
    <w:p w14:paraId="7F1FDE59">
      <w:pPr>
        <w:overflowPunct w:val="0"/>
        <w:ind w:firstLine="420" w:firstLineChars="200"/>
      </w:pPr>
      <w:r>
        <w:rPr>
          <w:rFonts w:hint="eastAsia"/>
        </w:rPr>
        <w:t>④留有充足的时间去机场、车站、码头</w:t>
      </w:r>
      <w:r>
        <w:t>,</w:t>
      </w:r>
      <w:r>
        <w:rPr>
          <w:rFonts w:hint="eastAsia"/>
        </w:rPr>
        <w:t>要考虑到交通堵塞或突发事件等因素。（</w:t>
      </w:r>
      <w:r>
        <w:t>4</w:t>
      </w:r>
      <w:r>
        <w:rPr>
          <w:rFonts w:hint="eastAsia"/>
        </w:rPr>
        <w:t>分）</w:t>
      </w:r>
    </w:p>
    <w:p w14:paraId="36A4DBC9">
      <w:pPr>
        <w:overflowPunct w:val="0"/>
        <w:ind w:firstLine="420" w:firstLineChars="200"/>
      </w:pPr>
      <w:r>
        <w:rPr>
          <w:rFonts w:hint="eastAsia"/>
        </w:rPr>
        <w:t>⑤保证按规定的时间到达机场、车站或码头。乘国内航班，提前</w:t>
      </w:r>
      <w:r>
        <w:t>2</w:t>
      </w:r>
      <w:r>
        <w:rPr>
          <w:rFonts w:hint="eastAsia"/>
        </w:rPr>
        <w:t>小时到达机场</w:t>
      </w:r>
      <w:r>
        <w:t>;</w:t>
      </w:r>
      <w:r>
        <w:rPr>
          <w:rFonts w:hint="eastAsia"/>
        </w:rPr>
        <w:t>乘国际航班出境，提前</w:t>
      </w:r>
      <w:r>
        <w:t>3</w:t>
      </w:r>
      <w:r>
        <w:rPr>
          <w:rFonts w:hint="eastAsia"/>
        </w:rPr>
        <w:t>小时到达机场</w:t>
      </w:r>
      <w:r>
        <w:t>:</w:t>
      </w:r>
      <w:r>
        <w:rPr>
          <w:rFonts w:hint="eastAsia"/>
        </w:rPr>
        <w:t>乘火车或轮船</w:t>
      </w:r>
      <w:r>
        <w:t>.</w:t>
      </w:r>
      <w:r>
        <w:rPr>
          <w:rFonts w:hint="eastAsia"/>
        </w:rPr>
        <w:t>提前</w:t>
      </w:r>
      <w:r>
        <w:t>1</w:t>
      </w:r>
      <w:r>
        <w:rPr>
          <w:rFonts w:hint="eastAsia"/>
        </w:rPr>
        <w:t>小时到达火车站或码头。（</w:t>
      </w:r>
      <w:r>
        <w:t>4</w:t>
      </w:r>
      <w:r>
        <w:rPr>
          <w:rFonts w:hint="eastAsia"/>
        </w:rPr>
        <w:t>分）</w:t>
      </w:r>
    </w:p>
    <w:p w14:paraId="4BCDFDC9">
      <w:pPr>
        <w:overflowPunct w:val="0"/>
        <w:ind w:firstLine="420" w:firstLineChars="200"/>
      </w:pPr>
    </w:p>
    <w:p w14:paraId="3687F530">
      <w:pPr>
        <w:overflowPunct w:val="0"/>
        <w:ind w:firstLine="420" w:firstLineChars="200"/>
      </w:pPr>
    </w:p>
    <w:p w14:paraId="2856F826">
      <w:pPr>
        <w:overflowPunct w:val="0"/>
        <w:ind w:firstLine="420" w:firstLineChars="200"/>
      </w:pPr>
    </w:p>
    <w:p w14:paraId="00137B7E">
      <w:pPr>
        <w:overflowPunct w:val="0"/>
        <w:ind w:firstLine="420" w:firstLineChars="200"/>
      </w:pPr>
    </w:p>
    <w:p w14:paraId="3F67896D">
      <w:pPr>
        <w:overflowPunct w:val="0"/>
        <w:ind w:firstLine="420" w:firstLineChars="200"/>
      </w:pPr>
    </w:p>
    <w:p w14:paraId="6831CFDE">
      <w:pPr>
        <w:overflowPunct w:val="0"/>
        <w:ind w:firstLine="420" w:firstLineChars="200"/>
      </w:pPr>
    </w:p>
    <w:p w14:paraId="5B04EBC6">
      <w:pPr>
        <w:overflowPunct w:val="0"/>
        <w:ind w:firstLine="420" w:firstLineChars="200"/>
      </w:pPr>
    </w:p>
    <w:p w14:paraId="4AB7A89C">
      <w:pPr>
        <w:overflowPunct w:val="0"/>
        <w:ind w:firstLine="420" w:firstLineChars="200"/>
      </w:pPr>
    </w:p>
    <w:p w14:paraId="1E64D14B">
      <w:pPr>
        <w:overflowPunct w:val="0"/>
        <w:ind w:firstLine="420" w:firstLineChars="200"/>
      </w:pPr>
    </w:p>
    <w:p w14:paraId="262C2C35">
      <w:pPr>
        <w:overflowPunct w:val="0"/>
        <w:ind w:firstLine="420" w:firstLineChars="200"/>
      </w:pPr>
    </w:p>
    <w:p w14:paraId="02F18632">
      <w:pPr>
        <w:overflowPunct w:val="0"/>
        <w:ind w:firstLine="420" w:firstLineChars="200"/>
      </w:pPr>
    </w:p>
    <w:p w14:paraId="0F553134">
      <w:pPr>
        <w:overflowPunct w:val="0"/>
        <w:ind w:firstLine="420" w:firstLineChars="200"/>
      </w:pPr>
    </w:p>
    <w:p w14:paraId="45391B78">
      <w:pPr>
        <w:overflowPunct w:val="0"/>
        <w:ind w:firstLine="420" w:firstLineChars="200"/>
      </w:pPr>
    </w:p>
    <w:p w14:paraId="3EEB9E2D">
      <w:pPr>
        <w:overflowPunct w:val="0"/>
        <w:ind w:firstLine="420" w:firstLineChars="200"/>
      </w:pPr>
    </w:p>
    <w:p w14:paraId="701FF365">
      <w:pPr>
        <w:overflowPunct w:val="0"/>
        <w:ind w:firstLine="420" w:firstLineChars="200"/>
      </w:pPr>
    </w:p>
    <w:p w14:paraId="14C95BBC">
      <w:pPr>
        <w:overflowPunct w:val="0"/>
        <w:ind w:firstLine="420" w:firstLineChars="200"/>
      </w:pPr>
    </w:p>
    <w:sectPr>
      <w:footerReference r:id="rId5" w:type="first"/>
      <w:footerReference r:id="rId3" w:type="default"/>
      <w:footerReference r:id="rId4" w:type="even"/>
      <w:pgSz w:w="22110" w:h="15307" w:orient="landscape"/>
      <w:pgMar w:top="1134" w:right="1134" w:bottom="1134" w:left="1134" w:header="851" w:footer="737" w:gutter="567"/>
      <w:pgNumType w:start="1"/>
      <w:cols w:space="1050" w:num="2"/>
      <w:docGrid w:type="lines" w:linePitch="3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4C216">
    <w:pPr>
      <w:pStyle w:val="2"/>
      <w:jc w:val="center"/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4649B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31BB7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hint="eastAsia"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hint="eastAsia"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VerticalSpacing w:val="16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0ZjY1MWNjNmVmOGZkYzk3NjA4YTVjYTAwMWQ1MjYifQ=="/>
  </w:docVars>
  <w:rsids>
    <w:rsidRoot w:val="00EE0231"/>
    <w:rsid w:val="00016E1F"/>
    <w:rsid w:val="000819CA"/>
    <w:rsid w:val="00191524"/>
    <w:rsid w:val="001A7B46"/>
    <w:rsid w:val="002F2886"/>
    <w:rsid w:val="00343276"/>
    <w:rsid w:val="003B6018"/>
    <w:rsid w:val="00477310"/>
    <w:rsid w:val="004C63BA"/>
    <w:rsid w:val="005D239F"/>
    <w:rsid w:val="005D678B"/>
    <w:rsid w:val="00633EB7"/>
    <w:rsid w:val="00654AA7"/>
    <w:rsid w:val="006705D7"/>
    <w:rsid w:val="0070518F"/>
    <w:rsid w:val="008472B6"/>
    <w:rsid w:val="00870151"/>
    <w:rsid w:val="008F7528"/>
    <w:rsid w:val="00910763"/>
    <w:rsid w:val="00921710"/>
    <w:rsid w:val="00A07F72"/>
    <w:rsid w:val="00A82B16"/>
    <w:rsid w:val="00AB1FEB"/>
    <w:rsid w:val="00B67D7E"/>
    <w:rsid w:val="00B7548E"/>
    <w:rsid w:val="00B76AFE"/>
    <w:rsid w:val="00BD6CE6"/>
    <w:rsid w:val="00C326FA"/>
    <w:rsid w:val="00C57629"/>
    <w:rsid w:val="00C8344D"/>
    <w:rsid w:val="00D16284"/>
    <w:rsid w:val="00D50426"/>
    <w:rsid w:val="00D85FBE"/>
    <w:rsid w:val="00E45493"/>
    <w:rsid w:val="00EE0231"/>
    <w:rsid w:val="00F22848"/>
    <w:rsid w:val="00F41C40"/>
    <w:rsid w:val="00FB39AC"/>
    <w:rsid w:val="00FB68EF"/>
    <w:rsid w:val="02274762"/>
    <w:rsid w:val="039F3A5B"/>
    <w:rsid w:val="03D00C78"/>
    <w:rsid w:val="05B26787"/>
    <w:rsid w:val="06773F7D"/>
    <w:rsid w:val="09117976"/>
    <w:rsid w:val="0A0A6980"/>
    <w:rsid w:val="0A6C1B36"/>
    <w:rsid w:val="0C991C1E"/>
    <w:rsid w:val="0CAF0C2C"/>
    <w:rsid w:val="0D217A9E"/>
    <w:rsid w:val="0F8F5E78"/>
    <w:rsid w:val="12C04F8F"/>
    <w:rsid w:val="15385CFC"/>
    <w:rsid w:val="1579065B"/>
    <w:rsid w:val="164E3B3A"/>
    <w:rsid w:val="1B022784"/>
    <w:rsid w:val="1B164132"/>
    <w:rsid w:val="1DDB0F4B"/>
    <w:rsid w:val="20B70EFA"/>
    <w:rsid w:val="21537556"/>
    <w:rsid w:val="21C97F08"/>
    <w:rsid w:val="242547C6"/>
    <w:rsid w:val="2655055E"/>
    <w:rsid w:val="28BD5B96"/>
    <w:rsid w:val="28DF32FB"/>
    <w:rsid w:val="29C25288"/>
    <w:rsid w:val="2A02590B"/>
    <w:rsid w:val="2E0F5A32"/>
    <w:rsid w:val="2E8D23D3"/>
    <w:rsid w:val="2F8833EE"/>
    <w:rsid w:val="31237633"/>
    <w:rsid w:val="31DF4B84"/>
    <w:rsid w:val="337F40F9"/>
    <w:rsid w:val="34AC4EE5"/>
    <w:rsid w:val="3CBE2884"/>
    <w:rsid w:val="3CDE029E"/>
    <w:rsid w:val="3E8B1D42"/>
    <w:rsid w:val="3FB263D5"/>
    <w:rsid w:val="40BA692C"/>
    <w:rsid w:val="41ED3851"/>
    <w:rsid w:val="42306B23"/>
    <w:rsid w:val="425C77B1"/>
    <w:rsid w:val="44643799"/>
    <w:rsid w:val="44646EEA"/>
    <w:rsid w:val="450E264A"/>
    <w:rsid w:val="45554EAD"/>
    <w:rsid w:val="46AB7443"/>
    <w:rsid w:val="4A037055"/>
    <w:rsid w:val="4BB54437"/>
    <w:rsid w:val="4C513C42"/>
    <w:rsid w:val="4CC65A26"/>
    <w:rsid w:val="4E8E6C27"/>
    <w:rsid w:val="4F034F82"/>
    <w:rsid w:val="50E41A87"/>
    <w:rsid w:val="51ED0951"/>
    <w:rsid w:val="537E11EE"/>
    <w:rsid w:val="54A3032F"/>
    <w:rsid w:val="54BB139A"/>
    <w:rsid w:val="54CA6A15"/>
    <w:rsid w:val="56280872"/>
    <w:rsid w:val="56356D8C"/>
    <w:rsid w:val="57B31A7B"/>
    <w:rsid w:val="58A14202"/>
    <w:rsid w:val="59411991"/>
    <w:rsid w:val="5B16795E"/>
    <w:rsid w:val="5FEB6A84"/>
    <w:rsid w:val="612A6450"/>
    <w:rsid w:val="61F94066"/>
    <w:rsid w:val="63711334"/>
    <w:rsid w:val="63CB1242"/>
    <w:rsid w:val="69E85FF4"/>
    <w:rsid w:val="69F112C9"/>
    <w:rsid w:val="6A3D7393"/>
    <w:rsid w:val="6A6D1733"/>
    <w:rsid w:val="6C7234EF"/>
    <w:rsid w:val="6D102979"/>
    <w:rsid w:val="6D383167"/>
    <w:rsid w:val="70014200"/>
    <w:rsid w:val="7168281E"/>
    <w:rsid w:val="73CC4D3C"/>
    <w:rsid w:val="73E0550E"/>
    <w:rsid w:val="75F04F7B"/>
    <w:rsid w:val="7AD0389E"/>
    <w:rsid w:val="7BB366B7"/>
    <w:rsid w:val="7BEE4BCA"/>
    <w:rsid w:val="7F17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2"/>
    </w:rPr>
  </w:style>
  <w:style w:type="paragraph" w:customStyle="1" w:styleId="8">
    <w:name w:val="reader-word-layer reader-word-s1-10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9">
    <w:name w:val="Normal_1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customStyle="1" w:styleId="10">
    <w:name w:val="页脚 Char"/>
    <w:basedOn w:val="6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976</Words>
  <Characters>1049</Characters>
  <Lines>9</Lines>
  <Paragraphs>2</Paragraphs>
  <TotalTime>2</TotalTime>
  <ScaleCrop>false</ScaleCrop>
  <LinksUpToDate>false</LinksUpToDate>
  <CharactersWithSpaces>1150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2025-05-08T02:26:00Z</dcterms:created>
  <dc:creator>张苓萱</dc:creator>
  <cp:lastModifiedBy>Polaris.</cp:lastModifiedBy>
  <cp:lastPrinted>2025-05-27T01:15:00Z</cp:lastPrinted>
  <dcterms:modified xsi:type="dcterms:W3CDTF">2026-05-28T08:02:35Z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6A9CCE11FDDC4A0BBF8BD20336AB1373_13</vt:lpwstr>
  </property>
  <property fmtid="{D5CDD505-2E9C-101B-9397-08002B2CF9AE}" pid="4" name="KSOTemplateDocerSaveRecord">
    <vt:lpwstr>eyJoZGlkIjoiYjMyMzE4YmQwMGMyNTIzZmIzYjdlMTgxZDA0NTE3N2IiLCJ1c2VySWQiOiI3NDAzNDUwOTAifQ==</vt:lpwstr>
  </property>
</Properties>
</file>