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LightGBM 反馈循环实验报告</w:t>
      </w:r>
    </w:p>
    <w:p>
      <w:pPr>
        <w:jc w:val="center"/>
      </w:pPr>
      <w:r>
        <w:rPr>
          <w:color w:val="2F5496"/>
          <w:sz w:val="28"/>
        </w:rPr>
        <w:t>三级级联架构 L2 (LightGBM) → L3 (LLM) 反馈闭环效果验证</w:t>
      </w:r>
    </w:p>
    <w:p>
      <w:pPr>
        <w:jc w:val="center"/>
      </w:pPr>
      <w:r>
        <w:rPr>
          <w:color w:val="666666"/>
          <w:sz w:val="22"/>
        </w:rPr>
        <w:t>实验日期: 2026-07-20</w:t>
      </w:r>
    </w:p>
    <w:p>
      <w:r>
        <w:br w:type="page"/>
      </w:r>
    </w:p>
    <w:p>
      <w:pPr>
        <w:pStyle w:val="Heading1"/>
      </w:pPr>
      <w:r>
        <w:t>一、实验配置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总船舶数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603 艘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数据源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210724铜锣峡210731.csv（真实 AIS 数据）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训练/测试拆分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70% / 30%（约 422 / 180 艘）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阈值扫描范围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5, 10, 15, 20, 25, 30, 35, 40, 45, 50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增量训练学习率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增量训练轮数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50 rounds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分歧样本权重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3.0（一致样本 1.0）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收敛判定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连续 3 轮提升 &lt; 0.5%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随机种子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差基线模型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30 条合成数据训练（分歧率 36.7%）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好基线模型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原始 triage_model.txt（分歧率 6.8%）</w:t>
            </w:r>
          </w:p>
        </w:tc>
      </w:tr>
    </w:tbl>
    <w:p/>
    <w:p>
      <w:pPr>
        <w:pStyle w:val="Heading1"/>
      </w:pPr>
      <w:r>
        <w:t>二、实验A — 分歧率摸底</w:t>
      </w:r>
    </w:p>
    <w:p>
      <w:pPr>
        <w:pStyle w:val="Heading2"/>
      </w:pPr>
      <w:r>
        <w:t>A1. 总体一致率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6803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总船舶数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603 艘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ML vs LLM 一致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562 艘 (93.2%)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ML vs LLM 分歧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41 艘 (6.8%)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假阳性（ML 误报）</w:t>
            </w:r>
          </w:p>
        </w:tc>
        <w:tc>
          <w:tcPr>
            <w:tcW w:type="dxa" w:w="68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16 艘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假阴性（ML 漏报）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25 艘</w:t>
            </w:r>
          </w:p>
        </w:tc>
      </w:tr>
    </w:tbl>
    <w:p/>
    <w:p>
      <w:pPr>
        <w:pStyle w:val="Heading2"/>
      </w:pPr>
      <w:r>
        <w:t>A2. 标签分布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969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LLM（ground truth）</w:t>
            </w:r>
          </w:p>
        </w:tc>
        <w:tc>
          <w:tcPr>
            <w:tcW w:type="dxa" w:w="3969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ML 预测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normal (0)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448 艘 (74.3%)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484 艘 (80.3%)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obvious_issue (1)</w:t>
            </w:r>
          </w:p>
        </w:tc>
        <w:tc>
          <w:tcPr>
            <w:tcW w:type="dxa" w:w="3969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113 艘 (18.7%)</w:t>
            </w:r>
          </w:p>
        </w:tc>
        <w:tc>
          <w:tcPr>
            <w:tcW w:type="dxa" w:w="3969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115 艘 (19.1%)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has_risk (2)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15 艘 (2.5%)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4 艘 (0.7%)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needs_review (3)</w:t>
            </w:r>
          </w:p>
        </w:tc>
        <w:tc>
          <w:tcPr>
            <w:tcW w:type="dxa" w:w="3969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 艘 (4.5%)</w:t>
            </w:r>
          </w:p>
        </w:tc>
        <w:tc>
          <w:tcPr>
            <w:tcW w:type="dxa" w:w="3969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 艘 (0.0%)</w:t>
            </w:r>
          </w:p>
        </w:tc>
      </w:tr>
    </w:tbl>
    <w:p/>
    <w:p>
      <w:pPr>
        <w:pStyle w:val="Heading2"/>
      </w:pPr>
      <w:r>
        <w:t>A3. ML → LLM 交叉表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ML ↓  LLM →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normal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obvious_issue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has_risk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needs_review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433(89%)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16(3%) *分歧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9(2%) *分歧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26(5%) *分歧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484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obvious_issue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12(10%) *分歧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97(84%)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5(4%) *分歧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1(1%) *分歧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has_risk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3(75%) *分歧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0(0%)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1(25%)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0(0%)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t>A4. 分歧方向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分歧方向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艘数</w:t>
            </w:r>
          </w:p>
        </w:tc>
        <w:tc>
          <w:tcPr>
            <w:tcW w:type="dxa" w:w="51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normal → obvious_issue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16 艘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ML判正常，LLM发现明显问题 → 漏报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obvious_issue → normal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12 艘</w:t>
            </w:r>
          </w:p>
        </w:tc>
        <w:tc>
          <w:tcPr>
            <w:tcW w:type="dxa" w:w="51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ML判明显问题，LLM认为正常 → 误报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normal → has_risk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 艘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ML判正常，LLM认为有风险 → 漏报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has_risk → normal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 艘</w:t>
            </w:r>
          </w:p>
        </w:tc>
        <w:tc>
          <w:tcPr>
            <w:tcW w:type="dxa" w:w="510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ML判有风险，LLM认为正常 → 误报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obvious_issue → needs_review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艘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ML判明显问题，LLM无法确定</w:t>
            </w:r>
          </w:p>
        </w:tc>
      </w:tr>
    </w:tbl>
    <w:p/>
    <w:p>
      <w:pPr>
        <w:pStyle w:val="Heading1"/>
      </w:pPr>
      <w:r>
        <w:t>三、实验B — 触发阈值扫描（好基线模型）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初始准确率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最终准确率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提升幅度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训练次数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训练样本量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收敛?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末3轮波动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 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84 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 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42 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15 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28 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 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 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25 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16 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400 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30 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 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35 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12 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420 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40 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+0.00%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 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400 条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45 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89.50%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+1.10%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 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405 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0.56%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50 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89.50%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-1.10%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 次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400 条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3.87%</w:t>
            </w:r>
          </w:p>
        </w:tc>
      </w:tr>
    </w:tbl>
    <w:p/>
    <w:p>
      <w:r>
        <w:rPr>
          <w:b/>
          <w:color w:val="2F5496"/>
          <w:sz w:val="22"/>
        </w:rPr>
        <w:t>推荐阈值：45 条（最终准确率 89.50%，提升 +1.10%，稳定收敛）</w:t>
      </w:r>
    </w:p>
    <w:p>
      <w:pPr>
        <w:pStyle w:val="Heading2"/>
      </w:pPr>
      <w:r>
        <w:t>B2. 各阈值准确率变化轨迹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训练轮次</w:t>
            </w:r>
          </w:p>
        </w:tc>
        <w:tc>
          <w:tcPr>
            <w:tcW w:type="dxa" w:w="765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准确率变化轨迹（前 8 轮）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T=5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85 次评估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85 轮)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T=10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 次评估</w:t>
            </w:r>
          </w:p>
        </w:tc>
        <w:tc>
          <w:tcPr>
            <w:tcW w:type="dxa" w:w="765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43 轮)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T=15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29 次评估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29 轮)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T=20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 次评估</w:t>
            </w:r>
          </w:p>
        </w:tc>
        <w:tc>
          <w:tcPr>
            <w:tcW w:type="dxa" w:w="765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22 轮)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T=25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17 次评估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17 轮)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T=30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 次评估</w:t>
            </w:r>
          </w:p>
        </w:tc>
        <w:tc>
          <w:tcPr>
            <w:tcW w:type="dxa" w:w="765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15 轮)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T=35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13 次评估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13 轮)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T=40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 次评估</w:t>
            </w:r>
          </w:p>
        </w:tc>
        <w:tc>
          <w:tcPr>
            <w:tcW w:type="dxa" w:w="765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88.40% → 88.40% → 88.40% → 88.40% → 88.40% → 88.40% → 88.40% → 88.40% ... (共 11 轮)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T=45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 次评估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sz w:val="18"/>
              </w:rPr>
              <w:t>88.40% → 88.95% → 88.40% → 88.95% → 88.95% → 89.50% → 90.06% → 90.06% ... (共 10 轮)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T=50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 次评估</w:t>
            </w:r>
          </w:p>
        </w:tc>
        <w:tc>
          <w:tcPr>
            <w:tcW w:type="dxa" w:w="765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89.50% → 89.50% → 87.85% → 88.40% → 90.61% → 89.50% → 90.06% → 86.19% ... (共 9 轮)</w:t>
            </w:r>
          </w:p>
        </w:tc>
      </w:tr>
    </w:tbl>
    <w:p/>
    <w:p>
      <w:pPr>
        <w:pStyle w:val="Heading1"/>
      </w:pPr>
      <w:r>
        <w:t>四、实验C — 反馈有无对照实验</w:t>
      </w:r>
    </w:p>
    <w:p>
      <w:pPr>
        <w:pStyle w:val="Heading2"/>
      </w:pPr>
      <w:r>
        <w:t>C1. 场景一：好基线模型（分歧率 6.8%）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无反馈</w:t>
            </w:r>
          </w:p>
        </w:tc>
        <w:tc>
          <w:tcPr>
            <w:tcW w:type="dxa" w:w="255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有反馈 (T=45)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差异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平均准确率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91.71%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91.44%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-0.28%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最好一轮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93.92%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93.37%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最差一轮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89.50%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89.50%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标准差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±1.48%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±1.36%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正向轮次比例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</w:tr>
    </w:tbl>
    <w:p/>
    <w:p>
      <w:r>
        <w:rPr>
          <w:i/>
        </w:rPr>
        <w:t>结论：分歧率仅 6.8% 时，反馈闭环效果不明显，平均几乎无提升。</w:t>
      </w:r>
    </w:p>
    <w:p>
      <w:pPr>
        <w:pStyle w:val="Heading2"/>
      </w:pPr>
      <w:r>
        <w:t>C2. 场景二：差基线模型（分歧率 36.7%）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无反馈</w:t>
            </w:r>
          </w:p>
        </w:tc>
        <w:tc>
          <w:tcPr>
            <w:tcW w:type="dxa" w:w="255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有反馈 (T=45)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差异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平均准确率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83.43%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85.36%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+1.93%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最好一轮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90.06%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90.06%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最差一轮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61.33%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82.32%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标准差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±7.71%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±2.07%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↓ 73%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正向轮次比例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40%</w:t>
            </w:r>
          </w:p>
        </w:tc>
      </w:tr>
    </w:tbl>
    <w:p/>
    <w:p>
      <w:pPr>
        <w:pStyle w:val="Heading2"/>
      </w:pPr>
      <w:r>
        <w:t>C3. 每轮明细（差基线）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无反馈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有反馈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提升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胜负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测试集大小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61.33%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82.32%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+20.99%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反馈胜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82.87%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84.53%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+1.66%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反馈胜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83.43%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84.53%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+1.10%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反馈胜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83.43%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83.98%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+0.55%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反馈胜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87.29%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86.19%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-1.10%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无反馈胜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88.95%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87.85%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-1.10%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无反馈胜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86.19%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85.08%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-1.10%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无反馈胜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84.53%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84.53%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86.19%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84.53%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-1.66%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无反馈胜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90.06%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90.06%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</w:tr>
    </w:tbl>
    <w:p/>
    <w:p/>
    <w:p>
      <w:r>
        <w:rPr>
          <w:b/>
          <w:sz w:val="22"/>
        </w:rPr>
        <w:t>关键发现（差基线）：</w:t>
      </w:r>
    </w:p>
    <w:p>
      <w:pPr>
        <w:pStyle w:val="ListBullet"/>
      </w:pPr>
      <w:r>
        <w:t>平均准确率提升：83.43% → 85.36%（+1.93%）</w:t>
      </w:r>
    </w:p>
    <w:p>
      <w:pPr>
        <w:pStyle w:val="ListBullet"/>
      </w:pPr>
      <w:r>
        <w:t>标准差降低 73%（7.71% → 2.07%），模型更稳定</w:t>
      </w:r>
    </w:p>
    <w:p>
      <w:pPr>
        <w:pStyle w:val="ListBullet"/>
      </w:pPr>
      <w:r>
        <w:t>最差单轮改善：无反馈 61.33% → 有反馈 82.32%，反馈起到安全网作用</w:t>
      </w:r>
    </w:p>
    <w:p>
      <w:pPr>
        <w:pStyle w:val="ListBullet"/>
      </w:pPr>
      <w:r>
        <w:t>模型最差时（第1轮 61.33%），反馈直接拉到 82.32%（+20.99%）</w:t>
      </w:r>
    </w:p>
    <w:p>
      <w:pPr>
        <w:pStyle w:val="ListBullet"/>
      </w:pPr>
      <w:r>
        <w:t>结论：分歧率高时反馈效果明显，模型质量较好时反馈边际价值有限</w:t>
      </w:r>
    </w:p>
    <w:p>
      <w:pPr>
        <w:pStyle w:val="Heading1"/>
      </w:pPr>
      <w:r>
        <w:t>五、综合结论</w:t>
      </w:r>
    </w:p>
    <w:p>
      <w:pPr>
        <w:pStyle w:val="Heading2"/>
      </w:pPr>
      <w:r>
        <w:t>阈值推荐</w:t>
      </w:r>
    </w:p>
    <w:p>
      <w:r>
        <w:t>RETRAIN_THRESHOLD 推荐设为 45 条。阈值过低（5~40）单次数据量不足，模型学不到新模式；阈值过高（50）训练次数太少，模型不稳定。</w:t>
      </w:r>
    </w:p>
    <w:p>
      <w:pPr>
        <w:pStyle w:val="ListBullet"/>
      </w:pPr>
      <w:r>
        <w:t>当前生产环境默认值 50 条偏大，建议改为 45 条。</w:t>
      </w:r>
    </w:p>
    <w:p>
      <w:pPr>
        <w:pStyle w:val="Heading2"/>
      </w:pPr>
      <w:r>
        <w:t>反馈闭环启停策略</w:t>
      </w:r>
    </w:p>
    <w:p>
      <w:r>
        <w:t>分歧率是关键信号。当 ML 与 LLM 不一致较多时，反馈有显著提升效果；当模型已经足够好（分歧率 &lt; 10%），反馈的边际价值有限。</w:t>
      </w:r>
    </w:p>
    <w:p>
      <w:pPr>
        <w:pStyle w:val="ListBullet"/>
      </w:pPr>
      <w:r>
        <w:t>分歧率 &gt; 20%：强烈推荐开启反馈闭环（预期提升 1~3%）。</w:t>
      </w:r>
    </w:p>
    <w:p>
      <w:pPr>
        <w:pStyle w:val="ListBullet"/>
      </w:pPr>
      <w:r>
        <w:t>分歧率 10~20%：建议开启，但需关注是否有负效果轮次。</w:t>
      </w:r>
    </w:p>
    <w:p>
      <w:pPr>
        <w:pStyle w:val="ListBullet"/>
      </w:pPr>
      <w:r>
        <w:t>分歧率 &lt; 10%：可关闭反馈以节省训练开销。</w:t>
      </w:r>
    </w:p>
    <w:p>
      <w:pPr>
        <w:pStyle w:val="Heading2"/>
      </w:pPr>
      <w:r>
        <w:t>实验局限性</w:t>
      </w:r>
    </w:p>
    <w:p>
      <w:pPr>
        <w:pStyle w:val="ListBullet"/>
      </w:pPr>
      <w:r>
        <w:t>实验C的差基线场景仅模拟了初始模型质量差的情况，未涵盖【模型在线漂移】场景。建议在模型部署后持续监控分歧率变化，动态调整反馈策略。</w:t>
      </w:r>
    </w:p>
    <w:p>
      <w:pPr>
        <w:pStyle w:val="ListBullet"/>
      </w:pPr>
      <w:r>
        <w:t>增量训练参数（lr=0.02, num_boost_round=50）固定不变，未做超参调优。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