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6AAE9D5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 w:rsidRPr="00694572">
        <w:rPr>
          <w:rFonts w:hint="eastAsia"/>
        </w:rPr>
        <w:t xml:space="preserve"> </w:t>
      </w:r>
      <w:r w:rsidRPr="00B9173B">
        <w:rPr>
          <w:rFonts w:hint="eastAsia"/>
        </w:rPr>
        <w:t xml:space="preserve">  </w:t>
      </w:r>
      <w:r w:rsidR="00694572" w:rsidRPr="00B9173B">
        <w:rPr>
          <w:rFonts w:hint="eastAsia"/>
        </w:rPr>
        <w:t xml:space="preserve">                       </w:t>
      </w:r>
      <w:r w:rsidRPr="00B9173B">
        <w:rPr>
          <w:rFonts w:hint="eastAsia"/>
        </w:rPr>
        <w:t xml:space="preserve">           </w:t>
      </w:r>
      <w:r w:rsidR="00AE0DF4" w:rsidRPr="00B9173B">
        <w:rPr>
          <w:rFonts w:hint="eastAsia"/>
        </w:rPr>
        <w:t xml:space="preserve">  </w:t>
      </w:r>
      <w:r w:rsidR="00AE0DF4" w:rsidRPr="00694572">
        <w:rPr>
          <w:rFonts w:hint="eastAsia"/>
        </w:rPr>
        <w:t xml:space="preserve">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 w:rsidRPr="00FC2B91">
        <w:rPr>
          <w:rFonts w:hint="eastAsia"/>
        </w:rPr>
        <w:t xml:space="preserve">  </w:t>
      </w:r>
      <w:r w:rsidR="00FC2B91">
        <w:rPr>
          <w:rFonts w:hint="eastAsia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 w:rsidR="00FC2B91">
        <w:rPr>
          <w:rFonts w:hint="eastAsia"/>
        </w:rPr>
        <w:t xml:space="preserve">     </w:t>
      </w:r>
      <w:r>
        <w:rPr>
          <w:rFonts w:ascii="宋体" w:eastAsia="楷体_GB2312" w:hAnsi="宋体" w:hint="eastAsia"/>
          <w:sz w:val="30"/>
          <w:szCs w:val="30"/>
        </w:rPr>
        <w:t>月</w:t>
      </w:r>
      <w:r w:rsidR="00FC2B91">
        <w:rPr>
          <w:rFonts w:hint="eastAsia"/>
        </w:rPr>
        <w:t xml:space="preserve">  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proofErr w:type="gramStart"/>
      <w:r>
        <w:rPr>
          <w:rFonts w:hint="eastAsia"/>
        </w:rPr>
        <w:t>图注表注的</w:t>
      </w:r>
      <w:proofErr w:type="gramEnd"/>
      <w:r>
        <w:rPr>
          <w:rFonts w:hint="eastAsia"/>
        </w:rPr>
        <w:t>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FC2B91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5pt;height:281.3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FC2B91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6.95pt;height:184.4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34F60B" w14:textId="77777777" w:rsidR="00F46B54" w:rsidRDefault="00F46B54" w:rsidP="00833C1A"/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proofErr w:type="gramStart"/>
      <w:r>
        <w:rPr>
          <w:rFonts w:hint="eastAsia"/>
        </w:rPr>
        <w:t>陈拾菊</w:t>
      </w:r>
      <w:proofErr w:type="gramEnd"/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proofErr w:type="gramStart"/>
      <w:r w:rsidRPr="000E3252">
        <w:rPr>
          <w:rFonts w:hint="eastAsia"/>
        </w:rPr>
        <w:t>张林琳</w:t>
      </w:r>
      <w:proofErr w:type="gramEnd"/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B3D55" w14:textId="77777777" w:rsidR="00F6698E" w:rsidRDefault="00F6698E">
      <w:r>
        <w:separator/>
      </w:r>
    </w:p>
  </w:endnote>
  <w:endnote w:type="continuationSeparator" w:id="0">
    <w:p w14:paraId="640DD61C" w14:textId="77777777" w:rsidR="00F6698E" w:rsidRDefault="00F6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A1B6C" w14:textId="77777777" w:rsidR="00F6698E" w:rsidRDefault="00F6698E">
      <w:r>
        <w:separator/>
      </w:r>
    </w:p>
  </w:footnote>
  <w:footnote w:type="continuationSeparator" w:id="0">
    <w:p w14:paraId="676B0051" w14:textId="77777777" w:rsidR="00F6698E" w:rsidRDefault="00F66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247</TotalTime>
  <Pages>15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7180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38</cp:revision>
  <cp:lastPrinted>1899-12-31T16:00:00Z</cp:lastPrinted>
  <dcterms:created xsi:type="dcterms:W3CDTF">2024-05-14T08:37:00Z</dcterms:created>
  <dcterms:modified xsi:type="dcterms:W3CDTF">2024-05-14T14:54:00Z</dcterms:modified>
</cp:coreProperties>
</file>