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In what ways is the long history of Indigenous occupation of lowland South America relevant to understanding Portuguese conquest and colonization?</w:t>
      </w:r>
    </w:p>
    <w:p w:rsidR="00000000" w:rsidDel="00000000" w:rsidP="00000000" w:rsidRDefault="00000000" w:rsidRPr="00000000" w14:paraId="00000002">
      <w:pPr>
        <w:jc w:val="center"/>
        <w:rPr/>
      </w:pPr>
      <w:r w:rsidDel="00000000" w:rsidR="00000000" w:rsidRPr="00000000">
        <w:rPr>
          <w:rtl w:val="0"/>
        </w:rPr>
        <w:t xml:space="preserve">Ali Zia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firstLine="720"/>
        <w:rPr/>
      </w:pPr>
      <w:r w:rsidDel="00000000" w:rsidR="00000000" w:rsidRPr="00000000">
        <w:rPr>
          <w:rtl w:val="0"/>
        </w:rPr>
        <w:t xml:space="preserve">The Portuguese colonization of lowland South America is often portrayed as a process that imposed foreign systems of governance and societal organization on a diverse array of Indigenous communities, with the assumption that there existed few sophisticated social, political, and cultural structures to begin with. Popular narratives of Indigenous history in this region sometimes position the Portuguese conquest of these lands as the starting point of their historical significance. However, a closer examination of the history of communities in lowland South America, along with the complexities of their interactions with the Portuguese, emphasize how certain examples of Portuguese colonization reflect an incorporation of Portuguese culture into already developed Indigenous communities, both with and without violence.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ab/>
        <w:t xml:space="preserve">A primary aspect of the incorporative nature of Portuguese culture into Indigenous communities is evident in the idea of Indigenous political motives. It is often believed that Indigenous communities in countries such as Brazil were uncontacted and unaware of other civilizations around them. By approaching the narrative of colonial history with this lens, the discussion often transitions into the Portuguese being the force that introduced political dynamics to these communities. Rather, evidence points to the history of Indigenous communities such as the Tupiniquim in Brazil and their interactions with the Portuguese as something that not only benefited the Portuguese, but also served as a political tool by the Tupiniquim people. Instead of the Indigenous narrative being restricted to inactive, insular tribes, many historians adopt a perspective of the Indigenous “participating as active agents of change, both before and after European contact” (Heckenberger and Neves 260). Sallum et. al’s </w:t>
      </w:r>
      <w:r w:rsidDel="00000000" w:rsidR="00000000" w:rsidRPr="00000000">
        <w:rPr>
          <w:i w:val="1"/>
          <w:iCs w:val="1"/>
          <w:rtl w:val="0"/>
        </w:rPr>
        <w:t xml:space="preserve">An Archaeology of Colonialism and the Persistence of Women Potters’ Practices in Brazil: From Tupiniquim to Paulistaware </w:t>
      </w:r>
      <w:r w:rsidDel="00000000" w:rsidR="00000000" w:rsidRPr="00000000">
        <w:rPr>
          <w:rtl w:val="0"/>
        </w:rPr>
        <w:t xml:space="preserve">tackles the history of how Portuguese culture was adopted by the Tupiniquim in their pottery as the Indigenous and Portuguese in this area of Brazil drew closer politically. The article explains that “the Portuguese settled in this region due to a political alliance with part of the Tupiniquim population, which enhanced the strategic interests of both parties intensifying the war outside their territories” (Sallum et. al 2). This suggests that Indigenous communities in South America were already privy to ongoing tribal disputes, and saw the Portuguese as merely another possible ally whose support could help them advance their political control over the Tupinamba region. The Portuguese seemed to agree to this allyship in hopes of potentially capturing slaves as a result of battle. The Tupiniquim people seemed to have a similar motive, as “the alliance worked to combat and enslave “enemy” indigenous peoples, as well as to expand a regional economy integrated into the Atlantic system” (Sallum et. al 4). These diplomatic ties “began with negotiations between Tupiniquim and Portuguese, based on indigenous policies of reciprocity”, suggesting that the Portuguese had to adapt to Indigenous political systems to ensure their colonial success (Sallum et. al 5). It was even noted that the Tupiniquim were particularly politically motivated, as “the Tupiniquim were among the “more political” Indigenous people in Brazil” (Sallum et. al 10). The article then goes deeper into this principle of interaction with the outside world in Tupí thought, citing “the Other”, a philosophical concept of valuing relationships with those outside of a community, even if it is the enemy (Sallum et. al 5). This idea of allyship for political and spiritual gain reflects a deeply complex political history that already existed among the Tupí before colonization, repositioning the Portuguese as simply one actor in Indigenous history rather than the source of Indigenous politics. The notion that colonization was initially seen as a political act rather than just imperialism contextualizes why groups such as the Tupí cooperated with the Portuguese during their conquest. In addition, along the coast of Brazil, trade and politics were defining relationships across tribes despite language barriers. Early accounts of these communities make note of materials such as “jadeite, which passed from tribe to tribe along the coast of Brazil, “golden objects brought down to the Negro and Solimões by the energetic Manaus” and “wood for bows that the Waitacá of the mouth of the Paraíba acquired from inland tribes in return for their dried fish”, suggesting a complex trade pipeline that existed before Portuguese intervention (Bethell 128). Ultimately, the already nuanced political climate of areas such as Indigenous Brazil led to the Portuguese operating as political actors with their own economic a</w:t>
      </w:r>
      <w:r w:rsidDel="00000000" w:rsidR="00000000" w:rsidRPr="00000000">
        <w:rPr>
          <w:rtl w:val="0"/>
        </w:rPr>
        <w:t xml:space="preserve">nd societal motives, working both for and against the communities they slowly erased. Furthermore, </w:t>
      </w:r>
      <w:r w:rsidDel="00000000" w:rsidR="00000000" w:rsidRPr="00000000">
        <w:rPr>
          <w:rtl w:val="0"/>
        </w:rPr>
        <w:t xml:space="preserve">Carlos Fausto’s </w:t>
      </w:r>
      <w:r w:rsidDel="00000000" w:rsidR="00000000" w:rsidRPr="00000000">
        <w:rPr>
          <w:i w:val="1"/>
          <w:iCs w:val="1"/>
          <w:rtl w:val="0"/>
        </w:rPr>
        <w:t xml:space="preserve">Os índios antes do brasil </w:t>
      </w:r>
      <w:r w:rsidDel="00000000" w:rsidR="00000000" w:rsidRPr="00000000">
        <w:rPr>
          <w:rtl w:val="0"/>
        </w:rPr>
        <w:t xml:space="preserve">puts forth evidence suggesting so</w:t>
      </w:r>
      <w:r w:rsidDel="00000000" w:rsidR="00000000" w:rsidRPr="00000000">
        <w:rPr>
          <w:rtl w:val="0"/>
        </w:rPr>
        <w:t xml:space="preserve">cial organization, hierarchy and politics present among Indigenous communities near those colonized by the Portuguese. While not in lowland South America, “in the northern Andes, a new type of social formation would appear, characterized by an initial development of political and religious centralization, class stratification and economic </w:t>
      </w:r>
      <w:r w:rsidDel="00000000" w:rsidR="00000000" w:rsidRPr="00000000">
        <w:rPr>
          <w:rtl w:val="0"/>
        </w:rPr>
        <w:t xml:space="preserve">intensification” (Fausto 13). </w:t>
      </w:r>
      <w:r w:rsidDel="00000000" w:rsidR="00000000" w:rsidRPr="00000000">
        <w:rPr>
          <w:rtl w:val="0"/>
        </w:rPr>
        <w:t xml:space="preserve">With this in mind, the politics and philosophies of Indigenous communities pre-colonization cannot be seen as merely existing as a means to interact with colonizers, with tribes being limited to “small-scale, dispersed villages” possessing no greater political role (Heckenberger and Neves 259). Rather, the evidence points to an already</w:t>
      </w:r>
      <w:r w:rsidDel="00000000" w:rsidR="00000000" w:rsidRPr="00000000">
        <w:rPr>
          <w:rtl w:val="0"/>
        </w:rPr>
        <w:t xml:space="preserve"> complex political system bound by ideas of kinship, economic relations, and even slavery, tying Indigenous history to the progression of Portuguese conquest.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ind w:left="0" w:firstLine="720"/>
        <w:rPr/>
      </w:pPr>
      <w:r w:rsidDel="00000000" w:rsidR="00000000" w:rsidRPr="00000000">
        <w:rPr>
          <w:rtl w:val="0"/>
        </w:rPr>
        <w:t xml:space="preserve">The technological work of South American Indigenous communities sheds further light on the process of Portuguese conquest and colonization, as the intricacies of Tupiniquim pottery suggest a period of cultural transfer. Despite the prevalence of certain pottery technology among the Portuguese, due to the pre-existing ceramic techniques of Indigenous communities, many Portuguese practices were integrated into Indigenous pottery rather than replacing it altogether. For example, “use of a potter’s wheel and low wheel were fundamental for raising the vessel among Portuguese, but they were not adopted in São Paulo, a place where molded bases and coiled walls” predominate (Sallum et. al 16). Much of the Tupiniquim pottery after the arrival of the Portuguese maintained similar construction techniques, while at the same time incorporating the circular designs and ribbed edges of Portuguese medieval pottery (Sallum et. al 18). The prevalence of Indigenous design that incorporates Portuguese style further suggests a cultural exchange between the Portuguese and Indigenous that predated efforts of erasure.  This artistic pattern suggests that “the Tupiniquim were neither tabula rasa nor submissive to the Portuguese” despite popular colonial narratives (Sallum et. al 20). Other tribes in the Amazon, such as the Omagua, were noted to possess pottery that “rivalled Chinese wares in delicacy and wealth of polychrome decoration” (Bethell 127). This technological complexity was not only found in pottery.  Many early explorers in lowland South America cite the “pristine myth”, the idea that South America was largely unexplored wilderness before the conquests of the Spanish and Portuguese (Denevan 13). Yet, evidence of ‘"highways" penetrating the forest from river bank villages and “several hundred thousand artificial mounds” in the Amazon emphasize the fact that Portuguese conquest did not introduce sophisticated technology to Indigenous peoples (Denevan 10-11). Furthermore, ceramic techniques among other tribes such as the Marajoara in Amazonia reflect similar meticulous craftsmanship with “no contemporary parallel in indigenous Amazonia,” although it does share similarities with other pre-colonial tribal work (Fausto 27). Early accounts of Indigenous Brazilian tribes, even by Portuguese colonialists, mention the technical skill that drove every aspect of Indigenous life. While metal tools were introduced by Europeans, all villagers “made their own personal belongings: baskets, hammocks, bows and arrows, feather and bead ornaments, simple tools, utensils and traps, canoes and, of course, the straw huts themselves,” making them “skilled artisans” (Bethell 125). Indigenous technology was already complex enough, such as in the case of pottery, highways, and daily tools, that it served similar diverse functions as what was already practiced by the Portuguese. These ideas emphasize the fact that Portuguese conquests were not simply the destruction of Indigenous life, but also required a complex cultural adjustment and intake of what already existed. As a result, the history of the Indigenous before the arrival of the Portuguese can be seen as part of the definition of Portuguese conquest, as the means for cultural and civil colonization by the Portuguese was dependent on a set of already complex and thriving Indigenous societies.</w:t>
      </w:r>
    </w:p>
    <w:p w:rsidR="00000000" w:rsidDel="00000000" w:rsidP="00000000" w:rsidRDefault="00000000" w:rsidRPr="00000000" w14:paraId="00000009">
      <w:pPr>
        <w:ind w:left="0" w:firstLine="720"/>
        <w:rPr/>
      </w:pPr>
      <w:r w:rsidDel="00000000" w:rsidR="00000000" w:rsidRPr="00000000">
        <w:rPr>
          <w:rtl w:val="0"/>
        </w:rPr>
      </w:r>
    </w:p>
    <w:p w:rsidR="00000000" w:rsidDel="00000000" w:rsidP="00000000" w:rsidRDefault="00000000" w:rsidRPr="00000000" w14:paraId="0000000A">
      <w:pPr>
        <w:ind w:left="0" w:firstLine="720"/>
        <w:rPr/>
      </w:pPr>
      <w:r w:rsidDel="00000000" w:rsidR="00000000" w:rsidRPr="00000000">
        <w:rPr>
          <w:rtl w:val="0"/>
        </w:rPr>
        <w:t xml:space="preserve">Another essential aspect of pre-colonial Indigenous life was the idea of record-keeping and the transmission of knowledge, whether it be through bookkeeping, oral history, mythological stories. While the contemporary narrative of Indigenous history began at the arrival of the Portuguese, evidence for recorded history of Indigenous South America by the Indigenous people themselves emphasizes the need to recenter the Indigenous narrative back onto those who lived it. A critical method of preserving cultural history among tribes such as the Guanabara Tupinamba was through legends and epics, defining both religious dialogues and political relations with the Portuguese (Bethell 125; Bethell 130). As mentioned previously, the oral tradition of preserving Tupiniquim culture via spiritual stories and cosmology could be interpreted as itself an assimilation tool, “perhaps with the desire to socially relate to the Portuguese and take ownership of their technologies” (Sallum et. al 7). Historians and archaeologists have also noted the importance of drawing on ecology and landscapes as a means to extract pre-colonial Indigenous history, stating that “indigenous and folk knowledge systems, including diverse forms of cultural and ecological memory, draw attention to the need for memory conservation” through nature conservation (Heckenberger and Neves 260). This emphasis on oral traditions, mythological narratives, and ecological memory demonstrates that Indigenous peoples actively engaged in sophisticated forms of historical documentation and knowledge preservation. For instance, the Tupinambá legends not only chronicled their interactions with the Portuguese but also encoded moral lessons and territorial claims, effectively functioning as both sociocultural and spiritual archives. Oral transmission was core to Indigenous preservation, as “tribal elders loved to narrate the legends of their ancestors” (Bethell 130). In fact, the Portuguese began to incorporate Abrahamic, monotheistic ideas into Indigenous narratives as they situated themselves among the Indigenous. One recorded legend notes that “Monan caused fire and flood to destroy the world before” and “Thunder was identified as the roar of a demon called Tupan — and the Jesuits, rather surprisingly, adopted Tupan as the Tupi translation of God” (Bethell 130). The fact that Indigenous religion and historical accounts were adapted to fit monotheistic European belief is further evidence for the Portuguese having to incorporate into an existing Indigenous history rather than writing it from scratch. These records challenge the Eurocentric idea that written documentation is the only valid form of historical preservation, instead advocating for a broader understanding of historical methodologies rooted in Indigenous epistemologies. This suggests an interplay between Indigenous and European worldviews, showing how Indigenous peoples shaped the historical record–written or spoken–rather than passively receiving it.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ind w:firstLine="720"/>
        <w:rPr/>
      </w:pPr>
      <w:r w:rsidDel="00000000" w:rsidR="00000000" w:rsidRPr="00000000">
        <w:rPr>
          <w:rtl w:val="0"/>
        </w:rPr>
        <w:t xml:space="preserve">By considering the vast history of tribes across lowland South America, the Portuguese colonization of this region cannot be understood solely as a simple imposition of European culture and governance onto passive societies. Instead, accounts of archaeology, pottery, and other aspects of Indigenous life illustrate a process that involved Indigenous cultural exchange and adoption, albeit alongside extreme violence. This allows room for a deeper analysis of the novel aspects of Indigenous culture which, at times, allowed for incorporation and coexistence of Portuguese values, helping historians better understand the Indigenous practices that persist in South America today. Indigenous communities like the Tupiniquim and Tupinambá were not entirely isolated or primitive but politically sophisticated, technologically advanced, and culturally rich. Their ability to engage in diplomacy, utilize trade networks, and preserve their knowledge through oral traditions and ecological/technological memory highlights the active role in lowland South America in shaping the Portuguese encounter.</w:t>
      </w:r>
      <w:r w:rsidDel="00000000" w:rsidR="00000000" w:rsidRPr="00000000">
        <w:br w:type="page"/>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Works Cited  </w:t>
      </w:r>
    </w:p>
    <w:p w:rsidR="00000000" w:rsidDel="00000000" w:rsidP="00000000" w:rsidRDefault="00000000" w:rsidRPr="00000000" w14:paraId="0000000E">
      <w:pPr>
        <w:spacing w:after="240" w:before="240" w:lineRule="auto"/>
        <w:ind w:left="720" w:hanging="720"/>
        <w:rPr/>
      </w:pPr>
      <w:r w:rsidDel="00000000" w:rsidR="00000000" w:rsidRPr="00000000">
        <w:rPr>
          <w:rtl w:val="0"/>
        </w:rPr>
        <w:t xml:space="preserve">Bethell, Leslie, ed. *The Cambridge History of Latin America*, Vols. 1 &amp; 2: </w:t>
      </w:r>
      <w:r w:rsidDel="00000000" w:rsidR="00000000" w:rsidRPr="00000000">
        <w:rPr>
          <w:i w:val="1"/>
          <w:iCs w:val="1"/>
          <w:rtl w:val="0"/>
        </w:rPr>
        <w:t xml:space="preserve">Colonial Latin America</w:t>
      </w:r>
      <w:r w:rsidDel="00000000" w:rsidR="00000000" w:rsidRPr="00000000">
        <w:rPr>
          <w:rtl w:val="0"/>
        </w:rPr>
        <w:t xml:space="preserve">. Cambridge University Press, 1984.  </w:t>
      </w:r>
    </w:p>
    <w:p w:rsidR="00000000" w:rsidDel="00000000" w:rsidP="00000000" w:rsidRDefault="00000000" w:rsidRPr="00000000" w14:paraId="0000000F">
      <w:pPr>
        <w:spacing w:after="240" w:before="240" w:lineRule="auto"/>
        <w:ind w:left="720"/>
        <w:rPr/>
      </w:pPr>
      <w:r w:rsidDel="00000000" w:rsidR="00000000" w:rsidRPr="00000000">
        <w:rPr>
          <w:rtl w:val="0"/>
        </w:rPr>
        <w:t xml:space="preserve">Denevan, William M. "The Pristine Myth: The Landscape of the Americas in 1492." </w:t>
      </w:r>
      <w:r w:rsidDel="00000000" w:rsidR="00000000" w:rsidRPr="00000000">
        <w:rPr>
          <w:i w:val="1"/>
          <w:iCs w:val="1"/>
          <w:rtl w:val="0"/>
        </w:rPr>
        <w:t xml:space="preserve">Annals of the Association of American Geographers</w:t>
      </w:r>
      <w:r w:rsidDel="00000000" w:rsidR="00000000" w:rsidRPr="00000000">
        <w:rPr>
          <w:rtl w:val="0"/>
        </w:rPr>
        <w:t xml:space="preserve">, vol. 82, no. 3, 1992, pp. 369–385.  </w:t>
      </w:r>
    </w:p>
    <w:p w:rsidR="00000000" w:rsidDel="00000000" w:rsidP="00000000" w:rsidRDefault="00000000" w:rsidRPr="00000000" w14:paraId="00000010">
      <w:pPr>
        <w:spacing w:after="240" w:before="240" w:lineRule="auto"/>
        <w:ind w:left="720" w:hanging="720"/>
        <w:rPr/>
      </w:pPr>
      <w:r w:rsidDel="00000000" w:rsidR="00000000" w:rsidRPr="00000000">
        <w:rPr>
          <w:rtl w:val="0"/>
        </w:rPr>
        <w:t xml:space="preserve">Fausto, Boris, and Sérgio Fausto. </w:t>
      </w:r>
      <w:r w:rsidDel="00000000" w:rsidR="00000000" w:rsidRPr="00000000">
        <w:rPr>
          <w:i w:val="1"/>
          <w:iCs w:val="1"/>
          <w:rtl w:val="0"/>
        </w:rPr>
        <w:t xml:space="preserve">A Concise History of Brazil</w:t>
      </w:r>
      <w:r w:rsidDel="00000000" w:rsidR="00000000" w:rsidRPr="00000000">
        <w:rPr>
          <w:rtl w:val="0"/>
        </w:rPr>
        <w:t xml:space="preserve">. Cambridge University Press, 2014.  </w:t>
      </w:r>
    </w:p>
    <w:p w:rsidR="00000000" w:rsidDel="00000000" w:rsidP="00000000" w:rsidRDefault="00000000" w:rsidRPr="00000000" w14:paraId="00000011">
      <w:pPr>
        <w:spacing w:after="240" w:before="240" w:lineRule="auto"/>
        <w:ind w:left="720" w:hanging="720"/>
        <w:rPr/>
      </w:pPr>
      <w:r w:rsidDel="00000000" w:rsidR="00000000" w:rsidRPr="00000000">
        <w:rPr>
          <w:rtl w:val="0"/>
        </w:rPr>
        <w:t xml:space="preserve">Fausto, Carlos. </w:t>
      </w:r>
      <w:r w:rsidDel="00000000" w:rsidR="00000000" w:rsidRPr="00000000">
        <w:rPr>
          <w:i w:val="1"/>
          <w:iCs w:val="1"/>
          <w:rtl w:val="0"/>
        </w:rPr>
        <w:t xml:space="preserve">Os Índios Antes do Brasil</w:t>
      </w:r>
      <w:r w:rsidDel="00000000" w:rsidR="00000000" w:rsidRPr="00000000">
        <w:rPr>
          <w:rtl w:val="0"/>
        </w:rPr>
        <w:t xml:space="preserve">. Jorge Zahar Editor, 2000.  </w:t>
      </w:r>
    </w:p>
    <w:p w:rsidR="00000000" w:rsidDel="00000000" w:rsidP="00000000" w:rsidRDefault="00000000" w:rsidRPr="00000000" w14:paraId="00000012">
      <w:pPr>
        <w:spacing w:after="240" w:before="240" w:lineRule="auto"/>
        <w:ind w:left="720" w:hanging="720"/>
        <w:rPr/>
      </w:pPr>
      <w:r w:rsidDel="00000000" w:rsidR="00000000" w:rsidRPr="00000000">
        <w:rPr>
          <w:rtl w:val="0"/>
        </w:rPr>
        <w:t xml:space="preserve">Heckenberger, Michael J., and Eduardo Góes Neves. "Amazonian Archaeology." </w:t>
      </w:r>
      <w:r w:rsidDel="00000000" w:rsidR="00000000" w:rsidRPr="00000000">
        <w:rPr>
          <w:i w:val="1"/>
          <w:iCs w:val="1"/>
          <w:rtl w:val="0"/>
        </w:rPr>
        <w:t xml:space="preserve">Annual Review of Anthropology</w:t>
      </w:r>
      <w:r w:rsidDel="00000000" w:rsidR="00000000" w:rsidRPr="00000000">
        <w:rPr>
          <w:rtl w:val="0"/>
        </w:rPr>
        <w:t xml:space="preserve">, vol. 38, 2009, pp. 251–266.  </w:t>
      </w:r>
    </w:p>
    <w:p w:rsidR="00000000" w:rsidDel="00000000" w:rsidP="00000000" w:rsidRDefault="00000000" w:rsidRPr="00000000" w14:paraId="00000013">
      <w:pPr>
        <w:spacing w:after="240" w:before="240" w:lineRule="auto"/>
        <w:ind w:left="720" w:hanging="720"/>
        <w:rPr/>
      </w:pPr>
      <w:r w:rsidDel="00000000" w:rsidR="00000000" w:rsidRPr="00000000">
        <w:rPr>
          <w:rtl w:val="0"/>
        </w:rPr>
        <w:t xml:space="preserve">Lopes, Reinaldo José. </w:t>
      </w:r>
      <w:r w:rsidDel="00000000" w:rsidR="00000000" w:rsidRPr="00000000">
        <w:rPr>
          <w:i w:val="1"/>
          <w:iCs w:val="1"/>
          <w:rtl w:val="0"/>
        </w:rPr>
        <w:t xml:space="preserve">1499: O Brasil Antes de Cabral</w:t>
      </w:r>
      <w:r w:rsidDel="00000000" w:rsidR="00000000" w:rsidRPr="00000000">
        <w:rPr>
          <w:rtl w:val="0"/>
        </w:rPr>
        <w:t xml:space="preserve">. HarperCollins Brasil, 2017.  </w:t>
      </w:r>
    </w:p>
    <w:p w:rsidR="00000000" w:rsidDel="00000000" w:rsidP="00000000" w:rsidRDefault="00000000" w:rsidRPr="00000000" w14:paraId="00000014">
      <w:pPr>
        <w:spacing w:after="240" w:before="240" w:lineRule="auto"/>
        <w:ind w:left="720" w:hanging="720"/>
        <w:rPr/>
      </w:pPr>
      <w:r w:rsidDel="00000000" w:rsidR="00000000" w:rsidRPr="00000000">
        <w:rPr>
          <w:rtl w:val="0"/>
        </w:rPr>
        <w:t xml:space="preserve">Sallum, Marianne, and Francisco Noelli. "An Archaeology of Colonialism and the Persistence of Women Potters’ Practices in Brazil: From Tupiniquim to Paulistaware." </w:t>
      </w:r>
      <w:r w:rsidDel="00000000" w:rsidR="00000000" w:rsidRPr="00000000">
        <w:rPr>
          <w:i w:val="1"/>
          <w:iCs w:val="1"/>
          <w:rtl w:val="0"/>
        </w:rPr>
        <w:t xml:space="preserve">International Journal of Historical Archaeology</w:t>
      </w:r>
      <w:r w:rsidDel="00000000" w:rsidR="00000000" w:rsidRPr="00000000">
        <w:rPr>
          <w:rtl w:val="0"/>
        </w:rPr>
        <w:t xml:space="preserve">, vol. 24, 2020, pp. 1–25.  </w:t>
      </w:r>
    </w:p>
    <w:p w:rsidR="00000000" w:rsidDel="00000000" w:rsidP="00000000" w:rsidRDefault="00000000" w:rsidRPr="00000000" w14:paraId="00000015">
      <w:pPr>
        <w:spacing w:after="240" w:before="240" w:lineRule="auto"/>
        <w:ind w:left="720" w:hanging="720"/>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Notes</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Translation counts as a paraphrase. For a translation, don't put the quotes</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Mixing evidence and reasoning is fine. </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Break the points down further into more paragraphs</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Be careful with back and forth. Try to segment pottery </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