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Were the Pombaline Reforms and associated efforts by the Portuguese empire successful in their aims?</w:t>
      </w:r>
    </w:p>
    <w:p w:rsidR="00000000" w:rsidDel="00000000" w:rsidP="00000000" w:rsidRDefault="00000000" w:rsidRPr="00000000" w14:paraId="00000002">
      <w:pPr>
        <w:jc w:val="center"/>
        <w:rPr/>
      </w:pPr>
      <w:r w:rsidDel="00000000" w:rsidR="00000000" w:rsidRPr="00000000">
        <w:rPr>
          <w:rtl w:val="0"/>
        </w:rPr>
        <w:t xml:space="preserve">Ali Zia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Pombaline Reforms, a series of policies enacted by Marquês de Pombal, was an initiative by the Portuguese empire to bring about self-sufficiency and adapt to cultural and political shifts during the Age of Enlightenment in 18th century Europe. The 1755 Lisbon earthquake and Portugal’s poor military performance in the Seven Years’ War revealed deep structural weaknesses in the empire, prompting urgent changes. This positioned Pombal’s reforms as a method to centralize royal power and modernize a weak, fragmented empire that was economically dependent on colonial gold and dominated by aristocratic and Jesuit influence. After their implementation, these reforms successfully established a political and educational reformation of Portugal while strengthening the monarchy. However, their impact in Portuguese colonies such as Brazil, especially in economy, only partially reflected the initial goals of the movement.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Understanding the success of the Pombaline Reforms first requires an assessment of the purpose behind these shifts in each aspect of Portuguese society and the empire as a whole. Politically, Pombal sought to extirpate “agents and factors beyond the grasp of Crown government" by dismantling Jesuit power and consolidating royal authority (Paquette 17). In education, Pombal’s reforms sought to replace Jesuit scholarship with “useful knowledge” prioritizing natural sciences, mathematics, and civil law to create a “homogeneous cadre of university-trained, polyglot, and bi-continental men” for imperial service (Paquette 21–22). Economically, his vision of an "integrationist" empire aimed to make colonies like Brazil and Angola, as well as Portugal, interdependent (Paquette 19). When interpreting the Pombaline Reforms, these modifications to political, educational, and economic life should be considered as benchmarks for its success.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In terms of political reform, Pombal’s new policies did begin a notable shift in the power of the centralized monarchy while also incorporating secular ideals from the Enlightenment and minimizing the control of the Jesuits. The declaration that power should be vested primarily in the state shook the very core of the Church-based power structures that defined Portugal up until the reforms. In fact, this decision “implied an open conflict with the Jesuits which resulted in their expulsion from Portugal and its colonies in 1759” and “the Inquisition was explicitly placed under state control” after this legislation (Bethencourt 1). These changes not only affected policy, but also “opened the way for the creation of a secularised political culture,” suggesting that the general public began moving away from the Church as a result of the reforms (Bethencourt 3).  The monarchy’s consolidation of power under Pombal extended beyond religious institutions into the very structure of governance. The creation of the Erário Régio (Royal Treasury) and the abolition of private captaincies in Brazil highlight how the state dismantled competing centers of authority in the Church and government, replacing them with centralized bureaucracy (Paquette 78 and Bethencourt 1). This reflected Enlightenment principles of rational governance, as seen in the creation of specialized state secretariats, suggesting that the reforms indeed began to shift the power struggle between faith and governance (Bethencourt 1). In fact, changes to the Church’s role were so effective that they began “triggering expulsions in other countries and forcing the pope to suppress the order” throughout Europe, again pointing to an effective sociocultural tactic put forth by Pombal. (Paquette 3). The sentiment of anti-clericalism and an emphasis on deriving governance outside of religion was especially important in Brazil, as revolutionaries seem to have been inspired by these post-Enlightenment ideals. For example, the emphasis on constitutionalism by early 1800s Brazilian revolutionaries was characterized by the idea that “constitutionalism, like the transfer of the court, offered a restoration of piety and virtue” and that the religious clergy was “emblematic of the kind of corruption that had enabled the French invasion and then proliferated in its aftermath” (Schultz 252). These sentiments suggest that the questioning of religious authority as the basis for running Portugal and its empire began to trickle down into the affairs of major colonies, even when these internal movements had their own differences from the intentions of the Pombaline Reforms. On top of the motivation to make some aspects of government independent from religion, the Pombaline Reforms’ approach on governance also placed a significant emphasis on centralizing power via this separation. </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The success of this mentality extended into the political sentiments of leaders such as José da Silva Lisboa, a Brazilian economist/diplomat, and his efforts for enlightened reform in Brazil during the early 1800s. Lisboa “favoured the enhancement and unimpeded exercise of monarchical power” and, following the footsteps of many Enlightenment-inspired thinkers in Portugal, desired strongly to mirror the behaviors and political structures of successful colonial empires such as Britain as they had also adopted many anti-clerical and absolutist policies (Paquette 366 and 374). Lisboa firmly believed that the state needed to be in power of the Church rather than the opposite, reflecting a key aspect of Pombaline doctrine that he strived to apply to Brazil. In separating the church from government, Lisboa postulated that “monarchies, with fundamental laws and rational civil codes offer the greatest security to persons and property, and more constant tranquillity and continuity of government”, emphasizing the exact objectives of the Pombaline reforms to reinvigorate the strength of the Portuguese monarchy (Paquette 381). The political success of the Pombaline Reforms thus lay not only in their immediate effects, such as the expulsion of the Jesuits, but also in their enduring ideological influence. By weakening ecclesiastical power and centralizing authority under the monarchy, Pombal planted the seeds for a secularized political culture that would later inspire reformists. Figures like Silva Lisboa, who championed enlightened absolutism and state supremacy over the Church, demonstrate how Pombaline principles transcended their original context, shaping debates over governance across the Portuguese Empire.</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left="0" w:firstLine="720"/>
        <w:rPr/>
      </w:pPr>
      <w:r w:rsidDel="00000000" w:rsidR="00000000" w:rsidRPr="00000000">
        <w:rPr>
          <w:rtl w:val="0"/>
        </w:rPr>
        <w:t xml:space="preserve">Shifts in Portuguese educational policy post-Pombaline Reforms seemed to follow a similar pattern as cultural and political changes across the empire. In Portugal, the reforms had a clear impact as “the reform of the university included the introduction of natural law and the establishment of laboratories linked to the teaching of modern science” in an effort to “replace the old educational system controlled by the church” (Bethencourt 1). These changes signaled a turn from ecclesiastical to secular education and emphasized scientific and practical knowledge. The educational transformation extended to Brazil, albeit in adapted forms. Although the colony lacked a university, the centralization of educational opportunity in the University of Coimbra was enough to reinforce loyalty and ideological continuity within the empire, and “Brazilian students were among the first to open up to the new ideas of the Enlightenment” (Bethencourt 3). While Brazil’s lack of a domestic university posed a challenge, the reforms' indirect educational legacy in the colony was evident in the formation of a professional bureaucratic class deeply influenced by Enlightenment ideals. Interestingly, Silva Lisboa, discussed previously, was a graduate of this university in Portugal, suggesting that changes in Portuguese education were having ripple effects in the policymaking of their colonies. The reform of Coimbra’s curriculum itself was entrusted to a Brazilian, Francisco de Lemos, who aimed “to extirpate scholasticism, infuse the curriculum with new doctrines, and establish new faculties of mathematics and the sciences” (Paquette 21). Over 866 Brazilian-born subjects studied at Coimbra between 1772 and 1822, and during a spike in mineral research in Brazil, “Enlightenment aspirations assumed a distinctive character” in the minds of Brazilian thinkers, suggesting a robust transatlantic diffusion of Enlightenment values (Paquette 21 and Langfur 155). Medical education as well as botany was also heavily encouraged as a means to get Brazilians involved in the natural sciences of the Enlightenment era (Green and Langland 133). The goals of this educational reform clearly aligned with Pombal’s vision for an empire where students are educated in subjects that encourage intellectual growth and independence, hoping that students could “guide policy reforms to address the major problems of colonial governance, financial management, investment, and trade” (Langfur 155). Such an educational strategy would also be key for consolidating power in the monarchy as per the reforms, as Silva Lisboa aimed for education “to eradicate ignorance and diminish the likelihood of political disruption” (Bethencourt 382). While Brazil did not replicate Portugal’s university system outright, it still absorbed the intellectual and institutional spirit of the Pombaline reforms, suggesting that the Pombal successfully imparted his vision of a more enlightened, pragmatic public capable of supporting state interests across the empire.</w:t>
      </w:r>
    </w:p>
    <w:p w:rsidR="00000000" w:rsidDel="00000000" w:rsidP="00000000" w:rsidRDefault="00000000" w:rsidRPr="00000000" w14:paraId="0000000D">
      <w:pPr>
        <w:ind w:left="0" w:firstLine="72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ab/>
        <w:t xml:space="preserve">The economic impacts of the Pombaline Reforms, unlike in politics and education, seemed to deviate heavily from the intended goals. While domestic production did increase in Portugal and its colonies, Pombal was not able to foresee the necessity of globalized colonies with their own imports and exports that began to characterize the economic success of the empire’s constituent parts. His model, centered around state-sponsored trading monopolies, seemed to fall short of its ambitions as “by 1776–77, less than one-quarter of shipments to the colonies were composed of national manufactures whereas Portuguese-made textiles amounted to a mere 30 percent of the total dispatched to the colonies,” and it was noted that the chartered companies remained “miserable skeletons” that did not alleviate shortages as expected (Paquette 29). These failures opened the way for Brazilian elites to interpret Enlightenment economics differently. Silva Lisboa praised the deregulation of trade as the work of an “enlightened prince” and argued that free commerce “will stimulate the growth of all parts of the monarchy according to their natural mode, and not at the expense of the rest” (Paquette 71). He believed that opening Brazilian ports would allow exports to flow naturally rather than be “forced into predetermined circuits,” countering the stagnation brought by colonial monopolies (Paquette 71). By the early 1800s, these shifts were dramatic. In fact “Bahia sent eight-ninths of its cotton to Liverpool whereas three-quarters of the cotton and half of the sugar produced in Pernambuco found their way to British ports” (Paquette 370). Silva Lisboa’s model, rooted in globalized, liberal trade, seemed to adapt Enlightenment values to be more cognizant of a need to globalize import and export, a choice he praised dominant kingdoms such as the British Empire for doing. As a result, he reimagined Pombal’s economic legacy to fit a new Atlantic order that prioritized international commerce and local prosperity over centralized colonial monopolies.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720"/>
        <w:rPr/>
      </w:pPr>
      <w:r w:rsidDel="00000000" w:rsidR="00000000" w:rsidRPr="00000000">
        <w:rPr>
          <w:rtl w:val="0"/>
        </w:rPr>
        <w:t xml:space="preserve">A Pombal-esque centrally managed colonial economy not only proved inefficient on an international scale, but also did not reflect the reality of Brazil’s domestic economy. In Salvador, for example, municipal councils repeatedly attempted to restrict African participation in street vending, but “every time proposals were rejected or failed in practice due to their essential economic role” (Graham 39). The city’s commercial system was decentralized and highly active, as “street vendors and storekeepers formed a complex trading system that linked producers to ultimate consumers... creating an air of intense activity throughout the city,” leading even a British admiral to observe that residents were “more active in commerce than those in any other part of Brazil” (Graham 53). In fact, this system was far from functioning within imperial constraints, as Salvador's economy integrated global supply chains, with shops offering “cinnamon, cloves, ginger, pepper, and tea from Asia... salted cod from Portugal... beef from Argentina... and sugar, coffee, and manioc meal from Brazilian regions” (Graham 49). These economic conditions help explain the radical demands of the 1798 Tailors’ Revolt, where conspirators called for “free trade with other countries” and an end to the “thieveries done in the name of fair taxes... levied by order of the Queen,” explicitly denouncing the “ruinous yoke of Europe” (Gonzaga 120). Their campaign, which also demanded abolition and racial equality, shows that Enlightenment economic ideals were not just reinterpreted by elites like Silva Lisboa, but were also radicalized by working-class minority Brazilians to work against the very monarchy that Pombal aimed to uphold. </w:t>
      </w:r>
    </w:p>
    <w:p w:rsidR="00000000" w:rsidDel="00000000" w:rsidP="00000000" w:rsidRDefault="00000000" w:rsidRPr="00000000" w14:paraId="00000011">
      <w:pPr>
        <w:ind w:left="0" w:firstLine="72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t xml:space="preserve">While other colonies such as Goa, Mozambique, and Angola struggled to replicate the success of Pombal’s reforms on a socio-political and educational level, the growth of both Portugal and Brazil, its primary colony, in both of these sectors is a testament to the ripple effect that the Pombaline Reforms had on the social fabric on the empire. Even in the economic deviation from Pombal’s plan, both Portugal and Brazil were able to find success in channeling Enlightenment education into a vision for independence and economic growth. Ultimately, the Pombaline Reforms can be seen as a foundational shift that, despite uneven implementation, reoriented the Portuguese crown toward Enlightenment modernity, both to its aid and detriment.</w:t>
      </w:r>
    </w:p>
    <w:p w:rsidR="00000000" w:rsidDel="00000000" w:rsidP="00000000" w:rsidRDefault="00000000" w:rsidRPr="00000000" w14:paraId="00000013">
      <w:pPr>
        <w:ind w:firstLine="720"/>
        <w:rPr/>
      </w:pP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ind w:left="720" w:hanging="720"/>
        <w:rPr/>
      </w:pPr>
      <w:r w:rsidDel="00000000" w:rsidR="00000000" w:rsidRPr="00000000">
        <w:rPr>
          <w:b w:val="1"/>
          <w:bCs w:val="1"/>
          <w:rtl w:val="0"/>
        </w:rPr>
        <w:t xml:space="preserve">Works Cited</w:t>
      </w:r>
      <w:r w:rsidDel="00000000" w:rsidR="00000000" w:rsidRPr="00000000">
        <w:rPr>
          <w:rtl w:val="0"/>
        </w:rPr>
        <w:br w:type="textWrapping"/>
      </w:r>
    </w:p>
    <w:p w:rsidR="00000000" w:rsidDel="00000000" w:rsidP="00000000" w:rsidRDefault="00000000" w:rsidRPr="00000000" w14:paraId="00000017">
      <w:pPr>
        <w:ind w:left="720" w:hanging="720"/>
        <w:rPr/>
      </w:pPr>
      <w:r w:rsidDel="00000000" w:rsidR="00000000" w:rsidRPr="00000000">
        <w:rPr>
          <w:rtl w:val="0"/>
        </w:rPr>
        <w:t xml:space="preserve">Bethencourt, Francisco, and Gabriel Paquette,. </w:t>
      </w:r>
      <w:r w:rsidDel="00000000" w:rsidR="00000000" w:rsidRPr="00000000">
        <w:rPr>
          <w:i w:val="1"/>
          <w:iCs w:val="1"/>
          <w:rtl w:val="0"/>
        </w:rPr>
        <w:t xml:space="preserve">Enlightened Reform in Southern Europe and Its Atlantic Colonies</w:t>
      </w:r>
      <w:r w:rsidDel="00000000" w:rsidR="00000000" w:rsidRPr="00000000">
        <w:rPr>
          <w:rtl w:val="0"/>
        </w:rPr>
        <w:t xml:space="preserve">, c. 1750–1830. 1st ed., Routledge, 2016.</w:t>
      </w:r>
    </w:p>
    <w:p w:rsidR="00000000" w:rsidDel="00000000" w:rsidP="00000000" w:rsidRDefault="00000000" w:rsidRPr="00000000" w14:paraId="00000018">
      <w:pPr>
        <w:ind w:left="720" w:hanging="720"/>
        <w:rPr/>
      </w:pPr>
      <w:r w:rsidDel="00000000" w:rsidR="00000000" w:rsidRPr="00000000">
        <w:rPr>
          <w:rtl w:val="0"/>
        </w:rPr>
      </w:r>
    </w:p>
    <w:p w:rsidR="00000000" w:rsidDel="00000000" w:rsidP="00000000" w:rsidRDefault="00000000" w:rsidRPr="00000000" w14:paraId="00000019">
      <w:pPr>
        <w:ind w:left="720" w:hanging="720"/>
        <w:rPr/>
      </w:pPr>
      <w:r w:rsidDel="00000000" w:rsidR="00000000" w:rsidRPr="00000000">
        <w:rPr>
          <w:rtl w:val="0"/>
        </w:rPr>
        <w:t xml:space="preserve">Gonzaga das Virgens e Veiga, Luis. “The Tailors’ Revolt.”</w:t>
      </w:r>
      <w:r w:rsidDel="00000000" w:rsidR="00000000" w:rsidRPr="00000000">
        <w:rPr>
          <w:i w:val="1"/>
          <w:iCs w:val="1"/>
          <w:rtl w:val="0"/>
        </w:rPr>
        <w:t xml:space="preserve"> The Brazil Reader: History, Culture, Politics</w:t>
      </w:r>
      <w:r w:rsidDel="00000000" w:rsidR="00000000" w:rsidRPr="00000000">
        <w:rPr>
          <w:rtl w:val="0"/>
        </w:rPr>
        <w:t xml:space="preserve">, edited by James N. Green, Lilia Moritz Schwarcz, and Victoria Langland, 2nd ed., Duke University Press, 2018, pp. 119–22.</w:t>
      </w:r>
    </w:p>
    <w:p w:rsidR="00000000" w:rsidDel="00000000" w:rsidP="00000000" w:rsidRDefault="00000000" w:rsidRPr="00000000" w14:paraId="0000001A">
      <w:pPr>
        <w:ind w:left="720" w:hanging="720"/>
        <w:rPr/>
      </w:pPr>
      <w:r w:rsidDel="00000000" w:rsidR="00000000" w:rsidRPr="00000000">
        <w:rPr>
          <w:rtl w:val="0"/>
        </w:rPr>
      </w:r>
    </w:p>
    <w:p w:rsidR="00000000" w:rsidDel="00000000" w:rsidP="00000000" w:rsidRDefault="00000000" w:rsidRPr="00000000" w14:paraId="0000001B">
      <w:pPr>
        <w:ind w:left="720" w:hanging="720"/>
        <w:rPr/>
      </w:pPr>
      <w:r w:rsidDel="00000000" w:rsidR="00000000" w:rsidRPr="00000000">
        <w:rPr>
          <w:rtl w:val="0"/>
        </w:rPr>
        <w:t xml:space="preserve">Graham, Richard. </w:t>
      </w:r>
      <w:r w:rsidDel="00000000" w:rsidR="00000000" w:rsidRPr="00000000">
        <w:rPr>
          <w:i w:val="1"/>
          <w:iCs w:val="1"/>
          <w:rtl w:val="0"/>
        </w:rPr>
        <w:t xml:space="preserve">Feeding the City: From Street Market to Liberal Reform in Salvador, Brazil,</w:t>
      </w:r>
      <w:r w:rsidDel="00000000" w:rsidR="00000000" w:rsidRPr="00000000">
        <w:rPr>
          <w:rtl w:val="0"/>
        </w:rPr>
        <w:t xml:space="preserve"> </w:t>
      </w:r>
      <w:r w:rsidDel="00000000" w:rsidR="00000000" w:rsidRPr="00000000">
        <w:rPr>
          <w:i w:val="1"/>
          <w:iCs w:val="1"/>
          <w:rtl w:val="0"/>
        </w:rPr>
        <w:t xml:space="preserve">1780–1860</w:t>
      </w:r>
      <w:r w:rsidDel="00000000" w:rsidR="00000000" w:rsidRPr="00000000">
        <w:rPr>
          <w:rtl w:val="0"/>
        </w:rPr>
        <w:t xml:space="preserve">. University of Texas Press, 2010.</w:t>
      </w:r>
    </w:p>
    <w:p w:rsidR="00000000" w:rsidDel="00000000" w:rsidP="00000000" w:rsidRDefault="00000000" w:rsidRPr="00000000" w14:paraId="0000001C">
      <w:pPr>
        <w:ind w:left="720" w:hanging="720"/>
        <w:rPr/>
      </w:pPr>
      <w:r w:rsidDel="00000000" w:rsidR="00000000" w:rsidRPr="00000000">
        <w:rPr>
          <w:rtl w:val="0"/>
        </w:rPr>
      </w:r>
    </w:p>
    <w:p w:rsidR="00000000" w:rsidDel="00000000" w:rsidP="00000000" w:rsidRDefault="00000000" w:rsidRPr="00000000" w14:paraId="0000001D">
      <w:pPr>
        <w:ind w:left="720" w:hanging="720"/>
        <w:rPr/>
      </w:pPr>
      <w:r w:rsidDel="00000000" w:rsidR="00000000" w:rsidRPr="00000000">
        <w:rPr>
          <w:rtl w:val="0"/>
        </w:rPr>
        <w:t xml:space="preserve">Langfur, Hal</w:t>
      </w:r>
      <w:r w:rsidDel="00000000" w:rsidR="00000000" w:rsidRPr="00000000">
        <w:rPr>
          <w:i w:val="1"/>
          <w:iCs w:val="1"/>
          <w:rtl w:val="0"/>
        </w:rPr>
        <w:t xml:space="preserve">. Adrift on an Inland Sea: Misinformation and the Limits of Empire in the Brazilian Backlands</w:t>
      </w:r>
      <w:r w:rsidDel="00000000" w:rsidR="00000000" w:rsidRPr="00000000">
        <w:rPr>
          <w:rtl w:val="0"/>
        </w:rPr>
        <w:t xml:space="preserve">. Stanford University Press, 2023, pp. 1–76, 215–82.</w:t>
      </w:r>
    </w:p>
    <w:p w:rsidR="00000000" w:rsidDel="00000000" w:rsidP="00000000" w:rsidRDefault="00000000" w:rsidRPr="00000000" w14:paraId="0000001E">
      <w:pPr>
        <w:ind w:left="720" w:hanging="720"/>
        <w:rPr/>
      </w:pPr>
      <w:r w:rsidDel="00000000" w:rsidR="00000000" w:rsidRPr="00000000">
        <w:rPr>
          <w:rtl w:val="0"/>
        </w:rPr>
      </w:r>
    </w:p>
    <w:p w:rsidR="00000000" w:rsidDel="00000000" w:rsidP="00000000" w:rsidRDefault="00000000" w:rsidRPr="00000000" w14:paraId="0000001F">
      <w:pPr>
        <w:ind w:left="720" w:hanging="720"/>
        <w:rPr/>
      </w:pPr>
      <w:r w:rsidDel="00000000" w:rsidR="00000000" w:rsidRPr="00000000">
        <w:rPr>
          <w:rtl w:val="0"/>
        </w:rPr>
        <w:t xml:space="preserve">Paquette, Gabriel B. </w:t>
      </w:r>
      <w:r w:rsidDel="00000000" w:rsidR="00000000" w:rsidRPr="00000000">
        <w:rPr>
          <w:i w:val="1"/>
          <w:iCs w:val="1"/>
          <w:rtl w:val="0"/>
        </w:rPr>
        <w:t xml:space="preserve">Imperial Portugal in the Age of Atlantic Revolutions: The Luso-Brazilian World, c. 1770–1850</w:t>
      </w:r>
      <w:r w:rsidDel="00000000" w:rsidR="00000000" w:rsidRPr="00000000">
        <w:rPr>
          <w:rtl w:val="0"/>
        </w:rPr>
        <w:t xml:space="preserve">. Cambridge University Press, 2013, pp. 1–234.</w:t>
      </w:r>
    </w:p>
    <w:p w:rsidR="00000000" w:rsidDel="00000000" w:rsidP="00000000" w:rsidRDefault="00000000" w:rsidRPr="00000000" w14:paraId="00000020">
      <w:pPr>
        <w:ind w:left="720" w:hanging="720"/>
        <w:rPr/>
      </w:pPr>
      <w:r w:rsidDel="00000000" w:rsidR="00000000" w:rsidRPr="00000000">
        <w:rPr>
          <w:rtl w:val="0"/>
        </w:rPr>
      </w:r>
    </w:p>
    <w:p w:rsidR="00000000" w:rsidDel="00000000" w:rsidP="00000000" w:rsidRDefault="00000000" w:rsidRPr="00000000" w14:paraId="00000021">
      <w:pPr>
        <w:ind w:left="720" w:hanging="720"/>
        <w:rPr/>
      </w:pPr>
      <w:r w:rsidDel="00000000" w:rsidR="00000000" w:rsidRPr="00000000">
        <w:rPr>
          <w:rtl w:val="0"/>
        </w:rPr>
        <w:t xml:space="preserve">Schultz, Kirsten. </w:t>
      </w:r>
      <w:r w:rsidDel="00000000" w:rsidR="00000000" w:rsidRPr="00000000">
        <w:rPr>
          <w:i w:val="1"/>
          <w:iCs w:val="1"/>
          <w:rtl w:val="0"/>
        </w:rPr>
        <w:t xml:space="preserve">Tropical Versailles: Empire, Monarchy, and the Portuguese Royal Court in Rio de Janeiro, 1808–1821</w:t>
      </w:r>
      <w:r w:rsidDel="00000000" w:rsidR="00000000" w:rsidRPr="00000000">
        <w:rPr>
          <w:rtl w:val="0"/>
        </w:rPr>
        <w:t xml:space="preserve">. Routledge, 2001.</w:t>
      </w:r>
    </w:p>
    <w:p w:rsidR="00000000" w:rsidDel="00000000" w:rsidP="00000000" w:rsidRDefault="00000000" w:rsidRPr="00000000" w14:paraId="00000022">
      <w:pPr>
        <w:ind w:left="720" w:hanging="720"/>
        <w:rPr/>
      </w:pPr>
      <w:r w:rsidDel="00000000" w:rsidR="00000000" w:rsidRPr="00000000">
        <w:rPr>
          <w:rtl w:val="0"/>
        </w:rPr>
      </w:r>
    </w:p>
    <w:p w:rsidR="00000000" w:rsidDel="00000000" w:rsidP="00000000" w:rsidRDefault="00000000" w:rsidRPr="00000000" w14:paraId="00000023">
      <w:pPr>
        <w:ind w:left="720" w:hanging="720"/>
        <w:rPr/>
      </w:pPr>
      <w:r w:rsidDel="00000000" w:rsidR="00000000" w:rsidRPr="00000000">
        <w:rPr>
          <w:rtl w:val="0"/>
        </w:rPr>
        <w:t xml:space="preserve">“The Portuguese Royal Family in Rio de Janeiro, 1808–1821.” </w:t>
      </w:r>
      <w:r w:rsidDel="00000000" w:rsidR="00000000" w:rsidRPr="00000000">
        <w:rPr>
          <w:i w:val="1"/>
          <w:iCs w:val="1"/>
          <w:rtl w:val="0"/>
        </w:rPr>
        <w:t xml:space="preserve">The Brazil Reader: History, Culture, Politics,</w:t>
      </w:r>
      <w:r w:rsidDel="00000000" w:rsidR="00000000" w:rsidRPr="00000000">
        <w:rPr>
          <w:rtl w:val="0"/>
        </w:rPr>
        <w:t xml:space="preserve"> edited by James N. Green, Lilia Moritz Schwarcz, and Victoria Langland, 2nd ed., Duke University Press, 2018, pp. 131–36.</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