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How did ideas and contacts with the interior impact ideas of Brazilian national identity?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Early Brazilian history was characterized by a complex effort to establish a Brazilian national identity while at the same time managing the ever-changing dynamics of the interior. Whether it be racial and cultural tensions, foreign influence, or a need to industrialize, various ideas of what it meant to be Brazilian were constantly re-established, challenged, and reinterpreted. Ultimately, contacts with the interior forced Brazil to recognize its diversity and reinterpretation of Portuguese ideals through challenges posed to its racial identity, government, and economics. This reshaping of Brazilian identity not only profoundly influenced how the nation is viewed today, but also reveals that understanding Brazil’s identity requires confronting uncomfortable truths.</w:t>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One of the most impactful aspects of internal movements in Brazil was the resurfacing of questions regarding Brazil’s diversity, and how these differences in race and culture were accounted for on a national level. Part of this tension led to a debate on whether or not Brazilian nationhood could even account for these differences, whether it be among Indigenous populations or enslaved Afro-Brazilians. For example, during the 1920s Prestes Column, a military rebellion-turned-symbolic march across Brazil’s interior, the idea of Brazil being a country controlled by its white European class was both reinforced and challenged. The march was often portrayed in the media as “a white movement that moved triumphantly across nonwhite spaces” and was meant to, in the eyes of the press, civilize a disconnected chain of Indigenous and Afro-Brazilian communities (Blanc 10). Popular media even praised the rebels for bringing “the feeling of human respect to the rude souls of our backlands, demonstrating to the savage Indian from the forests all the generosity and kindness held in the hearts of the white people from the coast” (Blanc 10). These descriptions mirror earlier accounts of expeditions intended to connect the Brazilian interior to federal governance and labor control. The exploration of the Planalto Central during the relocation of the capital, for example, was abundant with accounts of disease among Afro-Indigenous groups “stemming from the illegitimate mixing of Semitic and African blood, which has been transplanted into Brazil with all vice and defects” (Freitas 163). These representations reveal how entrenched racial hierarchies were projected onto the interior and how the march became a way for elite Brazilians to reaffirm coastal superiority. Efforts such as the Prestes Column not only highlight the desire to unite a large landmass of different communities into a unified Brazilian identity, but also underscores a political effort to associate a lack of European or Portuguese presence with an uncivilized or “backwards” society, a trend dating back to early Indigenous encounters before Brazil’s inception. </w:t>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Yet, the rebels' encounters often challenged their assumptions and made it difficult to ignore Brazil’s unified minority communities. One example is found in how the rebels “were surprised” when the Malaguias family, Afro-Brazilian descendants of enslaved people, fiercely defended their land, as Tuarpa Malaguias recalled, “not a single drop of our blood was spilled by the white rebels” (Blanc 42). This underscores their preconceived notion of the interior as racially passive and homogeneous, forcing the government to confront a legacy of Black resilience and autonomy. In fact, over time, some participants began to reinterpret the significance of the interior. Miguel Costa would later reflect that through these expeditions, “the column discovered the truly Brazilian Brazil (o Brasil brasileiro),” suggesting that it was in the marginalized regions and peoples where Brazil’s national identity could truly be found (Blanc 10). Jorge Amado echoed this reimagining, writing that Prestes “discovers Brazil in its nakedness,” and the interior “discovers itself in this man,” framing the encounter as one of mutual national self-recognition (Blanc 6). Just as European and Portuguese identities shaped modern Brazil, racially diverse interior communities also reshaped its cultural and historical foundations. The tension between the myth and reality of the interior is not unique to the Prestes Column. In </w:t>
      </w:r>
      <w:r w:rsidDel="00000000" w:rsidR="00000000" w:rsidRPr="00000000">
        <w:rPr>
          <w:i w:val="1"/>
          <w:iCs w:val="1"/>
          <w:rtl w:val="0"/>
        </w:rPr>
        <w:t xml:space="preserve">Os Sertões</w:t>
      </w:r>
      <w:r w:rsidDel="00000000" w:rsidR="00000000" w:rsidRPr="00000000">
        <w:rPr>
          <w:rtl w:val="0"/>
        </w:rPr>
        <w:t xml:space="preserve">, an account of a suppression of a messianic movement in Bahia, Euclides da Cunha initially adopted “a geographically and racially deterministic posture, portraying the harsh environment of the backlands as shaping the fierce character and degenerate physical attributes of its inhabitants” (Cunha 1). Yet by the end of the work, even he questions these judgments and “makes it clear that he no longer knows how to distinguish who was more degenerate or more backward” (Cunha 1). This realization, along with state repression, shows how governmental efforts to define Brazilian identity ultimately raised more reflections than answers. Other voices went further in reimagining Brazil’s identity altogether. Oswald de Andrade, in his </w:t>
      </w:r>
      <w:r w:rsidDel="00000000" w:rsidR="00000000" w:rsidRPr="00000000">
        <w:rPr>
          <w:i w:val="1"/>
          <w:iCs w:val="1"/>
          <w:rtl w:val="0"/>
        </w:rPr>
        <w:t xml:space="preserve">Cannibalist Manifesto</w:t>
      </w:r>
      <w:r w:rsidDel="00000000" w:rsidR="00000000" w:rsidRPr="00000000">
        <w:rPr>
          <w:rtl w:val="0"/>
        </w:rPr>
        <w:t xml:space="preserve">, rejected European ideals outright and, due to the irreconcilable nature of a European narrative for a country defined by Afro-Indigenous communities, celebrated the blending of cultures as the core of Brazilian identity. He refers to this reality as “cannibalism”, emphasizing how Brazil must metaphorically consume itself to accept the reality of its mixed identity, leading to “a synthesis of the colonized and the colonizer, the barbarous and the modern” (Andrade 300). He mocked colonial mimicry, writing, “We were never catechized. What we really made was Carnaval. The Indian dressed as senator of the Empire… full of worthy Portuguese sentiments” (Andrade 304). His vision placed Indigenous and African heritage at the center of Brazil’s modernity, and suggested that the only way forward for Brazil was to accept this reality of their demographics and popular culture. As diverse communities challenged imposed hierarchies, it became clear that Brazilian identity needed to reflect its Afro-Indigenous roots and contested visions of civilization and modernity.</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The shift in definitions for the Brazilian identity not only came in the form of racial and cultural questioning, but also through rapid internal mobilization against the existing federal government, both politically and militarily. As a result, further pressure was mounted on the Brazilian government to reshape its identity into one that better accommodate for its internal differences. The Prestes Column itself initially “sought to overthrow President Artur Bernardes ” and the column’s leaders explicitly rejected the political order of the First Republic, dominated by elite coffee and dairy oligarchies, demanding “the secret ballot, a balance of power among government branches, and universal primary-school education” (Blanc 1 and 29). Their campaign became not only an attack on an administration but on the broader exclusionary nature of Brazil’s oligarchic structures. In a sense, these internal movements sought to remind the government of the mismatch between oligarchic rule that poorly reflected the demographics of the country and called for a more inclusive national identity. The rebels positioned themselves as agents of a new Brazilian future by appropriating colonial language and symbols for radical ends. They rebranded themselves as modern-day pioneers—“the Bandeirantes of Freedom... fighting to lift the nefarious shadow of Artur Bernardes and unite Brazil” (Blanc 36). Although this label emerged only after they were pushed inland, it highlights how the rebels repurposed colonial symbols to justify a democratic revolution (Blanc 9). In the interior, they were even mythologized by the press as liberators, as people who “woke up the people of the interior, [freeing them] from the tyranny of local political chiefs” (Blanc 6). This radical reframing not only questioned the legitimacy of the ruling class but sought to build an alternative idea of Brazilian citizenship grounded in broader participation. Over time, it became clear that linking coast and interior would ultimately destabilize the very system trying to enforce unity.</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This confrontation between the state and interior resistance was not new. In Os Sertões, da Cunha described how the Canudos, a rebellious religious community in the backlands of Bahia, “threatened state and federal authorities because it challenged the legitimacy of the secular republic and garnered widespread appeal among the destitute populations of the interior” (Cunha 1). The violent suppression of Canudos, like the repression faced by Prestes’ rebels, reveals that Brazil’s federal identity remained fragile and contested in its own interior. Cultural voices also joined this attack on inherited political structures. Andrade makes a similar critique, ridiculing colonial institutions as parasitic and outdated, calling Brazil’s leaders “importers of canned consciousness” and mocking Father Vieira, a Portuguese Jesuit, as the “author of our first loan, to make a commission” (Andrade 301–302). His critique implies that Brazilian governance was less about serving national needs and more about imitating Europe’s exploitative systems, reinforcing the need for a radical break from colonial legacies. Amid growing pressure to separate church from state, religious institutions also redefined their roles. After centuries of subordinating themselves to the state, “o catolicismo brasileiro... passou a obedecer às recomendações do Vaticano… [e] iniciou um processo de uniformização da vida religiosa nos moldes de Roma” (Pacheco 384). This shift marked a departure from colonial-style control and opened a new chapter in which religious orders acted independently to shape national identity rather than simply govern under federal authority. These missions filled development gaps left by the state, offering “o ensino de técnicas agrícolas, o saneamento básico, a assistência médica”—services traditionally provided by the government (Pacheco 376). In doing so, they not only exposed the state's shortcomings, but also reestablished themselves as moral and infrastructural authorities within the neglected interior. The fact that these interior political movements spurred such institutional shifts underscores how profoundly they challenged prevailing ideas of Brazilian governance. As Lima notes, many of these symbolic and infrastructural missions—religious or scientific—“accompanied the projects of border delimitation, sanitation, and economic-political integration” (Lima). Yet they also laid bare “the inadequacies of existing governmental frameworks” and triggered demands for inclusion and reform (Lima). These persistent challenges from the interior made it increasingly difficult for the state to uphold a centralized identity rooted in coastal elitism. Instead, Brazil had to face a more fragmented, contested, and locally driven vision of nationhood, one far more complex than the myth of national unity allowed.</w:t>
      </w:r>
    </w:p>
    <w:p w:rsidR="00000000" w:rsidDel="00000000" w:rsidP="00000000" w:rsidRDefault="00000000" w:rsidRPr="00000000" w14:paraId="0000000C">
      <w:pPr>
        <w:ind w:firstLine="720"/>
        <w:rPr>
          <w:shd w:fill="ff9900" w:val="clear"/>
        </w:rPr>
      </w:pPr>
      <w:r w:rsidDel="00000000" w:rsidR="00000000" w:rsidRPr="00000000">
        <w:rPr>
          <w:rtl w:val="0"/>
        </w:rPr>
      </w:r>
    </w:p>
    <w:p w:rsidR="00000000" w:rsidDel="00000000" w:rsidP="00000000" w:rsidRDefault="00000000" w:rsidRPr="00000000" w14:paraId="0000000D">
      <w:pPr>
        <w:ind w:firstLine="720"/>
        <w:rPr/>
      </w:pPr>
      <w:r w:rsidDel="00000000" w:rsidR="00000000" w:rsidRPr="00000000">
        <w:rPr>
          <w:rtl w:val="0"/>
        </w:rPr>
        <w:t xml:space="preserve">Brazil’s tense reformations of identity was also undeniably linked to the economic pressures that went alongside social demands and race-based labor. As internal movements made the vast economic disparities within Brazil more visible, a growing urgency emerged to modernize and integrate the interior into national development. While the interior had previously been ignored for its dry savanna climate with a low potential for resource extraction, the civilian presence across this region continued to mount pressure for national industrialization (Freitas 149). Former rebel commander Oswaldo Cordeiro de Farias captured this shift when he reflected that “For two and a half years, I lived in contact with the suffering Brazil... very poor and without hope. This image... has never left me” (Blanc 6). Encounters with the interior’s extreme poverty reshaped the goals of political and military actors, prompting calls for infrastructure, education, and healthcare. Rebels in fact justified their legacy of internal mobilization against the government by claiming they had “opened up paths through untouched forests, where today there is now commerce, culture, and civilization” (Blanc 9). Yet during the march, their reliance on forced requisitions and written pleas from farmers exposed the interior’s fragile economy and lack of state presence (Blanc 37). The physical decay described, such as the “ruins of churches and prisons” from colonial times, revealed a region locked in stagnation due a lack of national economic unification (Blanc 49). In </w:t>
      </w:r>
      <w:r w:rsidDel="00000000" w:rsidR="00000000" w:rsidRPr="00000000">
        <w:rPr>
          <w:i w:val="1"/>
          <w:iCs w:val="1"/>
          <w:rtl w:val="0"/>
        </w:rPr>
        <w:t xml:space="preserve">Os Sertões</w:t>
      </w:r>
      <w:r w:rsidDel="00000000" w:rsidR="00000000" w:rsidRPr="00000000">
        <w:rPr>
          <w:rtl w:val="0"/>
        </w:rPr>
        <w:t xml:space="preserve">, da Cunha condemned the Canudos war as a wasted opportunity to address interior poverty, writing that Canudos itself “was the only spoils of war this conflict had to offer!” (Cunha 276). Rather than development, the state chose destruction, which allowed it to reinforce federal dominance. As Lima notes, even symbolic expeditions sought “integração econômica e política,” acknowledging that true national progress depended on confronting economic inequalities within the interior (Lima). Furthermore, in the Northeast, Gilberto Freyere, a Brazilian intellectual force behind the reshaping of the region in 20th century, made an effort to “liberate the Northeast from the systematization of its inferiority as an economic vassalage”, suggesting that, similar to colonial communities of the past, Brazil’s interior still heavily dependent on archaic economic systems that held back industrialization (Campbell 48). These efforts to turn interior political movements into a call for industrialization suggest a shift towards accepting the need for change in regions other than the heavily funded southeastern coast. </w:t>
      </w:r>
    </w:p>
    <w:p w:rsidR="00000000" w:rsidDel="00000000" w:rsidP="00000000" w:rsidRDefault="00000000" w:rsidRPr="00000000" w14:paraId="0000000E">
      <w:pPr>
        <w:ind w:firstLine="720"/>
        <w:rPr/>
      </w:pP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t xml:space="preserve">Brazil’s national identity became a point of tension shaped by encounters with the interior, where racial diversity, political exclusion, and economic inequality played significant roles. As internal movements challenged elitism and forced the nation to confront its Afro-Indigenous roots and regional disparities, the identity of Brazil soon became characterized by accepting or rejecting its realities based on a desired definition. These unresolved tensions between diversity, representation, and modernization continue to define the nation today.</w:t>
      </w:r>
    </w:p>
    <w:p w:rsidR="00000000" w:rsidDel="00000000" w:rsidP="00000000" w:rsidRDefault="00000000" w:rsidRPr="00000000" w14:paraId="00000010">
      <w:pPr>
        <w:ind w:firstLine="720"/>
        <w:rPr/>
      </w:pPr>
      <w:r w:rsidDel="00000000" w:rsidR="00000000" w:rsidRPr="00000000">
        <w:rPr>
          <w:rtl w:val="0"/>
        </w:rPr>
      </w:r>
    </w:p>
    <w:p w:rsidR="00000000" w:rsidDel="00000000" w:rsidP="00000000" w:rsidRDefault="00000000" w:rsidRPr="00000000" w14:paraId="00000011">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Works Cited</w:t>
      </w:r>
    </w:p>
    <w:p w:rsidR="00000000" w:rsidDel="00000000" w:rsidP="00000000" w:rsidRDefault="00000000" w:rsidRPr="00000000" w14:paraId="00000013">
      <w:pPr>
        <w:spacing w:after="240" w:before="240" w:lineRule="auto"/>
        <w:ind w:left="720" w:hanging="720"/>
        <w:rPr/>
      </w:pPr>
      <w:r w:rsidDel="00000000" w:rsidR="00000000" w:rsidRPr="00000000">
        <w:rPr>
          <w:rtl w:val="0"/>
        </w:rPr>
        <w:t xml:space="preserve">Andrade, Oswald de. “The Cannibalist Manifesto.” </w:t>
      </w:r>
      <w:r w:rsidDel="00000000" w:rsidR="00000000" w:rsidRPr="00000000">
        <w:rPr>
          <w:i w:val="1"/>
          <w:iCs w:val="1"/>
          <w:rtl w:val="0"/>
        </w:rPr>
        <w:t xml:space="preserve">The Brazil Reader</w:t>
      </w:r>
      <w:r w:rsidDel="00000000" w:rsidR="00000000" w:rsidRPr="00000000">
        <w:rPr>
          <w:rtl w:val="0"/>
        </w:rPr>
        <w:t xml:space="preserve">, edited by Robert M. Levine and John J. Crocitti, 2nd ed., Duke University Press, 2019, pp. 300–305.</w:t>
      </w:r>
    </w:p>
    <w:p w:rsidR="00000000" w:rsidDel="00000000" w:rsidP="00000000" w:rsidRDefault="00000000" w:rsidRPr="00000000" w14:paraId="00000014">
      <w:pPr>
        <w:spacing w:after="240" w:before="240" w:lineRule="auto"/>
        <w:ind w:left="720" w:hanging="720"/>
        <w:rPr/>
      </w:pPr>
      <w:r w:rsidDel="00000000" w:rsidR="00000000" w:rsidRPr="00000000">
        <w:rPr>
          <w:rtl w:val="0"/>
        </w:rPr>
        <w:t xml:space="preserve">Blanc, Jacob. </w:t>
      </w:r>
      <w:r w:rsidDel="00000000" w:rsidR="00000000" w:rsidRPr="00000000">
        <w:rPr>
          <w:i w:val="1"/>
          <w:iCs w:val="1"/>
          <w:rtl w:val="0"/>
        </w:rPr>
        <w:t xml:space="preserve">The Prestes Column: An Interior History of Modern Brazil</w:t>
      </w:r>
      <w:r w:rsidDel="00000000" w:rsidR="00000000" w:rsidRPr="00000000">
        <w:rPr>
          <w:rtl w:val="0"/>
        </w:rPr>
        <w:t xml:space="preserve">. Duke University Press, 2024.</w:t>
      </w:r>
    </w:p>
    <w:p w:rsidR="00000000" w:rsidDel="00000000" w:rsidP="00000000" w:rsidRDefault="00000000" w:rsidRPr="00000000" w14:paraId="00000015">
      <w:pPr>
        <w:spacing w:after="240" w:before="240" w:lineRule="auto"/>
        <w:ind w:left="720" w:hanging="720"/>
        <w:rPr/>
      </w:pPr>
      <w:r w:rsidDel="00000000" w:rsidR="00000000" w:rsidRPr="00000000">
        <w:rPr>
          <w:rtl w:val="0"/>
        </w:rPr>
        <w:t xml:space="preserve">Blanc, Jacob, and Frederico Freitas, editors. </w:t>
      </w:r>
      <w:r w:rsidDel="00000000" w:rsidR="00000000" w:rsidRPr="00000000">
        <w:rPr>
          <w:i w:val="1"/>
          <w:iCs w:val="1"/>
          <w:rtl w:val="0"/>
        </w:rPr>
        <w:t xml:space="preserve">The Interior: Recentering Brazilian History</w:t>
      </w:r>
      <w:r w:rsidDel="00000000" w:rsidR="00000000" w:rsidRPr="00000000">
        <w:rPr>
          <w:rtl w:val="0"/>
        </w:rPr>
        <w:t xml:space="preserve">. University of Texas Press, 2024. Introduction and ch. 7, “Charting the Planalto Central: The Quest for a New Capital and the Opening of the Brazilian Interior in the 1890s.”</w:t>
      </w:r>
    </w:p>
    <w:p w:rsidR="00000000" w:rsidDel="00000000" w:rsidP="00000000" w:rsidRDefault="00000000" w:rsidRPr="00000000" w14:paraId="00000016">
      <w:pPr>
        <w:spacing w:after="240" w:before="240" w:lineRule="auto"/>
        <w:ind w:left="720" w:hanging="720"/>
        <w:rPr/>
      </w:pPr>
      <w:r w:rsidDel="00000000" w:rsidR="00000000" w:rsidRPr="00000000">
        <w:rPr>
          <w:rtl w:val="0"/>
        </w:rPr>
        <w:t xml:space="preserve">Campbell, Courtney. </w:t>
      </w:r>
      <w:r w:rsidDel="00000000" w:rsidR="00000000" w:rsidRPr="00000000">
        <w:rPr>
          <w:i w:val="1"/>
          <w:iCs w:val="1"/>
          <w:rtl w:val="0"/>
        </w:rPr>
        <w:t xml:space="preserve">Region out of Place: The Brazilian Northeast and the World, 1924–1968</w:t>
      </w:r>
      <w:r w:rsidDel="00000000" w:rsidR="00000000" w:rsidRPr="00000000">
        <w:rPr>
          <w:rtl w:val="0"/>
        </w:rPr>
        <w:t xml:space="preserve">. University of Pittsburgh Press, 2022. Introduction and ch. 2, “Return to Sender: Gilberto Freyre, the Northeast, and the World,” pp. 3–16, 42–63.</w:t>
      </w:r>
    </w:p>
    <w:p w:rsidR="00000000" w:rsidDel="00000000" w:rsidP="00000000" w:rsidRDefault="00000000" w:rsidRPr="00000000" w14:paraId="00000017">
      <w:pPr>
        <w:spacing w:after="240" w:before="240" w:lineRule="auto"/>
        <w:ind w:left="720" w:hanging="720"/>
        <w:rPr/>
      </w:pPr>
      <w:r w:rsidDel="00000000" w:rsidR="00000000" w:rsidRPr="00000000">
        <w:rPr>
          <w:rtl w:val="0"/>
        </w:rPr>
        <w:t xml:space="preserve">Cunha, Euclides da. “Os Sertões or Rebellion in the Backlands.” </w:t>
      </w:r>
      <w:r w:rsidDel="00000000" w:rsidR="00000000" w:rsidRPr="00000000">
        <w:rPr>
          <w:i w:val="1"/>
          <w:iCs w:val="1"/>
          <w:rtl w:val="0"/>
        </w:rPr>
        <w:t xml:space="preserve">The Brazil Reader</w:t>
      </w:r>
      <w:r w:rsidDel="00000000" w:rsidR="00000000" w:rsidRPr="00000000">
        <w:rPr>
          <w:rtl w:val="0"/>
        </w:rPr>
        <w:t xml:space="preserve">, edited by Robert M. Levine and John J. Crocitti, 2nd ed., Duke University Press, 2019, pp. 274–77.</w:t>
      </w:r>
    </w:p>
    <w:p w:rsidR="00000000" w:rsidDel="00000000" w:rsidP="00000000" w:rsidRDefault="00000000" w:rsidRPr="00000000" w14:paraId="00000018">
      <w:pPr>
        <w:spacing w:after="240" w:before="240" w:lineRule="auto"/>
        <w:ind w:left="720" w:hanging="720"/>
        <w:rPr/>
      </w:pPr>
      <w:r w:rsidDel="00000000" w:rsidR="00000000" w:rsidRPr="00000000">
        <w:rPr>
          <w:rtl w:val="0"/>
        </w:rPr>
        <w:t xml:space="preserve">Lima, Nísia Trindade. “Missões civilizatórias da República e interpretação do Brasil.” </w:t>
      </w:r>
      <w:r w:rsidDel="00000000" w:rsidR="00000000" w:rsidRPr="00000000">
        <w:rPr>
          <w:i w:val="1"/>
          <w:iCs w:val="1"/>
          <w:rtl w:val="0"/>
        </w:rPr>
        <w:t xml:space="preserve">História, Ciências, Saúde–Manguinhos</w:t>
      </w:r>
      <w:r w:rsidDel="00000000" w:rsidR="00000000" w:rsidRPr="00000000">
        <w:rPr>
          <w:rtl w:val="0"/>
        </w:rPr>
        <w:t xml:space="preserve">, vol. 5, suppl., July 1998, pp. 163–93.</w:t>
      </w:r>
    </w:p>
    <w:p w:rsidR="00000000" w:rsidDel="00000000" w:rsidP="00000000" w:rsidRDefault="00000000" w:rsidRPr="00000000" w14:paraId="00000019">
      <w:pPr>
        <w:spacing w:after="240" w:before="240" w:lineRule="auto"/>
        <w:ind w:left="720" w:hanging="720"/>
        <w:rPr/>
      </w:pPr>
      <w:r w:rsidDel="00000000" w:rsidR="00000000" w:rsidRPr="00000000">
        <w:rPr>
          <w:rtl w:val="0"/>
        </w:rPr>
        <w:t xml:space="preserve">Pacheco, Paulo Henrique Silva. “Tensões e transformações das ordens religiosas no Brasil: da crise imperial ao projeto missionário na República.” </w:t>
      </w:r>
      <w:r w:rsidDel="00000000" w:rsidR="00000000" w:rsidRPr="00000000">
        <w:rPr>
          <w:i w:val="1"/>
          <w:iCs w:val="1"/>
          <w:rtl w:val="0"/>
        </w:rPr>
        <w:t xml:space="preserve">Em Tese</w:t>
      </w:r>
      <w:r w:rsidDel="00000000" w:rsidR="00000000" w:rsidRPr="00000000">
        <w:rPr>
          <w:rtl w:val="0"/>
        </w:rPr>
        <w:t xml:space="preserve">, vol. 20, no. 2, 11 Mar. 2024, pp. 373–94.</w:t>
      </w:r>
    </w:p>
    <w:p w:rsidR="00000000" w:rsidDel="00000000" w:rsidP="00000000" w:rsidRDefault="00000000" w:rsidRPr="00000000" w14:paraId="0000001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ind w:left="720" w:hanging="360"/>
        <w:rPr>
          <w:b w:val="1"/>
          <w:bCs w:val="1"/>
        </w:rPr>
      </w:pPr>
      <w:r w:rsidDel="00000000" w:rsidR="00000000" w:rsidRPr="00000000">
        <w:rPr>
          <w:b w:val="1"/>
          <w:bCs w:val="1"/>
          <w:rtl w:val="0"/>
        </w:rPr>
        <w:t xml:space="preserve">They questioned what it meant to be Brazilian, both racially and culturally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“Stories about the column often presented the march as a white movement that moved triumphantly across nonwhite spaces” (Blanc 10).</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1927 article praised the rebels for bringing “the feeling of human respect to the rude souls of our backlands, demonstrating to the savage Indian from the forests all the generosity and kindness held in the hearts of the white people from the coast” (Blanc 10).</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Jorge Amado wrote that Prestes “discovers Brazil in its nakedness,” and the interior “discovers itself in this man”—suggesting mutual national self-recognition (Blanc 6).</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Miguel Costa reflected that the march introduced the country to its racial and cultural makeup: “the column discovered the truly Brazilian Brazil (o Brasil brasileiro)” (Blanc 10).</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rebels were surprised to find the Malaguias family, descendants of enslaved people, defending their land... Tuarpa Malaguias recalled, 'They took everything, but not a single drop of our blood was spilled by the white rebels.'" (Blanc 42). The column’s shock at the Malaguias' resistance highlights their preconceived notions of the interior as racially homogeneous and passive, forcing a confrontation with Brazil’s Afro-descendant legacy.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At first, da Cunha portrays the people of the interior as racially and geographically “degenerate,” shaped by the harsh environment. “Da Cunha adopts a geographically and racially deterministic posture, portraying the harsh environment of the backlands as shaping the fierce character and degenerate physical attributes of its inhabitants” (Cunha 1) But by the end of the book, he reverses this view, questioning who the true barbarians were: “By the book’s end, da Cunha makes it clear that he no longer knows how to distinguish who was more degenerate or more backward” (Cunha 1)</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Andrade completely redefines Brazilian identity as not European, but something proudly hybrid“Cannibalism alone unites us… a synthesis of the colonized and the colonizer, the barbarous and the modern” (Andrade 300)He rejects European logic and celebrates indigenous and African influences as central“We were never catechized. What we really made was Carnaval. The Indian dressed as senator of the Empire… full of worthy Portuguese sentiments” (Andrade 304</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After end of padroado system (where the state controlled the church) Pacheco source emphasizes how much missionary services in the interior had to adapt:</w:t>
        <w:br w:type="textWrapping"/>
      </w:r>
    </w:p>
    <w:p w:rsidR="00000000" w:rsidDel="00000000" w:rsidP="00000000" w:rsidRDefault="00000000" w:rsidRPr="00000000" w14:paraId="00000032">
      <w:pPr>
        <w:rPr/>
      </w:pPr>
      <w:r w:rsidDel="00000000" w:rsidR="00000000" w:rsidRPr="00000000">
        <w:rPr>
          <w:rtl w:val="0"/>
        </w:rPr>
        <w:t xml:space="preserve">Pacheco discusses how interior missions targeted populations seen as racially and culturally “other”: “Cuidar dos indígenas, ‘regenerar’ socialmente a população, ‘corrigir’ as religiosidades dos silvícolas... foram os propósitos que definiram os objetivos institucionais” (Pacheco 376).</w:t>
      </w:r>
    </w:p>
    <w:p w:rsidR="00000000" w:rsidDel="00000000" w:rsidP="00000000" w:rsidRDefault="00000000" w:rsidRPr="00000000" w14:paraId="00000033">
      <w:pPr>
        <w:rPr/>
      </w:pPr>
      <w:r w:rsidDel="00000000" w:rsidR="00000000" w:rsidRPr="00000000">
        <w:rPr>
          <w:rtl w:val="0"/>
        </w:rPr>
        <w:t xml:space="preserve">This demonstrates how the state and church perceived interior populations as uncivilized and in need of redefinition—racially and culturally.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instituição de uma língua nacional de tradição europeia, o português – anulando as línguas indígenas e de matrizes africanas” (Pacheco 385).</w:t>
      </w:r>
    </w:p>
    <w:p w:rsidR="00000000" w:rsidDel="00000000" w:rsidP="00000000" w:rsidRDefault="00000000" w:rsidRPr="00000000" w14:paraId="00000036">
      <w:pPr>
        <w:rPr/>
      </w:pPr>
      <w:r w:rsidDel="00000000" w:rsidR="00000000" w:rsidRPr="00000000">
        <w:rPr>
          <w:rtl w:val="0"/>
        </w:rPr>
        <w:t xml:space="preserve">This quote shows how national identity was forcibly reshaped through linguistic and cultural erasure.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Lima’s source:</w:t>
      </w:r>
    </w:p>
    <w:p w:rsidR="00000000" w:rsidDel="00000000" w:rsidP="00000000" w:rsidRDefault="00000000" w:rsidRPr="00000000" w14:paraId="00000039">
      <w:pPr>
        <w:spacing w:after="240" w:before="240" w:lineRule="auto"/>
        <w:rPr/>
      </w:pPr>
      <w:r w:rsidDel="00000000" w:rsidR="00000000" w:rsidRPr="00000000">
        <w:rPr>
          <w:rtl w:val="0"/>
        </w:rPr>
        <w:t xml:space="preserve">"A proposta de conhecimento dos sertões brasileiros é analisada como expressão de um movimento de forte conteúdo simbólico que acompanhou os projetos de delimitação de fronteiras, saneamento e integração econômica e política."</w:t>
      </w:r>
    </w:p>
    <w:p w:rsidR="00000000" w:rsidDel="00000000" w:rsidP="00000000" w:rsidRDefault="00000000" w:rsidRPr="00000000" w14:paraId="0000003A">
      <w:pPr>
        <w:spacing w:after="240" w:before="240" w:lineRule="auto"/>
        <w:rPr/>
      </w:pPr>
      <w:r w:rsidDel="00000000" w:rsidR="00000000" w:rsidRPr="00000000">
        <w:rPr>
          <w:rtl w:val="0"/>
        </w:rPr>
        <w:t xml:space="preserve">This highlights how expeditions into the interior were symbolic efforts to understand and integrate the diverse cultural and racial landscapes of Brazil, challenging the homogeneous Portuguese colonial identity.</w:t>
      </w:r>
    </w:p>
    <w:p w:rsidR="00000000" w:rsidDel="00000000" w:rsidP="00000000" w:rsidRDefault="00000000" w:rsidRPr="00000000" w14:paraId="0000003B">
      <w:pPr>
        <w:rPr/>
      </w:pPr>
      <w:r w:rsidDel="00000000" w:rsidR="00000000" w:rsidRPr="00000000">
        <w:rPr>
          <w:rtl w:val="0"/>
        </w:rPr>
        <w:t xml:space="preserve">"As viagens ao interior [...] para a construção de interpretações do Brasil referidas à ideia do contraste entre sertão e litoral."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underscores the emerging awareness of Brazil's internal diversity and the need to redefine national identity beyond coastal, colonial influences.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numPr>
          <w:ilvl w:val="0"/>
          <w:numId w:val="1"/>
        </w:numPr>
        <w:ind w:left="720" w:hanging="360"/>
        <w:rPr>
          <w:b w:val="1"/>
          <w:bCs w:val="1"/>
        </w:rPr>
      </w:pPr>
      <w:r w:rsidDel="00000000" w:rsidR="00000000" w:rsidRPr="00000000">
        <w:rPr>
          <w:b w:val="1"/>
          <w:bCs w:val="1"/>
          <w:rtl w:val="0"/>
        </w:rPr>
        <w:t xml:space="preserve">They often attacked and challenged government structures that were once considered Brazilian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column originally “sought to overthrow President Artur Bernardes (1922–26)” and its legacy “helped to set into motion the Revolution of 1930” (Blanc 1).</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rebels adopted the label “bandeirantes of freedom” only after being forced inland, reinterpreting colonial symbolism to frame their movement as one of national liberation (Blanc 9).</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 1927 article argued the column had “woke up the people of the interior, [freeing them] from the tyranny of local political chiefs” (Blanc 6).</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tenentista movement... aimed to overthrow President Artur Bernardes and end the café-com-leite system... demanding the secret ballot, a balance of power among government branches, and universal primary-school education."(Blanc 29). The rebels explicitly rejected the oligarchic First Republic, attacking its exclusionary political structures.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"We are the Bandeirantes of Freedom... fighting to lift the nefarious shadow of Artur Bernardes and unite Brazil." (Blanc 36) Framing themselves as modern bandeirantes, the rebels positioned their march as a challenge to centralized coastal power.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community of Canudos… threatened state and federal authorities because it challenged the legitimacy of the secular republic and garnered widespread appeal among the destitute populations of the interior” (Os Sertoes)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Andrade attacks institutions that defined colonial and postcolonial governance, describing the government as “importers of canned consciousness… down with Father Vieira… author of our first loan, to make a commission” (Andrade 301–302</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 catolicismo brasileiro, que por três séculos tendeu mais à autoridade civil, passou a obedecer às recomendações do Vaticano… [e] iniciou um processo de uniformização da vida religiosa nos moldes de Roma” (Pacheco 384).</w:t>
      </w:r>
    </w:p>
    <w:p w:rsidR="00000000" w:rsidDel="00000000" w:rsidP="00000000" w:rsidRDefault="00000000" w:rsidRPr="00000000" w14:paraId="00000053">
      <w:pPr>
        <w:rPr/>
      </w:pPr>
      <w:r w:rsidDel="00000000" w:rsidR="00000000" w:rsidRPr="00000000">
        <w:rPr>
          <w:rtl w:val="0"/>
        </w:rPr>
        <w:t xml:space="preserve">This marks a rupture with Portuguese-imperial authority and a reconfiguration of political-religious structures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Missions began fulfilling infrastructure and economic roles neglected by the state. “O ensino de técnicas agrícolas, o saneamento básico, a assistência médica… seriam eixos poderosos para a articulação da ação missionária aos diversos setores da sociedade” (Pacheco 376).</w:t>
      </w:r>
    </w:p>
    <w:p w:rsidR="00000000" w:rsidDel="00000000" w:rsidP="00000000" w:rsidRDefault="00000000" w:rsidRPr="00000000" w14:paraId="00000056">
      <w:pPr>
        <w:rPr/>
      </w:pPr>
      <w:r w:rsidDel="00000000" w:rsidR="00000000" w:rsidRPr="00000000">
        <w:rPr>
          <w:rtl w:val="0"/>
        </w:rPr>
        <w:t xml:space="preserve">This directly connects mission activities to rural development and modernization.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Lima:</w:t>
        <w:br w:type="textWrapping"/>
        <w:t xml:space="preserve">"Acompanhou os projetos de delimitação de fronteiras, saneamento e integração econômica e política."</w:t>
      </w:r>
    </w:p>
    <w:p w:rsidR="00000000" w:rsidDel="00000000" w:rsidP="00000000" w:rsidRDefault="00000000" w:rsidRPr="00000000" w14:paraId="00000059">
      <w:pPr>
        <w:spacing w:after="240" w:before="240" w:lineRule="auto"/>
        <w:rPr/>
      </w:pPr>
      <w:r w:rsidDel="00000000" w:rsidR="00000000" w:rsidRPr="00000000">
        <w:rPr>
          <w:rtl w:val="0"/>
        </w:rPr>
        <w:t xml:space="preserve">These missions often revealed the inadequacies of existing governmental frameworks in addressing the needs and realities of interior populations, prompting calls for reform and more inclusive policies.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1"/>
        </w:numPr>
        <w:ind w:left="720" w:hanging="360"/>
        <w:rPr>
          <w:b w:val="1"/>
          <w:bCs w:val="1"/>
        </w:rPr>
      </w:pPr>
      <w:r w:rsidDel="00000000" w:rsidR="00000000" w:rsidRPr="00000000">
        <w:rPr>
          <w:b w:val="1"/>
          <w:bCs w:val="1"/>
          <w:rtl w:val="0"/>
        </w:rPr>
        <w:t xml:space="preserve">Changing economic needs and a need for modernization</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Rebel commander Oswaldo Cordeiro de Farias stated: “For two and a half years, I lived in contact with the suffering Brazil, with its people, who had no schools, no healthcare, no roads, no police, no justice, no anything, very poor and without hope. This image of our people and their problems has never left me” (Blanc 6)</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Former rebels justified interior modernization by saying that the column had “opened up paths through untouched forests, where today there is now commerce, culture, and civilization” (Blanc 9).</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"Farmers fled or wrote pleas like, 'Do not harm us...' The column’s demands for supplies strained rural economies, revealing the interior’s lack of infrastructure."(Blanc 37) The rebels’ reliance on forced requisitions highlighted the interior’s economic marginalization and the need for development.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*"We found the 'unknown Brazil'... plundered by colonizers. Ruins of churches and prisons showed the region’s 18th-century stagnation."* (Blanc 49). Obvious need to modernize.The rebels framed their march as a wake-up call to modernize the interior, tying national progress to its integration.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Canudos conflict laid bare the divide between national progress and interior poverty, forcing Brazil to reckon with regional inequality“[Canudos] was the only spoils of war this conflict had to offer!”— the obsession with killing Antônio Conselheiro rather than improving the region underlined the state’s failure to offer solutions beyond violence” (Cunha 276)</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Andrade criticizes Europe’s failed rationalism and advocates for an indigenous-centered path: “The struggle between… the Uncreated and the Creation—Illustrated by the permanent contradiction between Man and his Taboo” (Andrade 304)</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Lima:</w:t>
      </w:r>
    </w:p>
    <w:p w:rsidR="00000000" w:rsidDel="00000000" w:rsidP="00000000" w:rsidRDefault="00000000" w:rsidRPr="00000000" w14:paraId="0000006B">
      <w:pPr>
        <w:spacing w:after="240" w:before="240" w:lineRule="auto"/>
        <w:rPr/>
      </w:pPr>
      <w:r w:rsidDel="00000000" w:rsidR="00000000" w:rsidRPr="00000000">
        <w:rPr>
          <w:rtl w:val="0"/>
        </w:rPr>
        <w:t xml:space="preserve">"A proposta de conhecimento dos sertões brasileiros [...] integração econômica e política."</w:t>
      </w:r>
    </w:p>
    <w:p w:rsidR="00000000" w:rsidDel="00000000" w:rsidP="00000000" w:rsidRDefault="00000000" w:rsidRPr="00000000" w14:paraId="0000006C">
      <w:pPr>
        <w:spacing w:after="240" w:before="240" w:lineRule="auto"/>
        <w:rPr/>
      </w:pPr>
      <w:r w:rsidDel="00000000" w:rsidR="00000000" w:rsidRPr="00000000">
        <w:rPr>
          <w:rtl w:val="0"/>
        </w:rPr>
        <w:t xml:space="preserve">The expeditions aimed to economically integrate the interior regions, recognizing that sustainable national development required embracing the diverse economic practices and needs of these areas.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Potential religion subpoint as part of subpoint 1:</w:t>
        <w:br w:type="textWrapping"/>
        <w:t xml:space="preserve">The role of religion also mirrored this conflict. After the end of the </w:t>
      </w:r>
      <w:r w:rsidDel="00000000" w:rsidR="00000000" w:rsidRPr="00000000">
        <w:rPr>
          <w:i w:val="1"/>
          <w:iCs w:val="1"/>
          <w:rtl w:val="0"/>
        </w:rPr>
        <w:t xml:space="preserve">padroado</w:t>
      </w:r>
      <w:r w:rsidDel="00000000" w:rsidR="00000000" w:rsidRPr="00000000">
        <w:rPr>
          <w:rtl w:val="0"/>
        </w:rPr>
        <w:t xml:space="preserve"> system, Catholic missions expanded into the interior with the explicit goal of reshaping the racial and cultural identities of Indigenous and rural populations. As Pacheco explains, these efforts aimed to “‘regenerar’ socialmente a população” and “‘corrigir’ as religiosidades dos silvícolas” (Pacheco 376). This was accompanied by linguistic erasure: “A instituição de uma língua nacional de tradição europeia, o português – anulando as línguas indígenas e de matrizes africanas” (Pacheco 385). National unity was equated with cultural conformity. However, the very need to “correct” these communities reveals how incompatible Brazil’s dominant identity model was with its own diversity.</w:t>
      </w:r>
    </w:p>
    <w:p w:rsidR="00000000" w:rsidDel="00000000" w:rsidP="00000000" w:rsidRDefault="00000000" w:rsidRPr="00000000" w14:paraId="0000006F">
      <w:pPr>
        <w:spacing w:after="240" w:before="240" w:lineRule="auto"/>
        <w:rPr/>
      </w:pPr>
      <w:r w:rsidDel="00000000" w:rsidR="00000000" w:rsidRPr="00000000">
        <w:rPr>
          <w:rtl w:val="0"/>
        </w:rPr>
        <w:t xml:space="preserve">Nísia Trindade Lima further emphasizes that expeditions into the interior served a symbolic and ideological function, aiming to integrate and redefine the nation’s image: “A proposta de conhecimento dos sertões brasileiros é analisada como expressão de um movimento de forte conteúdo simbólico” (Lima). These journeys exposed the contrast between the coastal elite and the interior’s racial and cultural mosaic, prompting “a construção de interpretações do Brasil referidas à ideia do contraste entre sertão e litoral” (Lima). In doing so, they laid bare the need to reconsider whether Brazil’s existing frameworks—racial, political, cultural—were capable of containing its full national reality.</w:t>
      </w:r>
    </w:p>
    <w:p w:rsidR="00000000" w:rsidDel="00000000" w:rsidP="00000000" w:rsidRDefault="00000000" w:rsidRPr="00000000" w14:paraId="00000070">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