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How did Christianization facilitate or limit slavery across the Atlantic?</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spread of Christianity was paramount to colonial efforts across areas of the New World and parts of Africa that later became known as the Atlantic. This process, known as the Christianization of European colonialism, took different forms across the colonies and institutions it created. Slavery, one of the primary institutions that fueled the creation of the modern Atlantic, also had its ties to Christian ideals spread by colonial forces such as the Spanish and Portuguese. Yet, these connections are much more complex than Christianity across the Atlantic condoning or refusing slavery. Upon further investigation, Christianity was used both as a uniting force and a measure against dissent across the Atlantic, with its presence acting as an institutional method of justifying slavery, while also bringing about objections among the slave communities it created.</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In order to understand how Christianity was instituted alongside slavery, it is important to recognize how Christianity attempted to unite slaves in their religious behavior so as to organize enslaved peoples and enact a colonial institution around slavery, both to justify it and limit dissent. Whether or not slaves actually believed in Christianity is up to debate and varied based on the enslaved community. However, the institutional benefits and organization brought about by Christianity were used to both indoctrinate slaves and stifle revolution. The Portuguese campaign of Atlantic slavery, for example, had a religious justification, as Herman Bennett states that the papal bulls of Portuguese popes “had indeed already given the kings of Portugal the right to dispossess and eternally enslave Mahometans, pagans, and black peoples in general” (Bennett 83). This positions slavery itself as a religious mandate for Europeans entering and taking over lands, especially at the face of religious deviance, effectively “sanctioning the violent enslavement of those unwilling to submit to the Christian invaders” (Bennett 83). Aligning Christianity with enslavement seemed to allow colonial institutions across the Atlantic to both force slaves into conversion and create communities out of these groups that served the society. One of these communities were known as “ethnically specific lay brotherhoods” where Brazilian and some Spanish slaves “expressed their national identities” and did charity “directed toward the nation at large” which “formed a surrogate for the family left behind in Africa” (Thornton 324). </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However, it was clear that these groups “were intended by the clergy to promote Christian life” rather than specifically promote the identity and status of slaves, as its presence was meant to limit dissent (Thornton 324). Ultimately, no matter how united Africans slaves were in these groups, they were still “subject to the parallel social organization imposed by their master, the estate”, which, under Atlantic slavery, was primarily a Christian colonial form of governance (Thornton 326). In addition, in examples such as the Portuguese occupation of Guinea, it is clear that the Christian ideals surrounding the institution of slavery were enough to stifle rebellion and consolidate power among colonial rulers. Certain Africans were divided based on their proximity to Chrisitianity, which informed the rights they were given in Christian society. By creating the institution of slavery and these slave groups, “the Church in tandem with African agency and Portuguese commercial motives curtailed wanton slave raids and established an institutional context through which some of Guinea’s inhabitants assumed the status of sovereign subjects” (Bennet 74). Those who did not fall under this classification “represented the sovereignless—both in the eyes of Africans and Europeans—and were ‘legitimately’ enslaved” (Bennett 74). While both groups in Guinea were technically enslaved, the promise of better treatment for those who adhered to colonial brotherhoods emphasizes efforts to build structure around slavery through Christian belief. </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In Luanda, similar ties between Christian colonialism and slavery are seen in the fact that “Luanda religious institutions commonly owned and traded in slaves”, especially “the Jesuits” who “had become the largest slaveholders in Angola by accepting slaves as gifts” (Ferreira 93). It is clear that the religious institution itself was associated with the trade of slaves. In fact, the individual religious practice of African slaves was not seen as essential for their participation in brotherhoods, further emphasizing a larger purpose for these religious structures to legislate slavery rather than solely religion. As Ferreira mentions, “Christianity was only one dimension of the multilayered religious fabric of Luanda, and Africans who joined churches and brotherhoods” usually committed to “African religious beliefs” despite their allegiances (Ferreira 181). This furthers the idea that the Christian aspect of colonial Atlantic slavery transcended religious lines, working as its own mini-institution to reinforce loyalty among slaves. The notion that these slaves did not fully believe in Christianity yet participated in this brotherhood suggests institutional benefits for slaves for aligning their behavior with the Christian tradition. In fact, evidence suggests a consistent theological defense of indigenous religion, even in religious adoption. Thornton adds that “In Latin America and Catholic countries in general, where there was a good fit, there developed a satisfactory syncretism, and conversion (at least nominal conversion)”, but “Where the cosmologies differed, however, as in Protestant countries, Africans developed their own new cosmology out of their varying traditions”, and “only accepted conversion when this cosmos began breaking down over time” (Thornton 255). </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Furthermore, the struggle between the morality of slavery and the reality of its institution among Christians, especially in Portuguese sources, is apparent. In </w:t>
      </w:r>
      <w:r w:rsidDel="00000000" w:rsidR="00000000" w:rsidRPr="00000000">
        <w:rPr>
          <w:i w:val="1"/>
          <w:iCs w:val="1"/>
          <w:rtl w:val="0"/>
        </w:rPr>
        <w:t xml:space="preserve">Crónica de Guiné</w:t>
      </w:r>
      <w:r w:rsidDel="00000000" w:rsidR="00000000" w:rsidRPr="00000000">
        <w:rPr>
          <w:rtl w:val="0"/>
        </w:rPr>
        <w:t xml:space="preserve">, a book written by Gomes Eanes de Zurara, a Christian Portuguese chronicler, the morality of the slave trade is discussed as it relates to the presence of slavery in Lagos and Prince Henry (another Portuguese navigator)’s efforts “increase support for the west African expeditions” (Newitt 148). While the author laments the brutality of slavery, Zurara ultimately concludes that it is justified for the “salvation of those [enslaved] souls that otherwise would have been lost” (Newitt 151). This again highlights the ties that sometimes existed between Christian thought and slavery to justify the colonial institution of it. Framing slavery as salvation as long as it was tied with Christianity seemed to allow the Portuguese and its chroniclers to rationalize Atlantic slavery under colonial institutions. Slavery was also seen as necessary to the colonial institution, overlapping religion, governmental structure and enslavement. It is noted that “the Portuguese crown had stripped power from the governors of Angola” and given it “to the junta das missões to promote missionary work in Angola” who worked with governors that “had openly and unscrupulously benefited from slaving in Angola through warfare and large-scale trade in internal markets (feiras)” (Ferreira 203). In these examples, the institutional aspects of Christian missionary work, the power of colonial governance, and the institution of slavery become difficult to separate, suggesting a complex reinforcement between these aspects of Atlantic societies post-colonization. Certain historians point to this binding effect as a critical aspect of keeping the institution of slavery together, as “even among chattel, the Church maintained some dominion—especially over their souls” that “imposed itself between masters and their property” (Bennett 60). In Saidiya Hartman’s </w:t>
      </w:r>
      <w:r w:rsidDel="00000000" w:rsidR="00000000" w:rsidRPr="00000000">
        <w:rPr>
          <w:i w:val="1"/>
          <w:iCs w:val="1"/>
          <w:rtl w:val="0"/>
        </w:rPr>
        <w:t xml:space="preserve">Lose Your Mother,</w:t>
      </w:r>
      <w:r w:rsidDel="00000000" w:rsidR="00000000" w:rsidRPr="00000000">
        <w:rPr>
          <w:rtl w:val="0"/>
        </w:rPr>
        <w:t xml:space="preserve"> a memoir-travelogue of slave routes across Ghana and the Atlantic, this sentiment of a religious connection to slavery is also emphasized, with Hartman noting that “The crucifix and a cursory baptism had ushered [Africans] into slavery” and promised “the gift of consolation provided by faith” for slaves who suffered under their masters” (Hartman 55). Overall, Christianity seemed to be an underlying force behind the overall colonial institutions across the Atlantic, and with the institution of slavery, it soon became a tool used to justify or create social organization under the colony among the enslaved. </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Yet, some sources do suggest that the communities created through Christian society sometimes offered protection for slaves and gave them their own agency to fight back against some of the plights of slavery. For example, in Luanda, in the </w:t>
      </w:r>
      <w:r w:rsidDel="00000000" w:rsidR="00000000" w:rsidRPr="00000000">
        <w:rPr>
          <w:i w:val="1"/>
          <w:iCs w:val="1"/>
          <w:rtl w:val="0"/>
        </w:rPr>
        <w:t xml:space="preserve">ladino</w:t>
      </w:r>
      <w:r w:rsidDel="00000000" w:rsidR="00000000" w:rsidRPr="00000000">
        <w:rPr>
          <w:rtl w:val="0"/>
        </w:rPr>
        <w:t xml:space="preserve"> slave communities, the Portuguese allowed the enslaved to contract marriages and maintain families (Ferreira 90). In addition, “when slaves belonging to the Jesuit convent gave refuge to a runaway slave, the priests supported them against a police detail sent by the city to apprehend the escapee”, suggesting support from priests in favor of slaves (Ferreira 90). These aspects of slave life in Luanda also allowed for some legal protections, as “the Jesuits excommunicated a governor of Angola in the 1660s after an incident that led to the arrest of some of their slaves” (Ferreira 90). Furthermore, clear agency was taken by a government-backed brotherhood in Luanda that sent a letter to Rome complaining about discrimination from white residents of Luanda, citing that “We must all be equal in service to God” (Ferreira 91). This suggests some sort of authority granted to slave groups that were a part of colonies involved in the Atlantic trade. However, the ultimate authority among these groups still seemed to be vested in the colonial state, as many disputes arose when the complaints of slaves were ignored at the sale of their families and loved ones (Ferreira 92). As a result, the purpose of this agency given to slave groups seemed to still be bound by what served the interest of Christian institutions. Some historians also point to the sheer mobility of slaves across the trade routes of the Atlantic as a way for them to regain a semblance of control over their fate (Fisk and Nafafé 1). It is noted that mobility across the Atlantic as a slave “could offer liberatory possibilities” or even allow for marronage (escaping slavery) via brotherhoods (Fisk and Nafafé 3). Yet, as shown in previous examples, when these brotherhoods were state-legislated, they were ultimately at the whims of a larger colonial institution, backed by either religious justification or other political motives. </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Accounts of the Atlantic slave trade do show a sense of guilt expressed by religious leaders at the sight of slavery, albeit on an individual rather than church-wide basis. For example, Francesco Carletti, a traveler on a slaving voyage to Cape Verde and the Spanish Indies, noted that branding slaves “does not fail to cause me sadness and trouble in my conscience, because, in truth Serene Lord, this traffic always appears to me to be inhumane and unworthy of the faith and piety of a Christian” (Newitt 156). This suggests a clear religious disdain for the subjugation of slavery, and a clash between Christian belief in the Atlantic and the institutions it propped up. However, this is subverted by the statement that “it is all the more shameful for one who has been baptized”, suggesting that there is some connection between being a Christian and one’s right to avoid enslavement (Newitt 156). In addition, Carletti acknowledges “that this business never pleased me”, but also makes religious critiques of slaves, writing that the slave men and women could have been naked due to “innocence or stupidity” and that their states reflects an original sin “more shameful than any other”, clearly suggesting a distinction in supposed moral slaves through a Christian lens (Newitt 157). As a result, the focus is moved away from the morality of slavery itself and is instead placed on the morality of enslaving Christians, emphasizing how centered slavery was around the provisions of Christian faith not only in one colony, but in various parts of the Atlantic route. </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In the Portuguese colony of São Jorge da Mina in West Africa, this idea is further complicated. In this colony, An unusual amount of protection was given to African Christians, even in slavery. It is noted that while slaves sometimes “felt the sting of the lash, the Portuguese viewed most Africans, including the Christian converts, beholden to local laws” (Bennett 128). In one account of a dispute between a Portuguese commander and African subordinate, the king ordered the African to pay a fine to the church as his punishment, suggesting equal treatment under colonial rule, while also implying the institution of the church as the ultimate legal agent (Bennet 128). Interestingly, historians note that the complex, two-sided nature of slavery and African subordination in the Atlantic created a “savage-to-slave trajectory” in part inspired by Christian belief, while at the same time forming a rhetoric “derived from feudalism and Christianity” that spurred “a representational domain” for African slaves of both rights and repression (Bennett 129). As a result, the few liberties and recognitions of rights afforded to slaves in the Atlantic under Christian society were still restrained under the motives of colonial power, granting mobility to slaves and instilling suppression when it served a political benefit. </w:t>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Reconciling the complex nature of slavery in the Atlantic under a Christian framework places the issue of slavery at the crossroads of theology, political control, and colonial expansion. Even when afforded liberties by the Christian state, whether it be through conversion, brotherhoods, or protections by colonial powers, Atlantic slaves were still subject to the political interests of their masters and the Christianization narrative justifying their enslavement. This blurs the lines between true belief, colonial motives, and the history of the enslaved throughout the Atlantic network of commerce, ideology, and subjugated peoples. </w:t>
      </w:r>
      <w:r w:rsidDel="00000000" w:rsidR="00000000" w:rsidRPr="00000000">
        <w:br w:type="page"/>
      </w:r>
      <w:r w:rsidDel="00000000" w:rsidR="00000000" w:rsidRPr="00000000">
        <w:rPr>
          <w:rtl w:val="0"/>
        </w:rPr>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Works Cited</w:t>
      </w:r>
    </w:p>
    <w:p w:rsidR="00000000" w:rsidDel="00000000" w:rsidP="00000000" w:rsidRDefault="00000000" w:rsidRPr="00000000" w14:paraId="00000016">
      <w:pPr>
        <w:spacing w:after="240" w:before="240" w:lineRule="auto"/>
        <w:ind w:left="720" w:hanging="720"/>
        <w:rPr/>
      </w:pPr>
      <w:r w:rsidDel="00000000" w:rsidR="00000000" w:rsidRPr="00000000">
        <w:rPr>
          <w:rtl w:val="0"/>
        </w:rPr>
        <w:t xml:space="preserve">Bennett, Herman L. </w:t>
      </w:r>
      <w:r w:rsidDel="00000000" w:rsidR="00000000" w:rsidRPr="00000000">
        <w:rPr>
          <w:i w:val="1"/>
          <w:iCs w:val="1"/>
          <w:rtl w:val="0"/>
        </w:rPr>
        <w:t xml:space="preserve">African Kings and Black Slaves: Sovereignty and Dispossession in the Early Modern Atlantic.</w:t>
      </w:r>
      <w:r w:rsidDel="00000000" w:rsidR="00000000" w:rsidRPr="00000000">
        <w:rPr>
          <w:rtl w:val="0"/>
        </w:rPr>
        <w:t xml:space="preserve"> University of Pennsylvania Press, 2018.</w:t>
      </w:r>
    </w:p>
    <w:p w:rsidR="00000000" w:rsidDel="00000000" w:rsidP="00000000" w:rsidRDefault="00000000" w:rsidRPr="00000000" w14:paraId="00000017">
      <w:pPr>
        <w:spacing w:after="240" w:before="240" w:lineRule="auto"/>
        <w:ind w:left="720" w:hanging="720"/>
        <w:rPr/>
      </w:pPr>
      <w:r w:rsidDel="00000000" w:rsidR="00000000" w:rsidRPr="00000000">
        <w:rPr>
          <w:rtl w:val="0"/>
        </w:rPr>
        <w:t xml:space="preserve">Ferreira, Roquinaldo Amaral. </w:t>
      </w:r>
      <w:r w:rsidDel="00000000" w:rsidR="00000000" w:rsidRPr="00000000">
        <w:rPr>
          <w:i w:val="1"/>
          <w:iCs w:val="1"/>
          <w:rtl w:val="0"/>
        </w:rPr>
        <w:t xml:space="preserve">Cross-Cultural Exchange in the Atlantic World: Angola and Brazil during the Era of the Slave Trade.</w:t>
      </w:r>
      <w:r w:rsidDel="00000000" w:rsidR="00000000" w:rsidRPr="00000000">
        <w:rPr>
          <w:rtl w:val="0"/>
        </w:rPr>
        <w:t xml:space="preserve"> Cambridge University Press, 2012.</w:t>
      </w:r>
    </w:p>
    <w:p w:rsidR="00000000" w:rsidDel="00000000" w:rsidP="00000000" w:rsidRDefault="00000000" w:rsidRPr="00000000" w14:paraId="00000018">
      <w:pPr>
        <w:spacing w:after="240" w:before="240" w:lineRule="auto"/>
        <w:ind w:left="720" w:hanging="720"/>
        <w:rPr/>
      </w:pPr>
      <w:r w:rsidDel="00000000" w:rsidR="00000000" w:rsidRPr="00000000">
        <w:rPr>
          <w:rtl w:val="0"/>
        </w:rPr>
        <w:t xml:space="preserve">Fisk, Bethan, and José Lingna Nafafé. “Coercion and Enslavement in Motion: An Introduction.” </w:t>
      </w:r>
      <w:r w:rsidDel="00000000" w:rsidR="00000000" w:rsidRPr="00000000">
        <w:rPr>
          <w:i w:val="1"/>
          <w:iCs w:val="1"/>
          <w:rtl w:val="0"/>
        </w:rPr>
        <w:t xml:space="preserve">Slavery &amp; Abolition</w:t>
      </w:r>
      <w:r w:rsidDel="00000000" w:rsidR="00000000" w:rsidRPr="00000000">
        <w:rPr>
          <w:rtl w:val="0"/>
        </w:rPr>
        <w:t xml:space="preserve">, vol. 44, no. 3, 2023, pp. 425–431.</w:t>
      </w:r>
    </w:p>
    <w:p w:rsidR="00000000" w:rsidDel="00000000" w:rsidP="00000000" w:rsidRDefault="00000000" w:rsidRPr="00000000" w14:paraId="00000019">
      <w:pPr>
        <w:spacing w:after="240" w:before="240" w:lineRule="auto"/>
        <w:ind w:left="720" w:hanging="720"/>
        <w:rPr/>
      </w:pPr>
      <w:r w:rsidDel="00000000" w:rsidR="00000000" w:rsidRPr="00000000">
        <w:rPr>
          <w:rtl w:val="0"/>
        </w:rPr>
        <w:t xml:space="preserve">Hartman, Saidiya. </w:t>
      </w:r>
      <w:r w:rsidDel="00000000" w:rsidR="00000000" w:rsidRPr="00000000">
        <w:rPr>
          <w:i w:val="1"/>
          <w:iCs w:val="1"/>
          <w:rtl w:val="0"/>
        </w:rPr>
        <w:t xml:space="preserve">Lose Your Mother: A Journey Along the Atlantic Slave Route.</w:t>
      </w:r>
      <w:r w:rsidDel="00000000" w:rsidR="00000000" w:rsidRPr="00000000">
        <w:rPr>
          <w:rtl w:val="0"/>
        </w:rPr>
        <w:t xml:space="preserve"> Farrar, Straus and Giroux, 2007.</w:t>
      </w:r>
    </w:p>
    <w:p w:rsidR="00000000" w:rsidDel="00000000" w:rsidP="00000000" w:rsidRDefault="00000000" w:rsidRPr="00000000" w14:paraId="0000001A">
      <w:pPr>
        <w:spacing w:after="240" w:before="240" w:lineRule="auto"/>
        <w:ind w:left="720" w:hanging="720"/>
        <w:rPr/>
      </w:pPr>
      <w:r w:rsidDel="00000000" w:rsidR="00000000" w:rsidRPr="00000000">
        <w:rPr>
          <w:rtl w:val="0"/>
        </w:rPr>
        <w:t xml:space="preserve">Newitt, Malyn. </w:t>
      </w:r>
      <w:r w:rsidDel="00000000" w:rsidR="00000000" w:rsidRPr="00000000">
        <w:rPr>
          <w:i w:val="1"/>
          <w:iCs w:val="1"/>
          <w:rtl w:val="0"/>
        </w:rPr>
        <w:t xml:space="preserve">The Portuguese in West Africa, 1415–1670: A Documentary History.</w:t>
      </w:r>
      <w:r w:rsidDel="00000000" w:rsidR="00000000" w:rsidRPr="00000000">
        <w:rPr>
          <w:rtl w:val="0"/>
        </w:rPr>
        <w:t xml:space="preserve"> Cambridge University Press, 2010.</w:t>
      </w:r>
    </w:p>
    <w:p w:rsidR="00000000" w:rsidDel="00000000" w:rsidP="00000000" w:rsidRDefault="00000000" w:rsidRPr="00000000" w14:paraId="0000001B">
      <w:pPr>
        <w:spacing w:after="240" w:before="240" w:lineRule="auto"/>
        <w:ind w:left="720" w:hanging="720"/>
        <w:rPr/>
      </w:pPr>
      <w:r w:rsidDel="00000000" w:rsidR="00000000" w:rsidRPr="00000000">
        <w:rPr>
          <w:rtl w:val="0"/>
        </w:rPr>
        <w:t xml:space="preserve">Thornton, John. </w:t>
      </w:r>
      <w:r w:rsidDel="00000000" w:rsidR="00000000" w:rsidRPr="00000000">
        <w:rPr>
          <w:i w:val="1"/>
          <w:iCs w:val="1"/>
          <w:rtl w:val="0"/>
        </w:rPr>
        <w:t xml:space="preserve">Africa and Africans in the Making of the Atlantic World, 1400–1800.</w:t>
      </w:r>
      <w:r w:rsidDel="00000000" w:rsidR="00000000" w:rsidRPr="00000000">
        <w:rPr>
          <w:rtl w:val="0"/>
        </w:rPr>
        <w:t xml:space="preserve"> 2nd ed., Cambridge University Press, 1998.</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E">
      <w:pPr>
        <w:rPr>
          <w:b w:val="1"/>
          <w:bCs w:val="1"/>
          <w:color w:val="222222"/>
          <w:sz w:val="26"/>
          <w:szCs w:val="26"/>
          <w:highlight w:val="white"/>
        </w:rPr>
      </w:pPr>
      <w:r w:rsidDel="00000000" w:rsidR="00000000" w:rsidRPr="00000000">
        <w:rPr>
          <w:b w:val="1"/>
          <w:bCs w:val="1"/>
          <w:color w:val="222222"/>
          <w:sz w:val="26"/>
          <w:szCs w:val="26"/>
          <w:highlight w:val="white"/>
          <w:rtl w:val="0"/>
        </w:rPr>
        <w:t xml:space="preserve">How did Christianization facilitate or limit slavery across the Atlantic?</w:t>
      </w:r>
    </w:p>
    <w:p w:rsidR="00000000" w:rsidDel="00000000" w:rsidP="00000000" w:rsidRDefault="00000000" w:rsidRPr="00000000" w14:paraId="0000001F">
      <w:pPr>
        <w:rPr>
          <w:b w:val="1"/>
          <w:bCs w:val="1"/>
          <w:color w:val="222222"/>
          <w:sz w:val="26"/>
          <w:szCs w:val="26"/>
          <w:highlight w:val="white"/>
        </w:rPr>
      </w:pPr>
      <w:r w:rsidDel="00000000" w:rsidR="00000000" w:rsidRPr="00000000">
        <w:rPr>
          <w:rtl w:val="0"/>
        </w:rPr>
      </w:r>
    </w:p>
    <w:p w:rsidR="00000000" w:rsidDel="00000000" w:rsidP="00000000" w:rsidRDefault="00000000" w:rsidRPr="00000000" w14:paraId="00000020">
      <w:pPr>
        <w:rPr>
          <w:b w:val="1"/>
          <w:bCs w:val="1"/>
          <w:color w:val="222222"/>
          <w:sz w:val="26"/>
          <w:szCs w:val="26"/>
          <w:highlight w:val="white"/>
        </w:rPr>
      </w:pPr>
      <w:r w:rsidDel="00000000" w:rsidR="00000000" w:rsidRPr="00000000">
        <w:rPr>
          <w:b w:val="1"/>
          <w:bCs w:val="1"/>
          <w:color w:val="222222"/>
          <w:sz w:val="26"/>
          <w:szCs w:val="26"/>
          <w:highlight w:val="white"/>
          <w:rtl w:val="0"/>
        </w:rPr>
        <w:t xml:space="preserve">Claim: Christianity was used both as a uniting force and a source of dissent across the Atlantic, with its presence acting as an institutional method of justifying slavery, while also bringing about objections among the slave communities it created.</w:t>
      </w:r>
    </w:p>
    <w:p w:rsidR="00000000" w:rsidDel="00000000" w:rsidP="00000000" w:rsidRDefault="00000000" w:rsidRPr="00000000" w14:paraId="00000021">
      <w:pPr>
        <w:rPr>
          <w:color w:val="222222"/>
          <w:highlight w:val="white"/>
        </w:rPr>
      </w:pPr>
      <w:r w:rsidDel="00000000" w:rsidR="00000000" w:rsidRPr="00000000">
        <w:rPr>
          <w:rtl w:val="0"/>
        </w:rPr>
      </w:r>
    </w:p>
    <w:p w:rsidR="00000000" w:rsidDel="00000000" w:rsidP="00000000" w:rsidRDefault="00000000" w:rsidRPr="00000000" w14:paraId="00000022">
      <w:pPr>
        <w:numPr>
          <w:ilvl w:val="0"/>
          <w:numId w:val="1"/>
        </w:numPr>
        <w:ind w:left="720" w:hanging="360"/>
        <w:rPr>
          <w:b w:val="1"/>
          <w:bCs w:val="1"/>
          <w:color w:val="222222"/>
          <w:highlight w:val="white"/>
        </w:rPr>
      </w:pPr>
      <w:r w:rsidDel="00000000" w:rsidR="00000000" w:rsidRPr="00000000">
        <w:rPr>
          <w:b w:val="1"/>
          <w:bCs w:val="1"/>
          <w:color w:val="222222"/>
          <w:highlight w:val="white"/>
          <w:rtl w:val="0"/>
        </w:rPr>
        <w:t xml:space="preserve">Christianity helped join slaves in their religious creed so as to unite enslaved peoples coming from radically different parts of the world and enact a colonial institution around slavery.</w:t>
      </w:r>
    </w:p>
    <w:p w:rsidR="00000000" w:rsidDel="00000000" w:rsidP="00000000" w:rsidRDefault="00000000" w:rsidRPr="00000000" w14:paraId="00000023">
      <w:pPr>
        <w:numPr>
          <w:ilvl w:val="1"/>
          <w:numId w:val="1"/>
        </w:numPr>
        <w:ind w:left="1440" w:hanging="360"/>
        <w:rPr>
          <w:color w:val="222222"/>
          <w:highlight w:val="white"/>
        </w:rPr>
      </w:pPr>
      <w:r w:rsidDel="00000000" w:rsidR="00000000" w:rsidRPr="00000000">
        <w:rPr>
          <w:color w:val="222222"/>
          <w:highlight w:val="white"/>
          <w:rtl w:val="0"/>
        </w:rPr>
        <w:t xml:space="preserve">“The bulls of Nicolas V—Dum Diversas (1452) and Romanus Pontifex (1455)—had indeed already given the kings of Portugal the right to dispossess and eternally enslave Mahometans, pagans, and black peoples in general. Dum Diversas clearly stipulates the right to invade, conquer, expel, and fight Muslims, pagans, and other enemies of Christ wherever they may be.”(Bennett)</w:t>
      </w:r>
    </w:p>
    <w:p w:rsidR="00000000" w:rsidDel="00000000" w:rsidP="00000000" w:rsidRDefault="00000000" w:rsidRPr="00000000" w14:paraId="00000024">
      <w:pPr>
        <w:numPr>
          <w:ilvl w:val="1"/>
          <w:numId w:val="1"/>
        </w:numPr>
        <w:ind w:left="1440" w:hanging="360"/>
        <w:rPr>
          <w:color w:val="222222"/>
          <w:highlight w:val="white"/>
        </w:rPr>
      </w:pPr>
      <w:r w:rsidDel="00000000" w:rsidR="00000000" w:rsidRPr="00000000">
        <w:rPr>
          <w:color w:val="222222"/>
          <w:highlight w:val="white"/>
          <w:rtl w:val="0"/>
        </w:rPr>
        <w:t xml:space="preserve">The rules of these brotherhoods, which were intended by the clergy to promote Christian life and charitable works, often specified that members of only one or another nation could be members, and often their charitable works were directed toward the nation at large, presumably even to- ward those who were not official members of the brotherhood (a minority, and the richest at that). In addition to doing charitable work, brother- hoods proudly paraded on saints' days, performing dances of their nation and singing in their national language. (Thornton)</w:t>
      </w:r>
    </w:p>
    <w:p w:rsidR="00000000" w:rsidDel="00000000" w:rsidP="00000000" w:rsidRDefault="00000000" w:rsidRPr="00000000" w14:paraId="00000025">
      <w:pPr>
        <w:numPr>
          <w:ilvl w:val="1"/>
          <w:numId w:val="1"/>
        </w:numPr>
        <w:ind w:left="1440" w:hanging="360"/>
        <w:rPr>
          <w:b w:val="1"/>
          <w:bCs w:val="1"/>
          <w:color w:val="222222"/>
          <w:highlight w:val="white"/>
        </w:rPr>
      </w:pPr>
      <w:r w:rsidDel="00000000" w:rsidR="00000000" w:rsidRPr="00000000">
        <w:rPr>
          <w:b w:val="1"/>
          <w:bCs w:val="1"/>
          <w:color w:val="222222"/>
          <w:highlight w:val="white"/>
          <w:rtl w:val="0"/>
        </w:rPr>
        <w:t xml:space="preserve">“By defining Guinea’s inhabitants, both infidels and pagans, as the extra ecclesiam, the Church granted those outside its fold the right to exist unmolested until such time that they violated natural law. Binding Christian princes and their subjects to this protocol, the Church in tandem with African agency and Portuguese commercial motives curtailed wanton slave raids and established an institutional context through which some of Guinea’s inhabitants assumed the status of sovereign subjects. Others, however, represented the sovereignless—both in the eyes of Africans and Europeans—and were ‘legitimately’ enslaved.”</w:t>
      </w:r>
    </w:p>
    <w:p w:rsidR="00000000" w:rsidDel="00000000" w:rsidP="00000000" w:rsidRDefault="00000000" w:rsidRPr="00000000" w14:paraId="00000026">
      <w:pPr>
        <w:numPr>
          <w:ilvl w:val="1"/>
          <w:numId w:val="1"/>
        </w:numPr>
        <w:ind w:left="1440" w:hanging="360"/>
        <w:rPr>
          <w:color w:val="222222"/>
          <w:highlight w:val="white"/>
        </w:rPr>
      </w:pPr>
      <w:r w:rsidDel="00000000" w:rsidR="00000000" w:rsidRPr="00000000">
        <w:rPr>
          <w:color w:val="222222"/>
          <w:highlight w:val="white"/>
          <w:rtl w:val="0"/>
        </w:rPr>
        <w:t xml:space="preserve">In her analysis, the cosmologies of the Africans were fitted to those of various European Christian denominations. In Latin America and Catholic countries in general, where there was a good fit, there developed a satisfactory syncretism, and conversion (at least nominal conversion) took place rap- idly. Where the cosmologies differed, however, as in Protestant coun- tries, Africans developed their own new cosmology (the Afro-American Sacred Cosmos) out of their varying traditions, and only accepted con- version when this cosmos began breaking down over time. (Thornton)</w:t>
      </w:r>
    </w:p>
    <w:p w:rsidR="00000000" w:rsidDel="00000000" w:rsidP="00000000" w:rsidRDefault="00000000" w:rsidRPr="00000000" w14:paraId="00000027">
      <w:pPr>
        <w:numPr>
          <w:ilvl w:val="1"/>
          <w:numId w:val="1"/>
        </w:numPr>
        <w:ind w:left="1440" w:hanging="360"/>
        <w:rPr>
          <w:color w:val="222222"/>
          <w:highlight w:val="white"/>
        </w:rPr>
      </w:pPr>
      <w:r w:rsidDel="00000000" w:rsidR="00000000" w:rsidRPr="00000000">
        <w:rPr>
          <w:color w:val="222222"/>
          <w:highlight w:val="white"/>
          <w:rtl w:val="0"/>
        </w:rPr>
        <w:t xml:space="preserve">That Church control of the process of continuous revelation in Eu- rope was incomplete, and sixteenth-century Europeans often accepted as valid revelations that the Church did not, though it was precisely in this period that the Church was moving decisively to control the process of continuous revelation. (Thornton)</w:t>
      </w:r>
    </w:p>
    <w:p w:rsidR="00000000" w:rsidDel="00000000" w:rsidP="00000000" w:rsidRDefault="00000000" w:rsidRPr="00000000" w14:paraId="00000028">
      <w:pPr>
        <w:numPr>
          <w:ilvl w:val="1"/>
          <w:numId w:val="1"/>
        </w:numPr>
        <w:spacing w:after="0" w:afterAutospacing="0"/>
        <w:ind w:left="1440" w:hanging="360"/>
        <w:rPr>
          <w:color w:val="222222"/>
          <w:highlight w:val="white"/>
        </w:rPr>
      </w:pPr>
      <w:r w:rsidDel="00000000" w:rsidR="00000000" w:rsidRPr="00000000">
        <w:rPr>
          <w:color w:val="222222"/>
          <w:highlight w:val="white"/>
          <w:rtl w:val="0"/>
        </w:rPr>
        <w:t xml:space="preserve">Very long quote but just adding for sake of reading: “This view of the status of continuous revelation in Europe would help to shape Christianity's attitude toward other religions. It would be easy to ascribe the revelations that formed the basis of another religion to the Devil and then to introduce the Christian series. But to some extent, this approach was limited by the idea that God must have revealed himself to other people besides the Jews, and thus, potentially at least, other peo- ple in the world might have had valid revelations from God and not the Devil.”</w:t>
        <w:tab/>
        <w:t xml:space="preserve">“This idea was especially relevant for non-Mediterranean religions. The Devil might have motivated the Jews who rejected Christ or used Roman beliefs to try to halt the spread of Christianity or made false revelations to Muhammed, but he did so in the struggle against Christ. However, in areas of the world where Christ had never been, many believed God would not have allowed the Devil such a free hand.</w:t>
        <w:tab/>
        <w:tab/>
        <w:tab/>
        <w:tab/>
      </w:r>
    </w:p>
    <w:p w:rsidR="00000000" w:rsidDel="00000000" w:rsidP="00000000" w:rsidRDefault="00000000" w:rsidRPr="00000000" w14:paraId="00000029">
      <w:pPr>
        <w:numPr>
          <w:ilvl w:val="1"/>
          <w:numId w:val="1"/>
        </w:numPr>
        <w:spacing w:after="0" w:afterAutospacing="0" w:before="0" w:beforeAutospacing="0" w:lineRule="auto"/>
        <w:ind w:left="1440" w:hanging="360"/>
        <w:rPr>
          <w:color w:val="222222"/>
          <w:highlight w:val="white"/>
        </w:rPr>
      </w:pPr>
      <w:r w:rsidDel="00000000" w:rsidR="00000000" w:rsidRPr="00000000">
        <w:rPr>
          <w:color w:val="222222"/>
          <w:highlight w:val="white"/>
          <w:rtl w:val="0"/>
        </w:rPr>
        <w:t xml:space="preserve">This was exactly the attitude of the Spanish clergy in confronting Mexican religion, for example. When they heard Aztec stories of Quetzal- coatl, a good king (deified by the sixteenth century) who had been driven from Mexico by trickery and would return in glory, they decided that Quetzalcoatl must have been the Apostle Thomas, bringing word of Christianity, and those who drove him out must have been inspired by the Devil. Thus, they sought to persuade the Aztecs that they were restoring Quetzalcoatl by bringing Christianity, while at the same time vigorously attacking most current Aztec practices as being diabolically inspired by Quetzalcoatl's enemies.7</w:t>
      </w:r>
      <w:r w:rsidDel="00000000" w:rsidR="00000000" w:rsidRPr="00000000">
        <w:rPr>
          <w:color w:val="222222"/>
          <w:sz w:val="14"/>
          <w:szCs w:val="14"/>
          <w:highlight w:val="white"/>
          <w:rtl w:val="0"/>
        </w:rPr>
        <w:t xml:space="preserve">2  </w:t>
      </w:r>
      <w:r w:rsidDel="00000000" w:rsidR="00000000" w:rsidRPr="00000000">
        <w:rPr>
          <w:rtl w:val="0"/>
        </w:rPr>
        <w:t xml:space="preserve">(Thornton)</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Even slaves who belonged to the Jesuit college in Luanda and had thus been extensively exposed to Christianity would turn to gangas to treat their illnesses. (Ferreira)</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“Yet Christianity was only one dimension of the multilayered religious fabric of Luanda, and Africans who joined churches and brotherhoods were likely to remain committed to their African religious beliefs.” (Ferreira)</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yet Luanda religious institutions commonly owned and traded in slaves. Early in the seventeenth century, for instance, the Jesuits had become the largest slaveholders in Angola by accepting slaves as gifts from African rulers and wealthy Luanda residents.20 These slaves numbered in the thousands and most toiled on farms near Luanda.21 Local convents hired slaves out to Luanda residents, taking advantage of the fact that their slaves were usually highly skilled workers and commanded high demand in town. (Ferreira)</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To a certain degree, this reflected the perennial understaffing of reli- gious institutions. In 1784, authorities called for the creation of a seminary, arguing that missionary work in the interior would not advance without “the ordination of native Africans.” (Ferreira)</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“the Portuguese crown had stripped power from the governors of Angola – who had previously been the sole appeals judges in Luanda – and transferred this task to the junta das missões.63 The junta had been created in 1681 to promote missionary work in Angola, and it was composed of the governor of Angola, the bishop of Angola, a Lisbon- appointed judge (ouvidor geral), and the provedor geral of Angola.64 As appeals judges of mucano cases, governors had overturned or endorsed sentences issued by capitães mores in the Angolan sertões. Since the early seventeenth century, however, they had openly and unscrupulously benefited from slaving in Angola through warfare and large-scale trade in internal markets (feiras).” (Ferreira)</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“He reaches the conclusion that the trade is justified because the souls of the slaves will be saved, and piously concludes that this was Prince Henry’s primary concern” (Zurara’s letter from Newitt)</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And another little Moor, who afterwards became a friar of St Francis, they sent to [the convent of] Cape St. Vincent, where he lived ever afterwards as a Catholic Christian, without having understanding or perception of any other law than that true and holy law in which all Christians hope for their salvation (Newitt) -&gt; Slavery being a means to salvation</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You say in your letters that you do not want there to be any slave trade in your kingdom because it is depopulating your land. I can believe that you only say this as a result of the suffering that the Portuguese cause you, because I am told of the great size of Kongo and how it is so populated that it appears that not a single slave has left it. They also tell me that you send to buy them [slaves] outside [the country] and that you marry them and make them Christian, by which means the coun- try is well populated. All this seems good to me and so now, with this order that the people carry and which you intend to send to the fairs,2 it appears there will be many slaves. (Newitt) -&gt; (Afonso of Kongo being ignored because Chrisitanity will save slaves)</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TAKING IN THE FESTIVAL of color and sound before me, what I found troubling was that the scars of slavery were no more apparent in Elmina than in Boston or Rhode Island or Charleston (or Lisbon or Bristol or Nantes). Only the blessings of the slave trade remained, according to the town’s residents, by which they meant their modernity. The Atlantic slave trade had introduced them to literacy and Christianity, and of this they were very proud. Images of Jesus abounded, as if salvation rather than secondhand goods were for sale. The Son of God wearing his crown of thorns illustrated kiosks, and “Blood of the Lamb” and “Jesus Saves” christened open-air beauty shops. Propagating and luminous, the many heads of Jesus encircled the town, overseeing exchange and pledging deliverance. A defiant driver emblazoned his van, “Try. Let God rest.” A lone kiosk was adorned with hagiographic portraits of Tupac and Biggie Smalls; the hip-hop saints vied with the Son of God for devotee (Hartman)</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THE SIGNS AND SYMBOLS of Saint George’s world were firsthand knowledge to the slaves imprisoned in the fort. The crucifix and a cursory baptism had ushered them into slavery. In the horrible trials endured by saints, there is, at least, the gift of consolation provided by faith affirmed and the promise of being liberated from the stench of the grave. But no solace can be found in the death of the slave, no higher ground can be located, no perspective can be found from which death serves a greater good or becomes anything other than what it is. The slaves corralled in the yard of the castle experienced the death of slaves—they lived and breathed, but they were dead in the social world of men. They were “commodities in the hands of merchants and use-goods and patrimony in the hands of buyers.” Seized from home, sold in the market, and severed from kin, the slave was for all intents and purposes dead, no less so than had… (Hartman)</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Yet even among chattel, the Church maintained some dominion—especially over their souls—and in an effort to affect the Christian republica’s spiritual well-being, imposed itself between masters and their property (Bennett)</w:t>
      </w:r>
    </w:p>
    <w:p w:rsidR="00000000" w:rsidDel="00000000" w:rsidP="00000000" w:rsidRDefault="00000000" w:rsidRPr="00000000" w14:paraId="0000003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The communities created through Christian society sometimes offered protection for slaves both independently and through priests and gave them their own agency to fight back against some forms of slavery. </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tl w:val="0"/>
        </w:rPr>
        <w:t xml:space="preserve">The cohesiveness of the ladino community was some- times promoted by priests. In 1655, for example, when slaves belonging to the Jesuit convent gave refuge to a runaway slave, the priests supported them against a police detail sent by the city to apprehend the escapee. Later, the Jesuits excommunicated a governor of Angola in the 1660s after an incident that led to the arrest of some of their slaves (Ferreira)</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rtl w:val="0"/>
        </w:rPr>
        <w:t xml:space="preserve">"The brotherhood of Our Lady of the Rosary was supported by Luanda’s administration, which provided funds so that the brotherhood could maintain a chapel (ermida) and organize social activities for their members and the town’s large black population. The brotherhood organized a procession on the streets of Luanda the first Sunday of every month, a tradition that was only interrupted during the Dutch occupation of Luanda in the 1640s. In 1658, the members of this brotherhood sent a letter to Rome 'so that the whites [residents of Luanda] do not harass them on the ground they are black and slaves.' As they stated, 'We must all be equal in service to God.'" (Ferreira)</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tl w:val="0"/>
        </w:rPr>
        <w:t xml:space="preserve">Although Francisca could have sought out an ouvidor, it is more likely that she pursued legal action against Bravo in the tribunal de mucanos, which provided a forum where African vassals could challenge enslavement and seek to regain their status as free. The tribunal de mucanos was an African institution incorporated into the Portuguese legal system by the middle of the seventeenth century that epitomized the interwoven nature of customs, power, and law in Portuguese Angola. In the Quimbundo language, mucano means litiga- tion. In addition to the legal proceedings that pertained to the status of enslaved Africans, the tribunal de mucanos also judged “every civil and criminal lawsuit,” including “diverse cases such as a fire ruining houses and loss or destruction of houses.” (Thornton)</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rtl w:val="0"/>
        </w:rPr>
        <w:t xml:space="preserve">“Stephanie Camp defined enslaver control over mobility, pivotal for their auth- ority over the enslaved, ‘the geography of containment,’ while she conceptual- ized the alternative more autonomous realm that enslaved people created through their movement as ‘rival geographies,’ which existed alongside worlds of enslavement.8 To be mobile in the world of Atlantic slavery could offer liberatory possibilities, whether for fleeting moments or more extended periods of marronage.9 Another vein of scholarship has focused on Black mobi- lity via the slave trade and the cultural worlds it produced. Paul Gilroy, most notably, theorized the primacy of the Middle Passage in creating enslavement, Black cultural creativity, and the modern world. Indeed, enslaved mobilities birthed the Black Atlantic. The Middle Passage—the voyage from Africa to the Americas—was the prin- cipal form of captive mobilities of bondspeople, and its violence shaped the condition of enslavement. The term ‘captivity’ implies remaining in one place, yet one of the most singular aspects of the trans-Atlantic slave trade was the extent of mobility, the sheer distance travelled in floating tombs, and the resulting cultural deprivation, loss of genealogies, loss of homeland.” (Nafafé)</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At this price we bought seventy-five slaves, two-thirds men and one-third women, both young and old, large and small. All were mixed together according to the custom of the country and in a flock, just as in our country we would buy sheep, having first taken all the necessary precautions to make sure that they were in good health, had good con- stitutions and had no bodily defects. Each owner then marks them, or to say it more appropriately, brands them with his own brand mark. This is made of silver and is heated in the flame of a candle made of tallow with which the burn is then anointed. The mark is made on the breast, or the arm or the back so that they can be recognized. When I recall that I did this on the orders of the person under whose command I was, it does not fail to cause me sadness and trouble in my conscience, because, in truth Serene Lord, this traffic always appears to me to be inhumane and unworthy of the faith and piety of a Christian. Without any doubt this is a form of commerce in human beings or, to put it in words that are more appropriate, in human flesh and blood. It is all the more shameful for one who has been baptized because, although they differ in colour and in their fortune in life, they have nevertheless a soul that was formed by the same Creator who formed.. (Newitt) (Carletti seeing slavery as oppositional to his religious duty)</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I repent of this before His Divine Majesty, although I know very well that this is not necessary since he knows that in my mind I always found this business repugnant. However, so that no one should be in any doubt and so that Your Highness can be assured of it, [I say] that this business never pleased me (Newitt) (Carletti)</w:t>
      </w:r>
    </w:p>
    <w:p w:rsidR="00000000" w:rsidDel="00000000" w:rsidP="00000000" w:rsidRDefault="00000000" w:rsidRPr="00000000" w14:paraId="0000003C">
      <w:pPr>
        <w:numPr>
          <w:ilvl w:val="1"/>
          <w:numId w:val="1"/>
        </w:numPr>
        <w:spacing w:after="240" w:before="0" w:beforeAutospacing="0" w:lineRule="auto"/>
        <w:ind w:left="1440" w:hanging="360"/>
      </w:pPr>
      <w:r w:rsidDel="00000000" w:rsidR="00000000" w:rsidRPr="00000000">
        <w:rPr>
          <w:rtl w:val="0"/>
        </w:rPr>
        <w:t xml:space="preserve">“As Christians, João III insisted, 'they must be defended, protected and instructed, and not banished” (Bennett</w:t>
      </w:r>
    </w:p>
    <w:p w:rsidR="00000000" w:rsidDel="00000000" w:rsidP="00000000" w:rsidRDefault="00000000" w:rsidRPr="00000000" w14:paraId="0000003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