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Calibri" w:hAnsi="Calibri"/>
          <w:b/>
          <w:color w:val="0B2545"/>
          <w:sz w:val="56"/>
        </w:rPr>
        <w:t>DARFUS ERP</w:t>
      </w:r>
    </w:p>
    <w:p>
      <w:pPr>
        <w:jc w:val="center"/>
      </w:pPr>
      <w:r>
        <w:rPr>
          <w:rFonts w:ascii="Calibri" w:hAnsi="Calibri"/>
          <w:b/>
          <w:color w:val="1F4E79"/>
          <w:sz w:val="44"/>
        </w:rPr>
        <w:t>End-User Manual</w:t>
      </w:r>
    </w:p>
    <w:p>
      <w:pPr>
        <w:jc w:val="center"/>
      </w:pPr>
      <w:r>
        <w:rPr>
          <w:rFonts w:ascii="Calibri" w:hAnsi="Calibri"/>
          <w:color w:val="5A646E"/>
          <w:sz w:val="26"/>
        </w:rPr>
        <w:t>A practical guide to inventory, sales, and finance</w:t>
      </w:r>
    </w:p>
    <w:p>
      <w:pPr>
        <w:spacing w:before="720"/>
        <w:jc w:val="center"/>
      </w:pPr>
      <w:r>
        <w:rPr>
          <w:rFonts w:ascii="Calibri" w:hAnsi="Calibri"/>
          <w:color w:val="5A646E"/>
          <w:sz w:val="22"/>
        </w:rPr>
        <w:t>Language: English</w:t>
        <w:br/>
        <w:t>Version: Stage F runtime handover</w:t>
        <w:br/>
        <w:t>23 August 2026</w:t>
      </w:r>
    </w:p>
    <w:tbl>
      <w:tblPr>
        <w:tblW w:type="auto" w:w="0"/>
        <w:jc w:val="center"/>
        <w:tblLook w:firstColumn="1" w:firstRow="1" w:lastColumn="0" w:lastRow="0" w:noHBand="0" w:noVBand="1" w:val="04A0"/>
      </w:tblPr>
      <w:tblGrid>
        <w:gridCol w:w="9648"/>
      </w:tblGrid>
      <w:tr>
        <w:tc>
          <w:tcPr>
            <w:tcW w:type="dxa" w:w="9648"/>
            <w:shd w:fill="FFF6DD"/>
            <w:tcMar>
              <w:top w:w="120" w:type="dxa"/>
              <w:start w:w="160" w:type="dxa"/>
              <w:bottom w:w="120" w:type="dxa"/>
              <w:end w:w="160" w:type="dxa"/>
            </w:tcMar>
          </w:tcPr>
          <w:p>
            <w:pPr>
              <w:jc w:val="left"/>
            </w:pPr>
            <w:r>
              <w:rPr>
                <w:rFonts w:ascii="Calibri" w:hAnsi="Calibri"/>
                <w:b/>
                <w:color w:val="AB7515"/>
                <w:sz w:val="21"/>
              </w:rPr>
              <w:t>Important</w:t>
              <w:br/>
            </w:r>
            <w:r>
              <w:rPr>
                <w:rFonts w:ascii="Calibri" w:hAnsi="Calibri"/>
                <w:sz w:val="21"/>
              </w:rPr>
              <w:t>This guide describes the current release. Buttons may differ by role, branch, and record status.</w:t>
            </w:r>
          </w:p>
        </w:tc>
      </w:tr>
    </w:tbl>
    <w:p/>
    <w:p>
      <w:r>
        <w:br w:type="page"/>
      </w:r>
    </w:p>
    <w:p>
      <w:pPr>
        <w:pStyle w:val="Heading1"/>
        <w:jc w:val="left"/>
      </w:pPr>
      <w:r>
        <w:rPr>
          <w:rFonts w:ascii="Calibri" w:hAnsi="Calibri"/>
          <w:b/>
          <w:color w:val="1F4E79"/>
          <w:sz w:val="32"/>
        </w:rPr>
        <w:t>Contents</w:t>
      </w:r>
    </w:p>
    <w:p>
      <w:pPr>
        <w:jc w:val="left"/>
      </w:pPr>
      <w:r>
        <w:rPr>
          <w:rFonts w:ascii="Calibri" w:hAnsi="Calibri"/>
          <w:sz w:val="22"/>
        </w:rPr>
        <w:t>1. Where do I start?</w:t>
      </w:r>
    </w:p>
    <w:p>
      <w:pPr>
        <w:jc w:val="left"/>
      </w:pPr>
      <w:r>
        <w:rPr>
          <w:rFonts w:ascii="Calibri" w:hAnsi="Calibri"/>
          <w:sz w:val="22"/>
        </w:rPr>
        <w:t>2. Application basics</w:t>
      </w:r>
    </w:p>
    <w:p>
      <w:pPr>
        <w:jc w:val="left"/>
      </w:pPr>
      <w:r>
        <w:rPr>
          <w:rFonts w:ascii="Calibri" w:hAnsi="Calibri"/>
          <w:sz w:val="22"/>
        </w:rPr>
        <w:t>3. Dashboard</w:t>
      </w:r>
    </w:p>
    <w:p>
      <w:pPr>
        <w:jc w:val="left"/>
      </w:pPr>
      <w:r>
        <w:rPr>
          <w:rFonts w:ascii="Calibri" w:hAnsi="Calibri"/>
          <w:sz w:val="22"/>
        </w:rPr>
        <w:t>4. Inventory and receiving</w:t>
      </w:r>
    </w:p>
    <w:p>
      <w:pPr>
        <w:jc w:val="left"/>
      </w:pPr>
      <w:r>
        <w:rPr>
          <w:rFonts w:ascii="Calibri" w:hAnsi="Calibri"/>
          <w:sz w:val="22"/>
        </w:rPr>
        <w:t>5. Inventory profiles</w:t>
      </w:r>
    </w:p>
    <w:p>
      <w:pPr>
        <w:jc w:val="left"/>
      </w:pPr>
      <w:r>
        <w:rPr>
          <w:rFonts w:ascii="Calibri" w:hAnsi="Calibri"/>
          <w:sz w:val="22"/>
        </w:rPr>
        <w:t>6. Asset, Barcode and RFID</w:t>
      </w:r>
    </w:p>
    <w:p>
      <w:pPr>
        <w:jc w:val="left"/>
      </w:pPr>
      <w:r>
        <w:rPr>
          <w:rFonts w:ascii="Calibri" w:hAnsi="Calibri"/>
          <w:sz w:val="22"/>
        </w:rPr>
        <w:t>7. Transfers, Workshop and Count</w:t>
      </w:r>
    </w:p>
    <w:p>
      <w:pPr>
        <w:jc w:val="left"/>
      </w:pPr>
      <w:r>
        <w:rPr>
          <w:rFonts w:ascii="Calibri" w:hAnsi="Calibri"/>
          <w:sz w:val="22"/>
        </w:rPr>
        <w:t>8. Suppliers and purchases</w:t>
      </w:r>
    </w:p>
    <w:p>
      <w:pPr>
        <w:jc w:val="left"/>
      </w:pPr>
      <w:r>
        <w:rPr>
          <w:rFonts w:ascii="Calibri" w:hAnsi="Calibri"/>
          <w:sz w:val="22"/>
        </w:rPr>
        <w:t>9. Customers</w:t>
      </w:r>
    </w:p>
    <w:p>
      <w:pPr>
        <w:jc w:val="left"/>
      </w:pPr>
      <w:r>
        <w:rPr>
          <w:rFonts w:ascii="Calibri" w:hAnsi="Calibri"/>
          <w:sz w:val="22"/>
        </w:rPr>
        <w:t>10. Point of Sale</w:t>
      </w:r>
    </w:p>
    <w:p>
      <w:pPr>
        <w:jc w:val="left"/>
      </w:pPr>
      <w:r>
        <w:rPr>
          <w:rFonts w:ascii="Calibri" w:hAnsi="Calibri"/>
          <w:sz w:val="22"/>
        </w:rPr>
        <w:t>11. Invoices, returns and reservations</w:t>
      </w:r>
    </w:p>
    <w:p>
      <w:pPr>
        <w:jc w:val="left"/>
      </w:pPr>
      <w:r>
        <w:rPr>
          <w:rFonts w:ascii="Calibri" w:hAnsi="Calibri"/>
          <w:sz w:val="22"/>
        </w:rPr>
        <w:t>12. Gold Center</w:t>
      </w:r>
    </w:p>
    <w:p>
      <w:pPr>
        <w:jc w:val="left"/>
      </w:pPr>
      <w:r>
        <w:rPr>
          <w:rFonts w:ascii="Calibri" w:hAnsi="Calibri"/>
          <w:sz w:val="22"/>
        </w:rPr>
        <w:t>13. Customer Gold Purchase</w:t>
      </w:r>
    </w:p>
    <w:p>
      <w:pPr>
        <w:jc w:val="left"/>
      </w:pPr>
      <w:r>
        <w:rPr>
          <w:rFonts w:ascii="Calibri" w:hAnsi="Calibri"/>
          <w:sz w:val="22"/>
        </w:rPr>
        <w:t>14. Accounting, Treasury and Reports</w:t>
      </w:r>
    </w:p>
    <w:p>
      <w:pPr>
        <w:jc w:val="left"/>
      </w:pPr>
      <w:r>
        <w:rPr>
          <w:rFonts w:ascii="Calibri" w:hAnsi="Calibri"/>
          <w:sz w:val="22"/>
        </w:rPr>
        <w:t>15. Users and Settings</w:t>
      </w:r>
    </w:p>
    <w:p>
      <w:pPr>
        <w:jc w:val="left"/>
      </w:pPr>
      <w:r>
        <w:rPr>
          <w:rFonts w:ascii="Calibri" w:hAnsi="Calibri"/>
          <w:sz w:val="22"/>
        </w:rPr>
        <w:t>16. Troubleshooting and safety</w:t>
      </w:r>
    </w:p>
    <w:p>
      <w:pPr>
        <w:jc w:val="left"/>
      </w:pPr>
      <w:r>
        <w:rPr>
          <w:rFonts w:ascii="Calibri" w:hAnsi="Calibri"/>
          <w:sz w:val="22"/>
        </w:rPr>
        <w:t>17. Status glossary and task finder</w:t>
      </w:r>
    </w:p>
    <w:p>
      <w:pPr>
        <w:jc w:val="left"/>
      </w:pPr>
      <w:r>
        <w:rPr>
          <w:rFonts w:ascii="Calibri" w:hAnsi="Calibri"/>
          <w:sz w:val="22"/>
        </w:rPr>
        <w:t>18. Handover and training checklist</w:t>
      </w:r>
    </w:p>
    <w:tbl>
      <w:tblPr>
        <w:tblW w:type="auto" w:w="0"/>
        <w:jc w:val="center"/>
        <w:tblLook w:firstColumn="1" w:firstRow="1" w:lastColumn="0" w:lastRow="0" w:noHBand="0" w:noVBand="1" w:val="04A0"/>
      </w:tblPr>
      <w:tblGrid>
        <w:gridCol w:w="9648"/>
      </w:tblGrid>
      <w:tr>
        <w:tc>
          <w:tcPr>
            <w:tcW w:type="dxa" w:w="9648"/>
            <w:shd w:fill="F4F6F9"/>
            <w:tcMar>
              <w:top w:w="120" w:type="dxa"/>
              <w:start w:w="160" w:type="dxa"/>
              <w:bottom w:w="120" w:type="dxa"/>
              <w:end w:w="160" w:type="dxa"/>
            </w:tcMar>
          </w:tcPr>
          <w:p>
            <w:pPr>
              <w:jc w:val="left"/>
            </w:pPr>
            <w:r>
              <w:rPr>
                <w:rFonts w:ascii="Calibri" w:hAnsi="Calibri"/>
                <w:b/>
                <w:color w:val="0B2545"/>
                <w:sz w:val="21"/>
              </w:rPr>
              <w:t>How to use this guide</w:t>
              <w:br/>
            </w:r>
            <w:r>
              <w:rPr>
                <w:rFonts w:ascii="Calibri" w:hAnsi="Calibri"/>
                <w:sz w:val="21"/>
              </w:rPr>
              <w:t>Start with the persona that matches your work, then use the quick task recipes before reading the detailed chapters.</w:t>
            </w:r>
          </w:p>
        </w:tc>
      </w:tr>
    </w:tbl>
    <w:p/>
    <w:p>
      <w:r>
        <w:br w:type="page"/>
      </w:r>
    </w:p>
    <w:p>
      <w:pPr>
        <w:pStyle w:val="Heading1"/>
        <w:jc w:val="left"/>
      </w:pPr>
      <w:r>
        <w:rPr>
          <w:rFonts w:ascii="Calibri" w:hAnsi="Calibri"/>
          <w:b/>
          <w:color w:val="1F4E79"/>
          <w:sz w:val="32"/>
        </w:rPr>
        <w:t>Where do I start?</w:t>
      </w:r>
    </w:p>
    <w:p>
      <w:pPr>
        <w:jc w:val="left"/>
      </w:pPr>
      <w:r>
        <w:rPr>
          <w:rFonts w:ascii="Calibri" w:hAnsi="Calibri"/>
          <w:sz w:val="22"/>
        </w:rPr>
        <w:t>Choose the description closest to your work. You may see fewer screens or buttons than the examples when your role does not include the required permission.</w:t>
      </w:r>
    </w:p>
    <w:tbl>
      <w:tblPr>
        <w:tblStyle w:val="TableGrid"/>
        <w:tblW w:type="auto" w:w="0"/>
        <w:jc w:val="center"/>
        <w:tblLook w:firstColumn="1" w:firstRow="1" w:lastColumn="0" w:lastRow="0" w:noHBand="0" w:noVBand="1" w:val="04A0"/>
      </w:tblPr>
      <w:tblGrid>
        <w:gridCol w:w="3216"/>
        <w:gridCol w:w="3216"/>
        <w:gridCol w:w="3216"/>
      </w:tblGrid>
      <w:tr>
        <w:tc>
          <w:tcPr>
            <w:tcW w:type="dxa" w:w="2016"/>
            <w:shd w:fill="E8EEF5"/>
            <w:tcMar>
              <w:top w:w="90" w:type="dxa"/>
              <w:start w:w="120" w:type="dxa"/>
              <w:bottom w:w="90" w:type="dxa"/>
              <w:end w:w="120" w:type="dxa"/>
            </w:tcMar>
            <w:vAlign w:val="center"/>
          </w:tcPr>
          <w:p>
            <w:pPr>
              <w:jc w:val="left"/>
            </w:pPr>
            <w:r>
              <w:rPr>
                <w:rFonts w:ascii="Calibri" w:hAnsi="Calibri"/>
                <w:b/>
                <w:color w:val="0B2545"/>
                <w:sz w:val="19"/>
              </w:rPr>
              <w:t>Persona</w:t>
            </w:r>
          </w:p>
        </w:tc>
        <w:tc>
          <w:tcPr>
            <w:tcW w:type="dxa" w:w="3024"/>
            <w:shd w:fill="E8EEF5"/>
            <w:tcMar>
              <w:top w:w="90" w:type="dxa"/>
              <w:start w:w="120" w:type="dxa"/>
              <w:bottom w:w="90" w:type="dxa"/>
              <w:end w:w="120" w:type="dxa"/>
            </w:tcMar>
            <w:vAlign w:val="center"/>
          </w:tcPr>
          <w:p>
            <w:pPr>
              <w:jc w:val="left"/>
            </w:pPr>
            <w:r>
              <w:rPr>
                <w:rFonts w:ascii="Calibri" w:hAnsi="Calibri"/>
                <w:b/>
                <w:color w:val="0B2545"/>
                <w:sz w:val="19"/>
              </w:rPr>
              <w:t>Main screens</w:t>
            </w:r>
          </w:p>
        </w:tc>
        <w:tc>
          <w:tcPr>
            <w:tcW w:type="dxa" w:w="4320"/>
            <w:shd w:fill="E8EEF5"/>
            <w:tcMar>
              <w:top w:w="90" w:type="dxa"/>
              <w:start w:w="120" w:type="dxa"/>
              <w:bottom w:w="90" w:type="dxa"/>
              <w:end w:w="120" w:type="dxa"/>
            </w:tcMar>
            <w:vAlign w:val="center"/>
          </w:tcPr>
          <w:p>
            <w:pPr>
              <w:jc w:val="left"/>
            </w:pPr>
            <w:r>
              <w:rPr>
                <w:rFonts w:ascii="Calibri" w:hAnsi="Calibri"/>
                <w:b/>
                <w:color w:val="0B2545"/>
                <w:sz w:val="19"/>
              </w:rPr>
              <w:t>Daily use</w:t>
            </w:r>
          </w:p>
        </w:tc>
      </w:tr>
      <w:tr>
        <w:tc>
          <w:tcPr>
            <w:tcW w:type="dxa" w:w="3216"/>
            <w:tcMar>
              <w:top w:w="90" w:type="dxa"/>
              <w:start w:w="120" w:type="dxa"/>
              <w:bottom w:w="90" w:type="dxa"/>
              <w:end w:w="120" w:type="dxa"/>
            </w:tcMar>
            <w:vAlign w:val="center"/>
          </w:tcPr>
          <w:p>
            <w:pPr>
              <w:jc w:val="left"/>
            </w:pPr>
            <w:r>
              <w:rPr>
                <w:rFonts w:ascii="Calibri" w:hAnsi="Calibri"/>
                <w:sz w:val="18"/>
              </w:rPr>
              <w:t>Cashier</w:t>
            </w:r>
          </w:p>
        </w:tc>
        <w:tc>
          <w:tcPr>
            <w:tcW w:type="dxa" w:w="3216"/>
            <w:tcMar>
              <w:top w:w="90" w:type="dxa"/>
              <w:start w:w="120" w:type="dxa"/>
              <w:bottom w:w="90" w:type="dxa"/>
              <w:end w:w="120" w:type="dxa"/>
            </w:tcMar>
            <w:vAlign w:val="center"/>
          </w:tcPr>
          <w:p>
            <w:pPr>
              <w:jc w:val="left"/>
            </w:pPr>
            <w:r>
              <w:rPr>
                <w:rFonts w:ascii="Calibri" w:hAnsi="Calibri"/>
                <w:sz w:val="18"/>
              </w:rPr>
              <w:t>POS, Customers, Invoices</w:t>
            </w:r>
          </w:p>
        </w:tc>
        <w:tc>
          <w:tcPr>
            <w:tcW w:type="dxa" w:w="3216"/>
            <w:tcMar>
              <w:top w:w="90" w:type="dxa"/>
              <w:start w:w="120" w:type="dxa"/>
              <w:bottom w:w="90" w:type="dxa"/>
              <w:end w:w="120" w:type="dxa"/>
            </w:tcMar>
            <w:vAlign w:val="center"/>
          </w:tcPr>
          <w:p>
            <w:pPr>
              <w:jc w:val="left"/>
            </w:pPr>
            <w:r>
              <w:rPr>
                <w:rFonts w:ascii="Calibri" w:hAnsi="Calibri"/>
                <w:sz w:val="18"/>
              </w:rPr>
              <w:t>Sell, search by Barcode, review totals, and print the receipt.</w:t>
            </w:r>
          </w:p>
        </w:tc>
      </w:tr>
      <w:tr>
        <w:tc>
          <w:tcPr>
            <w:tcW w:type="dxa" w:w="3216"/>
            <w:tcMar>
              <w:top w:w="90" w:type="dxa"/>
              <w:start w:w="120" w:type="dxa"/>
              <w:bottom w:w="90" w:type="dxa"/>
              <w:end w:w="120" w:type="dxa"/>
            </w:tcMar>
            <w:vAlign w:val="center"/>
          </w:tcPr>
          <w:p>
            <w:pPr>
              <w:jc w:val="left"/>
            </w:pPr>
            <w:r>
              <w:rPr>
                <w:rFonts w:ascii="Calibri" w:hAnsi="Calibri"/>
                <w:sz w:val="18"/>
              </w:rPr>
              <w:t>Inventory / Warehouse</w:t>
            </w:r>
          </w:p>
        </w:tc>
        <w:tc>
          <w:tcPr>
            <w:tcW w:type="dxa" w:w="3216"/>
            <w:tcMar>
              <w:top w:w="90" w:type="dxa"/>
              <w:start w:w="120" w:type="dxa"/>
              <w:bottom w:w="90" w:type="dxa"/>
              <w:end w:w="120" w:type="dxa"/>
            </w:tcMar>
            <w:vAlign w:val="center"/>
          </w:tcPr>
          <w:p>
            <w:pPr>
              <w:jc w:val="left"/>
            </w:pPr>
            <w:r>
              <w:rPr>
                <w:rFonts w:ascii="Calibri" w:hAnsi="Calibri"/>
                <w:sz w:val="18"/>
              </w:rPr>
              <w:t>Inventory, Receive, Transfer, Workshop, Count</w:t>
            </w:r>
          </w:p>
        </w:tc>
        <w:tc>
          <w:tcPr>
            <w:tcW w:type="dxa" w:w="3216"/>
            <w:tcMar>
              <w:top w:w="90" w:type="dxa"/>
              <w:start w:w="120" w:type="dxa"/>
              <w:bottom w:w="90" w:type="dxa"/>
              <w:end w:w="120" w:type="dxa"/>
            </w:tcMar>
            <w:vAlign w:val="center"/>
          </w:tcPr>
          <w:p>
            <w:pPr>
              <w:jc w:val="left"/>
            </w:pPr>
            <w:r>
              <w:rPr>
                <w:rFonts w:ascii="Calibri" w:hAnsi="Calibri"/>
                <w:sz w:val="18"/>
              </w:rPr>
              <w:t>Track pieces, locations, status, and Barcode.</w:t>
            </w:r>
          </w:p>
        </w:tc>
      </w:tr>
      <w:tr>
        <w:tc>
          <w:tcPr>
            <w:tcW w:type="dxa" w:w="3216"/>
            <w:tcMar>
              <w:top w:w="90" w:type="dxa"/>
              <w:start w:w="120" w:type="dxa"/>
              <w:bottom w:w="90" w:type="dxa"/>
              <w:end w:w="120" w:type="dxa"/>
            </w:tcMar>
            <w:vAlign w:val="center"/>
          </w:tcPr>
          <w:p>
            <w:pPr>
              <w:jc w:val="left"/>
            </w:pPr>
            <w:r>
              <w:rPr>
                <w:rFonts w:ascii="Calibri" w:hAnsi="Calibri"/>
                <w:sz w:val="18"/>
              </w:rPr>
              <w:t>Purchasing</w:t>
            </w:r>
          </w:p>
        </w:tc>
        <w:tc>
          <w:tcPr>
            <w:tcW w:type="dxa" w:w="3216"/>
            <w:tcMar>
              <w:top w:w="90" w:type="dxa"/>
              <w:start w:w="120" w:type="dxa"/>
              <w:bottom w:w="90" w:type="dxa"/>
              <w:end w:w="120" w:type="dxa"/>
            </w:tcMar>
            <w:vAlign w:val="center"/>
          </w:tcPr>
          <w:p>
            <w:pPr>
              <w:jc w:val="left"/>
            </w:pPr>
            <w:r>
              <w:rPr>
                <w:rFonts w:ascii="Calibri" w:hAnsi="Calibri"/>
                <w:sz w:val="18"/>
              </w:rPr>
              <w:t>Suppliers, Receive, Supplier balance</w:t>
            </w:r>
          </w:p>
        </w:tc>
        <w:tc>
          <w:tcPr>
            <w:tcW w:type="dxa" w:w="3216"/>
            <w:tcMar>
              <w:top w:w="90" w:type="dxa"/>
              <w:start w:w="120" w:type="dxa"/>
              <w:bottom w:w="90" w:type="dxa"/>
              <w:end w:w="120" w:type="dxa"/>
            </w:tcMar>
            <w:vAlign w:val="center"/>
          </w:tcPr>
          <w:p>
            <w:pPr>
              <w:jc w:val="left"/>
            </w:pPr>
            <w:r>
              <w:rPr>
                <w:rFonts w:ascii="Calibri" w:hAnsi="Calibri"/>
                <w:sz w:val="18"/>
              </w:rPr>
              <w:t>Receive supplier stock and follow purchase history.</w:t>
            </w:r>
          </w:p>
        </w:tc>
      </w:tr>
      <w:tr>
        <w:tc>
          <w:tcPr>
            <w:tcW w:type="dxa" w:w="3216"/>
            <w:tcMar>
              <w:top w:w="90" w:type="dxa"/>
              <w:start w:w="120" w:type="dxa"/>
              <w:bottom w:w="90" w:type="dxa"/>
              <w:end w:w="120" w:type="dxa"/>
            </w:tcMar>
            <w:vAlign w:val="center"/>
          </w:tcPr>
          <w:p>
            <w:pPr>
              <w:jc w:val="left"/>
            </w:pPr>
            <w:r>
              <w:rPr>
                <w:rFonts w:ascii="Calibri" w:hAnsi="Calibri"/>
                <w:sz w:val="18"/>
              </w:rPr>
              <w:t>Accountant</w:t>
            </w:r>
          </w:p>
        </w:tc>
        <w:tc>
          <w:tcPr>
            <w:tcW w:type="dxa" w:w="3216"/>
            <w:tcMar>
              <w:top w:w="90" w:type="dxa"/>
              <w:start w:w="120" w:type="dxa"/>
              <w:bottom w:w="90" w:type="dxa"/>
              <w:end w:w="120" w:type="dxa"/>
            </w:tcMar>
            <w:vAlign w:val="center"/>
          </w:tcPr>
          <w:p>
            <w:pPr>
              <w:jc w:val="left"/>
            </w:pPr>
            <w:r>
              <w:rPr>
                <w:rFonts w:ascii="Calibri" w:hAnsi="Calibri"/>
                <w:sz w:val="18"/>
              </w:rPr>
              <w:t>Accounting, Statements, Treasury</w:t>
            </w:r>
          </w:p>
        </w:tc>
        <w:tc>
          <w:tcPr>
            <w:tcW w:type="dxa" w:w="3216"/>
            <w:tcMar>
              <w:top w:w="90" w:type="dxa"/>
              <w:start w:w="120" w:type="dxa"/>
              <w:bottom w:w="90" w:type="dxa"/>
              <w:end w:w="120" w:type="dxa"/>
            </w:tcMar>
            <w:vAlign w:val="center"/>
          </w:tcPr>
          <w:p>
            <w:pPr>
              <w:jc w:val="left"/>
            </w:pPr>
            <w:r>
              <w:rPr>
                <w:rFonts w:ascii="Calibri" w:hAnsi="Calibri"/>
                <w:sz w:val="18"/>
              </w:rPr>
              <w:t>Review journals, balances, and treasury.</w:t>
            </w:r>
          </w:p>
        </w:tc>
      </w:tr>
      <w:tr>
        <w:tc>
          <w:tcPr>
            <w:tcW w:type="dxa" w:w="3216"/>
            <w:tcMar>
              <w:top w:w="90" w:type="dxa"/>
              <w:start w:w="120" w:type="dxa"/>
              <w:bottom w:w="90" w:type="dxa"/>
              <w:end w:w="120" w:type="dxa"/>
            </w:tcMar>
            <w:vAlign w:val="center"/>
          </w:tcPr>
          <w:p>
            <w:pPr>
              <w:jc w:val="left"/>
            </w:pPr>
            <w:r>
              <w:rPr>
                <w:rFonts w:ascii="Calibri" w:hAnsi="Calibri"/>
                <w:sz w:val="18"/>
              </w:rPr>
              <w:t>Branch Manager</w:t>
            </w:r>
          </w:p>
        </w:tc>
        <w:tc>
          <w:tcPr>
            <w:tcW w:type="dxa" w:w="3216"/>
            <w:tcMar>
              <w:top w:w="90" w:type="dxa"/>
              <w:start w:w="120" w:type="dxa"/>
              <w:bottom w:w="90" w:type="dxa"/>
              <w:end w:w="120" w:type="dxa"/>
            </w:tcMar>
            <w:vAlign w:val="center"/>
          </w:tcPr>
          <w:p>
            <w:pPr>
              <w:jc w:val="left"/>
            </w:pPr>
            <w:r>
              <w:rPr>
                <w:rFonts w:ascii="Calibri" w:hAnsi="Calibri"/>
                <w:sz w:val="18"/>
              </w:rPr>
              <w:t>Dashboard, Reports, Approvals</w:t>
            </w:r>
          </w:p>
        </w:tc>
        <w:tc>
          <w:tcPr>
            <w:tcW w:type="dxa" w:w="3216"/>
            <w:tcMar>
              <w:top w:w="90" w:type="dxa"/>
              <w:start w:w="120" w:type="dxa"/>
              <w:bottom w:w="90" w:type="dxa"/>
              <w:end w:w="120" w:type="dxa"/>
            </w:tcMar>
            <w:vAlign w:val="center"/>
          </w:tcPr>
          <w:p>
            <w:pPr>
              <w:jc w:val="left"/>
            </w:pPr>
            <w:r>
              <w:rPr>
                <w:rFonts w:ascii="Calibri" w:hAnsi="Calibri"/>
                <w:sz w:val="18"/>
              </w:rPr>
              <w:t>Monitor performance, approvals, and branch status.</w:t>
            </w:r>
          </w:p>
        </w:tc>
      </w:tr>
      <w:tr>
        <w:tc>
          <w:tcPr>
            <w:tcW w:type="dxa" w:w="3216"/>
            <w:tcMar>
              <w:top w:w="90" w:type="dxa"/>
              <w:start w:w="120" w:type="dxa"/>
              <w:bottom w:w="90" w:type="dxa"/>
              <w:end w:w="120" w:type="dxa"/>
            </w:tcMar>
            <w:vAlign w:val="center"/>
          </w:tcPr>
          <w:p>
            <w:pPr>
              <w:jc w:val="left"/>
            </w:pPr>
            <w:r>
              <w:rPr>
                <w:rFonts w:ascii="Calibri" w:hAnsi="Calibri"/>
                <w:sz w:val="18"/>
              </w:rPr>
              <w:t>Administrator</w:t>
            </w:r>
          </w:p>
        </w:tc>
        <w:tc>
          <w:tcPr>
            <w:tcW w:type="dxa" w:w="3216"/>
            <w:tcMar>
              <w:top w:w="90" w:type="dxa"/>
              <w:start w:w="120" w:type="dxa"/>
              <w:bottom w:w="90" w:type="dxa"/>
              <w:end w:w="120" w:type="dxa"/>
            </w:tcMar>
            <w:vAlign w:val="center"/>
          </w:tcPr>
          <w:p>
            <w:pPr>
              <w:jc w:val="left"/>
            </w:pPr>
            <w:r>
              <w:rPr>
                <w:rFonts w:ascii="Calibri" w:hAnsi="Calibri"/>
                <w:sz w:val="18"/>
              </w:rPr>
              <w:t>Users, Permissions, Settings</w:t>
            </w:r>
          </w:p>
        </w:tc>
        <w:tc>
          <w:tcPr>
            <w:tcW w:type="dxa" w:w="3216"/>
            <w:tcMar>
              <w:top w:w="90" w:type="dxa"/>
              <w:start w:w="120" w:type="dxa"/>
              <w:bottom w:w="90" w:type="dxa"/>
              <w:end w:w="120" w:type="dxa"/>
            </w:tcMar>
            <w:vAlign w:val="center"/>
          </w:tcPr>
          <w:p>
            <w:pPr>
              <w:jc w:val="left"/>
            </w:pPr>
            <w:r>
              <w:rPr>
                <w:rFonts w:ascii="Calibri" w:hAnsi="Calibri"/>
                <w:sz w:val="18"/>
              </w:rPr>
              <w:t>Manage access, master data, and sensitive settings.</w:t>
            </w:r>
          </w:p>
        </w:tc>
      </w:tr>
    </w:tbl>
    <w:p/>
    <w:tbl>
      <w:tblPr>
        <w:tblW w:type="auto" w:w="0"/>
        <w:jc w:val="center"/>
        <w:tblLook w:firstColumn="1" w:firstRow="1" w:lastColumn="0" w:lastRow="0" w:noHBand="0" w:noVBand="1" w:val="04A0"/>
      </w:tblPr>
      <w:tblGrid>
        <w:gridCol w:w="9648"/>
      </w:tblGrid>
      <w:tr>
        <w:tc>
          <w:tcPr>
            <w:tcW w:type="dxa" w:w="9648"/>
            <w:shd w:fill="FFF6DD"/>
            <w:tcMar>
              <w:top w:w="120" w:type="dxa"/>
              <w:start w:w="160" w:type="dxa"/>
              <w:bottom w:w="120" w:type="dxa"/>
              <w:end w:w="160" w:type="dxa"/>
            </w:tcMar>
          </w:tcPr>
          <w:p>
            <w:pPr>
              <w:jc w:val="left"/>
            </w:pPr>
            <w:r>
              <w:rPr>
                <w:rFonts w:ascii="Calibri" w:hAnsi="Calibri"/>
                <w:b/>
                <w:color w:val="AB7515"/>
                <w:sz w:val="21"/>
              </w:rPr>
              <w:t>Permission note</w:t>
              <w:br/>
            </w:r>
            <w:r>
              <w:rPr>
                <w:rFonts w:ascii="Calibri" w:hAnsi="Calibri"/>
                <w:sz w:val="21"/>
              </w:rPr>
              <w:t>A missing button does not necessarily mean the screen is broken; check your role, branch, and record status.</w:t>
            </w:r>
          </w:p>
        </w:tc>
      </w:tr>
    </w:tbl>
    <w:p/>
    <w:p>
      <w:pPr>
        <w:pStyle w:val="Heading1"/>
        <w:jc w:val="left"/>
      </w:pPr>
      <w:r>
        <w:rPr>
          <w:rFonts w:ascii="Calibri" w:hAnsi="Calibri"/>
          <w:b/>
          <w:color w:val="1F4E79"/>
          <w:sz w:val="32"/>
        </w:rPr>
        <w:t>Application basics</w:t>
      </w:r>
    </w:p>
    <w:p>
      <w:pPr>
        <w:jc w:val="center"/>
      </w:pPr>
      <w:r>
        <w:drawing>
          <wp:inline xmlns:a="http://schemas.openxmlformats.org/drawingml/2006/main" xmlns:pic="http://schemas.openxmlformats.org/drawingml/2006/picture">
            <wp:extent cx="5715000" cy="3216934"/>
            <wp:docPr id="1" name="Picture 1"/>
            <wp:cNvGraphicFramePr>
              <a:graphicFrameLocks noChangeAspect="1"/>
            </wp:cNvGraphicFramePr>
            <a:graphic>
              <a:graphicData uri="http://schemas.openxmlformats.org/drawingml/2006/picture">
                <pic:pic>
                  <pic:nvPicPr>
                    <pic:cNvPr id="0" name="EN-01-dashboard.png"/>
                    <pic:cNvPicPr/>
                  </pic:nvPicPr>
                  <pic:blipFill>
                    <a:blip r:embed="rId11"/>
                    <a:stretch>
                      <a:fillRect/>
                    </a:stretch>
                  </pic:blipFill>
                  <pic:spPr>
                    <a:xfrm>
                      <a:off x="0" y="0"/>
                      <a:ext cx="5715000" cy="3216934"/>
                    </a:xfrm>
                    <a:prstGeom prst="rect"/>
                  </pic:spPr>
                </pic:pic>
              </a:graphicData>
            </a:graphic>
          </wp:inline>
        </w:drawing>
      </w:r>
    </w:p>
    <w:p>
      <w:pPr>
        <w:jc w:val="center"/>
      </w:pPr>
      <w:r>
        <w:rPr>
          <w:rFonts w:ascii="Calibri" w:hAnsi="Calibri"/>
          <w:i/>
          <w:color w:val="5A646E"/>
          <w:sz w:val="18"/>
        </w:rPr>
        <w:t>Dashboard and branch context</w:t>
      </w:r>
    </w:p>
    <w:p>
      <w:pPr>
        <w:jc w:val="center"/>
      </w:pPr>
      <w:r>
        <w:rPr>
          <w:rFonts w:ascii="Calibri" w:hAnsi="Calibri"/>
          <w:color w:val="5A646E"/>
          <w:sz w:val="17"/>
        </w:rPr>
        <w:t>① Navigation  ② Company/Branch and language context  ③ Current workspace</w:t>
      </w:r>
    </w:p>
    <w:p>
      <w:pPr>
        <w:pStyle w:val="Heading2"/>
        <w:jc w:val="left"/>
      </w:pPr>
      <w:r>
        <w:rPr>
          <w:rFonts w:ascii="Calibri" w:hAnsi="Calibri"/>
          <w:b/>
          <w:color w:val="1F4E79"/>
          <w:sz w:val="26"/>
        </w:rPr>
        <w:t>Login, language, and branch</w:t>
      </w:r>
    </w:p>
    <w:p>
      <w:pPr>
        <w:pStyle w:val="ListNumber"/>
        <w:jc w:val="left"/>
      </w:pPr>
      <w:r>
        <w:rPr>
          <w:rFonts w:ascii="Calibri" w:hAnsi="Calibri"/>
          <w:sz w:val="22"/>
        </w:rPr>
        <w:t>Open the login page and enter the account details provided by your administrator.</w:t>
      </w:r>
    </w:p>
    <w:p>
      <w:pPr>
        <w:pStyle w:val="ListNumber"/>
        <w:jc w:val="left"/>
      </w:pPr>
      <w:r>
        <w:rPr>
          <w:rFonts w:ascii="Calibri" w:hAnsi="Calibri"/>
          <w:sz w:val="22"/>
        </w:rPr>
        <w:t>After signing in, check the company and branch shown in the header before starting any action.</w:t>
      </w:r>
    </w:p>
    <w:p>
      <w:pPr>
        <w:pStyle w:val="ListNumber"/>
        <w:jc w:val="left"/>
      </w:pPr>
      <w:r>
        <w:rPr>
          <w:rFonts w:ascii="Calibri" w:hAnsi="Calibri"/>
          <w:sz w:val="22"/>
        </w:rPr>
        <w:t>Use the language control to switch between Arabic and English. The page direction changes automatically.</w:t>
      </w:r>
    </w:p>
    <w:p>
      <w:pPr>
        <w:pStyle w:val="ListNumber"/>
        <w:jc w:val="left"/>
      </w:pPr>
      <w:r>
        <w:rPr>
          <w:rFonts w:ascii="Calibri" w:hAnsi="Calibri"/>
          <w:sz w:val="22"/>
        </w:rPr>
        <w:t>Use the branch control to choose a branch available to your account; changing the branch does not move an Asset.</w:t>
      </w:r>
    </w:p>
    <w:p>
      <w:pPr>
        <w:pStyle w:val="Heading2"/>
        <w:jc w:val="left"/>
      </w:pPr>
      <w:r>
        <w:rPr>
          <w:rFonts w:ascii="Calibri" w:hAnsi="Calibri"/>
          <w:b/>
          <w:color w:val="1F4E79"/>
          <w:sz w:val="26"/>
        </w:rPr>
        <w:t>What you see on most screens</w:t>
      </w:r>
    </w:p>
    <w:p>
      <w:pPr>
        <w:pStyle w:val="ListBullet"/>
        <w:jc w:val="left"/>
      </w:pPr>
      <w:r>
        <w:rPr>
          <w:rFonts w:ascii="Calibri" w:hAnsi="Calibri"/>
          <w:sz w:val="22"/>
        </w:rPr>
        <w:t>Sidebar: move between modules.</w:t>
      </w:r>
    </w:p>
    <w:p>
      <w:pPr>
        <w:pStyle w:val="ListBullet"/>
        <w:jc w:val="left"/>
      </w:pPr>
      <w:r>
        <w:rPr>
          <w:rFonts w:ascii="Calibri" w:hAnsi="Calibri"/>
          <w:sz w:val="22"/>
        </w:rPr>
        <w:t>Top bar: global search, company, branch, language, notifications, and user account.</w:t>
      </w:r>
    </w:p>
    <w:p>
      <w:pPr>
        <w:pStyle w:val="ListBullet"/>
        <w:jc w:val="left"/>
      </w:pPr>
      <w:r>
        <w:rPr>
          <w:rFonts w:ascii="Calibri" w:hAnsi="Calibri"/>
          <w:sz w:val="22"/>
        </w:rPr>
        <w:t>Headings and badges: show the screen, result count, status, or action availability.</w:t>
      </w:r>
    </w:p>
    <w:p>
      <w:pPr>
        <w:pStyle w:val="ListBullet"/>
        <w:jc w:val="left"/>
      </w:pPr>
      <w:r>
        <w:rPr>
          <w:rFonts w:ascii="Calibri" w:hAnsi="Calibri"/>
          <w:sz w:val="22"/>
        </w:rPr>
        <w:t>Tables: use search, filters, and pagination; the current page may not contain every record.</w:t>
      </w:r>
    </w:p>
    <w:p>
      <w:pPr>
        <w:pStyle w:val="Heading1"/>
        <w:jc w:val="left"/>
      </w:pPr>
      <w:r>
        <w:rPr>
          <w:rFonts w:ascii="Calibri" w:hAnsi="Calibri"/>
          <w:b/>
          <w:color w:val="1F4E79"/>
          <w:sz w:val="32"/>
        </w:rPr>
        <w:t>Inventory and receiving</w:t>
      </w:r>
    </w:p>
    <w:p>
      <w:pPr>
        <w:jc w:val="center"/>
      </w:pPr>
      <w:r>
        <w:drawing>
          <wp:inline xmlns:a="http://schemas.openxmlformats.org/drawingml/2006/main" xmlns:pic="http://schemas.openxmlformats.org/drawingml/2006/picture">
            <wp:extent cx="5715000" cy="3214688"/>
            <wp:docPr id="2" name="Picture 2"/>
            <wp:cNvGraphicFramePr>
              <a:graphicFrameLocks noChangeAspect="1"/>
            </wp:cNvGraphicFramePr>
            <a:graphic>
              <a:graphicData uri="http://schemas.openxmlformats.org/drawingml/2006/picture">
                <pic:pic>
                  <pic:nvPicPr>
                    <pic:cNvPr id="0" name="EN-04-inventory-intake-chooser.png"/>
                    <pic:cNvPicPr/>
                  </pic:nvPicPr>
                  <pic:blipFill>
                    <a:blip r:embed="rId12"/>
                    <a:stretch>
                      <a:fillRect/>
                    </a:stretch>
                  </pic:blipFill>
                  <pic:spPr>
                    <a:xfrm>
                      <a:off x="0" y="0"/>
                      <a:ext cx="5715000" cy="3214688"/>
                    </a:xfrm>
                    <a:prstGeom prst="rect"/>
                  </pic:spPr>
                </pic:pic>
              </a:graphicData>
            </a:graphic>
          </wp:inline>
        </w:drawing>
      </w:r>
    </w:p>
    <w:p>
      <w:pPr>
        <w:jc w:val="center"/>
      </w:pPr>
      <w:r>
        <w:rPr>
          <w:rFonts w:ascii="Calibri" w:hAnsi="Calibri"/>
          <w:i/>
          <w:color w:val="5A646E"/>
          <w:sz w:val="18"/>
        </w:rPr>
        <w:t>Choosing a profile from the unified intake path</w:t>
      </w:r>
    </w:p>
    <w:p>
      <w:pPr>
        <w:jc w:val="center"/>
      </w:pPr>
      <w:r>
        <w:rPr>
          <w:rFonts w:ascii="Calibri" w:hAnsi="Calibri"/>
          <w:color w:val="5A646E"/>
          <w:sz w:val="17"/>
        </w:rPr>
        <w:t>① Navigation  ② Company/Branch and language context  ③ Current workspace</w:t>
      </w:r>
    </w:p>
    <w:p>
      <w:pPr>
        <w:jc w:val="left"/>
      </w:pPr>
      <w:r>
        <w:rPr>
          <w:rFonts w:ascii="Calibri" w:hAnsi="Calibri"/>
          <w:sz w:val="22"/>
        </w:rPr>
        <w:t>The canonical path is: Inventory -&gt; Add / Receive Inventory -&gt; choose the profile -&gt; complete the form -&gt; review the preview -&gt; Receive Inventory.</w:t>
      </w:r>
    </w:p>
    <w:p>
      <w:pPr>
        <w:pStyle w:val="Heading2"/>
        <w:jc w:val="left"/>
      </w:pPr>
      <w:r>
        <w:rPr>
          <w:rFonts w:ascii="Calibri" w:hAnsi="Calibri"/>
          <w:b/>
          <w:color w:val="1F4E79"/>
          <w:sz w:val="26"/>
        </w:rPr>
        <w:t>What receiving means</w:t>
      </w:r>
    </w:p>
    <w:p>
      <w:pPr>
        <w:pStyle w:val="ListBullet"/>
        <w:jc w:val="left"/>
      </w:pPr>
      <w:r>
        <w:rPr>
          <w:rFonts w:ascii="Calibri" w:hAnsi="Calibri"/>
          <w:sz w:val="22"/>
        </w:rPr>
        <w:t>Each physical piece is recorded as its own Asset, with its identity and Barcode preserved.</w:t>
      </w:r>
    </w:p>
    <w:p>
      <w:pPr>
        <w:pStyle w:val="ListBullet"/>
        <w:jc w:val="left"/>
      </w:pPr>
      <w:r>
        <w:rPr>
          <w:rFonts w:ascii="Calibri" w:hAnsi="Calibri"/>
          <w:sz w:val="22"/>
        </w:rPr>
        <w:t>The Asset appears in Inventory and Asset Details according to company, branch, and location.</w:t>
      </w:r>
    </w:p>
    <w:p>
      <w:pPr>
        <w:pStyle w:val="ListBullet"/>
        <w:jc w:val="left"/>
      </w:pPr>
      <w:r>
        <w:rPr>
          <w:rFonts w:ascii="Calibri" w:hAnsi="Calibri"/>
          <w:sz w:val="22"/>
        </w:rPr>
        <w:t>Purchase, supplier, date, and historical value are recorded when the workflow requires them.</w:t>
      </w:r>
    </w:p>
    <w:p>
      <w:pPr>
        <w:pStyle w:val="ListBullet"/>
        <w:jc w:val="left"/>
      </w:pPr>
      <w:r>
        <w:rPr>
          <w:rFonts w:ascii="Calibri" w:hAnsi="Calibri"/>
          <w:sz w:val="22"/>
        </w:rPr>
        <w:t>The receive may affect supplier balance and accounting according to the transaction type and settings.</w:t>
      </w:r>
    </w:p>
    <w:p>
      <w:pPr>
        <w:pStyle w:val="ListBullet"/>
        <w:jc w:val="left"/>
      </w:pPr>
      <w:r>
        <w:rPr>
          <w:rFonts w:ascii="Calibri" w:hAnsi="Calibri"/>
          <w:sz w:val="22"/>
        </w:rPr>
        <w:t>Do not use an old supplier shortcut to create a receive when the unified Inventory path is available.</w:t>
      </w:r>
    </w:p>
    <w:p>
      <w:pPr>
        <w:pStyle w:val="Heading2"/>
        <w:jc w:val="left"/>
      </w:pPr>
      <w:r>
        <w:rPr>
          <w:rFonts w:ascii="Calibri" w:hAnsi="Calibri"/>
          <w:b/>
          <w:color w:val="1F4E79"/>
          <w:sz w:val="26"/>
        </w:rPr>
        <w:t>Receiving steps</w:t>
      </w:r>
    </w:p>
    <w:p>
      <w:pPr>
        <w:pStyle w:val="ListNumber"/>
        <w:jc w:val="left"/>
      </w:pPr>
      <w:r>
        <w:rPr>
          <w:rFonts w:ascii="Calibri" w:hAnsi="Calibri"/>
          <w:sz w:val="22"/>
        </w:rPr>
        <w:t>Confirm the branch, location, supplier, and purchase date.</w:t>
      </w:r>
    </w:p>
    <w:p>
      <w:pPr>
        <w:pStyle w:val="ListNumber"/>
        <w:jc w:val="left"/>
      </w:pPr>
      <w:r>
        <w:rPr>
          <w:rFonts w:ascii="Calibri" w:hAnsi="Calibri"/>
          <w:sz w:val="22"/>
        </w:rPr>
        <w:t>Choose the correct inventory profile; do not mix piece, weight, loose-stone, and jewellery meanings.</w:t>
      </w:r>
    </w:p>
    <w:p>
      <w:pPr>
        <w:pStyle w:val="ListNumber"/>
        <w:jc w:val="left"/>
      </w:pPr>
      <w:r>
        <w:rPr>
          <w:rFonts w:ascii="Calibri" w:hAnsi="Calibri"/>
          <w:sz w:val="22"/>
        </w:rPr>
        <w:t>Enter the required fields with the actual values, then review the preview, prices, and tax.</w:t>
      </w:r>
    </w:p>
    <w:p>
      <w:pPr>
        <w:pStyle w:val="ListNumber"/>
        <w:jc w:val="left"/>
      </w:pPr>
      <w:r>
        <w:rPr>
          <w:rFonts w:ascii="Calibri" w:hAnsi="Calibri"/>
          <w:sz w:val="22"/>
        </w:rPr>
        <w:t>Press Receive Inventory once after reviewing the form.</w:t>
      </w:r>
    </w:p>
    <w:tbl>
      <w:tblPr>
        <w:tblW w:type="auto" w:w="0"/>
        <w:jc w:val="center"/>
        <w:tblLook w:firstColumn="1" w:firstRow="1" w:lastColumn="0" w:lastRow="0" w:noHBand="0" w:noVBand="1" w:val="04A0"/>
      </w:tblPr>
      <w:tblGrid>
        <w:gridCol w:w="9648"/>
      </w:tblGrid>
      <w:tr>
        <w:tc>
          <w:tcPr>
            <w:tcW w:type="dxa" w:w="9648"/>
            <w:shd w:fill="FFF6DD"/>
            <w:tcMar>
              <w:top w:w="120" w:type="dxa"/>
              <w:start w:w="160" w:type="dxa"/>
              <w:bottom w:w="120" w:type="dxa"/>
              <w:end w:w="160" w:type="dxa"/>
            </w:tcMar>
          </w:tcPr>
          <w:p>
            <w:pPr>
              <w:jc w:val="left"/>
            </w:pPr>
            <w:r>
              <w:rPr>
                <w:rFonts w:ascii="Calibri" w:hAnsi="Calibri"/>
                <w:b/>
                <w:color w:val="AB7515"/>
                <w:sz w:val="21"/>
              </w:rPr>
              <w:t>What happens after completion</w:t>
              <w:br/>
            </w:r>
            <w:r>
              <w:rPr>
                <w:rFonts w:ascii="Calibri" w:hAnsi="Calibri"/>
                <w:sz w:val="21"/>
              </w:rPr>
              <w:t>A success result appears, and you can find the Asset in Inventory, Asset Details, supplier history, and accounting when applicable. Do not repeat the action when the result is uncertain; contact the administrator.</w:t>
            </w:r>
          </w:p>
        </w:tc>
      </w:tr>
    </w:tbl>
    <w:p/>
    <w:p>
      <w:pPr>
        <w:pStyle w:val="Heading1"/>
        <w:jc w:val="left"/>
      </w:pPr>
      <w:r>
        <w:rPr>
          <w:rFonts w:ascii="Calibri" w:hAnsi="Calibri"/>
          <w:b/>
          <w:color w:val="1F4E79"/>
          <w:sz w:val="32"/>
        </w:rPr>
        <w:t>Inventory profiles</w:t>
      </w:r>
    </w:p>
    <w:p>
      <w:pPr>
        <w:pStyle w:val="Heading2"/>
        <w:jc w:val="left"/>
      </w:pPr>
      <w:r>
        <w:rPr>
          <w:rFonts w:ascii="Calibri" w:hAnsi="Calibri"/>
          <w:b/>
          <w:color w:val="1F4E79"/>
          <w:sz w:val="26"/>
        </w:rPr>
        <w:t>Gold By Weight</w:t>
      </w:r>
    </w:p>
    <w:p>
      <w:pPr>
        <w:jc w:val="center"/>
      </w:pPr>
      <w:r>
        <w:drawing>
          <wp:inline xmlns:a="http://schemas.openxmlformats.org/drawingml/2006/main" xmlns:pic="http://schemas.openxmlformats.org/drawingml/2006/picture">
            <wp:extent cx="5715000" cy="3216934"/>
            <wp:docPr id="3" name="Picture 3"/>
            <wp:cNvGraphicFramePr>
              <a:graphicFrameLocks noChangeAspect="1"/>
            </wp:cNvGraphicFramePr>
            <a:graphic>
              <a:graphicData uri="http://schemas.openxmlformats.org/drawingml/2006/picture">
                <pic:pic>
                  <pic:nvPicPr>
                    <pic:cNvPr id="0" name="EN-02-inventory-gold-by-weight.png"/>
                    <pic:cNvPicPr/>
                  </pic:nvPicPr>
                  <pic:blipFill>
                    <a:blip r:embed="rId13"/>
                    <a:stretch>
                      <a:fillRect/>
                    </a:stretch>
                  </pic:blipFill>
                  <pic:spPr>
                    <a:xfrm>
                      <a:off x="0" y="0"/>
                      <a:ext cx="5715000" cy="3216934"/>
                    </a:xfrm>
                    <a:prstGeom prst="rect"/>
                  </pic:spPr>
                </pic:pic>
              </a:graphicData>
            </a:graphic>
          </wp:inline>
        </w:drawing>
      </w:r>
    </w:p>
    <w:p>
      <w:pPr>
        <w:jc w:val="center"/>
      </w:pPr>
      <w:r>
        <w:rPr>
          <w:rFonts w:ascii="Calibri" w:hAnsi="Calibri"/>
          <w:i/>
          <w:color w:val="5A646E"/>
          <w:sz w:val="18"/>
        </w:rPr>
        <w:t>Gold By Weight</w:t>
      </w:r>
    </w:p>
    <w:p>
      <w:pPr>
        <w:jc w:val="center"/>
      </w:pPr>
      <w:r>
        <w:rPr>
          <w:rFonts w:ascii="Calibri" w:hAnsi="Calibri"/>
          <w:color w:val="5A646E"/>
          <w:sz w:val="17"/>
        </w:rPr>
        <w:t>① Navigation  ② Company/Branch and language context  ③ Current workspace</w:t>
      </w:r>
    </w:p>
    <w:p>
      <w:pPr>
        <w:jc w:val="left"/>
      </w:pPr>
      <w:r>
        <w:rPr>
          <w:rFonts w:ascii="Calibri" w:hAnsi="Calibri"/>
          <w:sz w:val="22"/>
        </w:rPr>
        <w:t>Use it when the gold value is driven by weight and karat.</w:t>
      </w:r>
    </w:p>
    <w:p>
      <w:pPr>
        <w:pStyle w:val="ListBullet"/>
        <w:jc w:val="left"/>
      </w:pPr>
      <w:r>
        <w:rPr>
          <w:rFonts w:ascii="Calibri" w:hAnsi="Calibri"/>
          <w:sz w:val="22"/>
        </w:rPr>
        <w:t>Review the shared supplier, location, date, and tax information at the top of the form.</w:t>
      </w:r>
    </w:p>
    <w:p>
      <w:pPr>
        <w:pStyle w:val="ListBullet"/>
        <w:jc w:val="left"/>
      </w:pPr>
      <w:r>
        <w:rPr>
          <w:rFonts w:ascii="Calibri" w:hAnsi="Calibri"/>
          <w:sz w:val="22"/>
        </w:rPr>
        <w:t>Enter the profile fields shown on the screen; do not invent a value for a field that is not shown or required.</w:t>
      </w:r>
    </w:p>
    <w:p>
      <w:pPr>
        <w:pStyle w:val="ListBullet"/>
        <w:jc w:val="left"/>
      </w:pPr>
      <w:r>
        <w:rPr>
          <w:rFonts w:ascii="Calibri" w:hAnsi="Calibri"/>
          <w:sz w:val="22"/>
        </w:rPr>
        <w:t>Review the historical and current preview and selling price before opening confirmation.</w:t>
      </w:r>
    </w:p>
    <w:p>
      <w:pPr>
        <w:pStyle w:val="ListBullet"/>
        <w:jc w:val="left"/>
      </w:pPr>
      <w:r>
        <w:rPr>
          <w:rFonts w:ascii="Calibri" w:hAnsi="Calibri"/>
          <w:sz w:val="22"/>
        </w:rPr>
        <w:t>After receiving, find the Asset from Inventory or by Barcode.</w:t>
      </w:r>
    </w:p>
    <w:tbl>
      <w:tblPr>
        <w:tblW w:type="auto" w:w="0"/>
        <w:jc w:val="center"/>
        <w:tblLook w:firstColumn="1" w:firstRow="1" w:lastColumn="0" w:lastRow="0" w:noHBand="0" w:noVBand="1" w:val="04A0"/>
      </w:tblPr>
      <w:tblGrid>
        <w:gridCol w:w="9648"/>
      </w:tblGrid>
      <w:tr>
        <w:tc>
          <w:tcPr>
            <w:tcW w:type="dxa" w:w="9648"/>
            <w:shd w:fill="F4F6F9"/>
            <w:tcMar>
              <w:top w:w="120" w:type="dxa"/>
              <w:start w:w="160" w:type="dxa"/>
              <w:bottom w:w="120" w:type="dxa"/>
              <w:end w:w="160" w:type="dxa"/>
            </w:tcMar>
          </w:tcPr>
          <w:p>
            <w:pPr>
              <w:jc w:val="left"/>
            </w:pPr>
            <w:r>
              <w:rPr>
                <w:rFonts w:ascii="Calibri" w:hAnsi="Calibri"/>
                <w:b/>
                <w:color w:val="0B2545"/>
                <w:sz w:val="21"/>
              </w:rPr>
              <w:t>Profile effect</w:t>
              <w:br/>
            </w:r>
            <w:r>
              <w:rPr>
                <w:rFonts w:ascii="Calibri" w:hAnsi="Calibri"/>
                <w:sz w:val="21"/>
              </w:rPr>
              <w:t>The Asset, Barcode, and purchase history remain linked to the same physical piece. Calculated values and tax are shown according to company settings.</w:t>
            </w:r>
          </w:p>
        </w:tc>
      </w:tr>
    </w:tbl>
    <w:p/>
    <w:p>
      <w:pPr>
        <w:pStyle w:val="Heading2"/>
        <w:jc w:val="left"/>
      </w:pPr>
      <w:r>
        <w:rPr>
          <w:rFonts w:ascii="Calibri" w:hAnsi="Calibri"/>
          <w:b/>
          <w:color w:val="1F4E79"/>
          <w:sz w:val="26"/>
        </w:rPr>
        <w:t>Gold By Piece</w:t>
      </w:r>
    </w:p>
    <w:p>
      <w:pPr>
        <w:jc w:val="center"/>
      </w:pPr>
      <w:r>
        <w:drawing>
          <wp:inline xmlns:a="http://schemas.openxmlformats.org/drawingml/2006/main" xmlns:pic="http://schemas.openxmlformats.org/drawingml/2006/picture">
            <wp:extent cx="5715000" cy="3216934"/>
            <wp:docPr id="4" name="Picture 4"/>
            <wp:cNvGraphicFramePr>
              <a:graphicFrameLocks noChangeAspect="1"/>
            </wp:cNvGraphicFramePr>
            <a:graphic>
              <a:graphicData uri="http://schemas.openxmlformats.org/drawingml/2006/picture">
                <pic:pic>
                  <pic:nvPicPr>
                    <pic:cNvPr id="0" name="EN-02-inventory-gold-by-piece.png"/>
                    <pic:cNvPicPr/>
                  </pic:nvPicPr>
                  <pic:blipFill>
                    <a:blip r:embed="rId14"/>
                    <a:stretch>
                      <a:fillRect/>
                    </a:stretch>
                  </pic:blipFill>
                  <pic:spPr>
                    <a:xfrm>
                      <a:off x="0" y="0"/>
                      <a:ext cx="5715000" cy="3216934"/>
                    </a:xfrm>
                    <a:prstGeom prst="rect"/>
                  </pic:spPr>
                </pic:pic>
              </a:graphicData>
            </a:graphic>
          </wp:inline>
        </w:drawing>
      </w:r>
    </w:p>
    <w:p>
      <w:pPr>
        <w:jc w:val="center"/>
      </w:pPr>
      <w:r>
        <w:rPr>
          <w:rFonts w:ascii="Calibri" w:hAnsi="Calibri"/>
          <w:i/>
          <w:color w:val="5A646E"/>
          <w:sz w:val="18"/>
        </w:rPr>
        <w:t>Gold By Piece</w:t>
      </w:r>
    </w:p>
    <w:p>
      <w:pPr>
        <w:jc w:val="center"/>
      </w:pPr>
      <w:r>
        <w:rPr>
          <w:rFonts w:ascii="Calibri" w:hAnsi="Calibri"/>
          <w:color w:val="5A646E"/>
          <w:sz w:val="17"/>
        </w:rPr>
        <w:t>① Navigation  ② Company/Branch and language context  ③ Current workspace</w:t>
      </w:r>
    </w:p>
    <w:p>
      <w:pPr>
        <w:jc w:val="left"/>
      </w:pPr>
      <w:r>
        <w:rPr>
          <w:rFonts w:ascii="Calibri" w:hAnsi="Calibri"/>
          <w:sz w:val="22"/>
        </w:rPr>
        <w:t>Use it when each gold piece is a separate physical unit with piece-specific data.</w:t>
      </w:r>
    </w:p>
    <w:p>
      <w:pPr>
        <w:pStyle w:val="ListBullet"/>
        <w:jc w:val="left"/>
      </w:pPr>
      <w:r>
        <w:rPr>
          <w:rFonts w:ascii="Calibri" w:hAnsi="Calibri"/>
          <w:sz w:val="22"/>
        </w:rPr>
        <w:t>Review the shared supplier, location, date, and tax information at the top of the form.</w:t>
      </w:r>
    </w:p>
    <w:p>
      <w:pPr>
        <w:pStyle w:val="ListBullet"/>
        <w:jc w:val="left"/>
      </w:pPr>
      <w:r>
        <w:rPr>
          <w:rFonts w:ascii="Calibri" w:hAnsi="Calibri"/>
          <w:sz w:val="22"/>
        </w:rPr>
        <w:t>Enter the profile fields shown on the screen; do not invent a value for a field that is not shown or required.</w:t>
      </w:r>
    </w:p>
    <w:p>
      <w:pPr>
        <w:pStyle w:val="ListBullet"/>
        <w:jc w:val="left"/>
      </w:pPr>
      <w:r>
        <w:rPr>
          <w:rFonts w:ascii="Calibri" w:hAnsi="Calibri"/>
          <w:sz w:val="22"/>
        </w:rPr>
        <w:t>Review the historical and current preview and selling price before opening confirmation.</w:t>
      </w:r>
    </w:p>
    <w:p>
      <w:pPr>
        <w:pStyle w:val="ListBullet"/>
        <w:jc w:val="left"/>
      </w:pPr>
      <w:r>
        <w:rPr>
          <w:rFonts w:ascii="Calibri" w:hAnsi="Calibri"/>
          <w:sz w:val="22"/>
        </w:rPr>
        <w:t>After receiving, find the Asset from Inventory or by Barcode.</w:t>
      </w:r>
    </w:p>
    <w:tbl>
      <w:tblPr>
        <w:tblW w:type="auto" w:w="0"/>
        <w:jc w:val="center"/>
        <w:tblLook w:firstColumn="1" w:firstRow="1" w:lastColumn="0" w:lastRow="0" w:noHBand="0" w:noVBand="1" w:val="04A0"/>
      </w:tblPr>
      <w:tblGrid>
        <w:gridCol w:w="9648"/>
      </w:tblGrid>
      <w:tr>
        <w:tc>
          <w:tcPr>
            <w:tcW w:type="dxa" w:w="9648"/>
            <w:shd w:fill="F4F6F9"/>
            <w:tcMar>
              <w:top w:w="120" w:type="dxa"/>
              <w:start w:w="160" w:type="dxa"/>
              <w:bottom w:w="120" w:type="dxa"/>
              <w:end w:w="160" w:type="dxa"/>
            </w:tcMar>
          </w:tcPr>
          <w:p>
            <w:pPr>
              <w:jc w:val="left"/>
            </w:pPr>
            <w:r>
              <w:rPr>
                <w:rFonts w:ascii="Calibri" w:hAnsi="Calibri"/>
                <w:b/>
                <w:color w:val="0B2545"/>
                <w:sz w:val="21"/>
              </w:rPr>
              <w:t>Profile effect</w:t>
              <w:br/>
            </w:r>
            <w:r>
              <w:rPr>
                <w:rFonts w:ascii="Calibri" w:hAnsi="Calibri"/>
                <w:sz w:val="21"/>
              </w:rPr>
              <w:t>The Asset, Barcode, and purchase history remain linked to the same physical piece. Calculated values and tax are shown according to company settings.</w:t>
            </w:r>
          </w:p>
        </w:tc>
      </w:tr>
    </w:tbl>
    <w:p/>
    <w:p>
      <w:pPr>
        <w:pStyle w:val="Heading2"/>
        <w:jc w:val="left"/>
      </w:pPr>
      <w:r>
        <w:rPr>
          <w:rFonts w:ascii="Calibri" w:hAnsi="Calibri"/>
          <w:b/>
          <w:color w:val="1F4E79"/>
          <w:sz w:val="26"/>
        </w:rPr>
        <w:t>Diamond Jewellery</w:t>
      </w:r>
    </w:p>
    <w:p>
      <w:pPr>
        <w:jc w:val="center"/>
      </w:pPr>
      <w:r>
        <w:drawing>
          <wp:inline xmlns:a="http://schemas.openxmlformats.org/drawingml/2006/main" xmlns:pic="http://schemas.openxmlformats.org/drawingml/2006/picture">
            <wp:extent cx="5715000" cy="3216934"/>
            <wp:docPr id="5" name="Picture 5"/>
            <wp:cNvGraphicFramePr>
              <a:graphicFrameLocks noChangeAspect="1"/>
            </wp:cNvGraphicFramePr>
            <a:graphic>
              <a:graphicData uri="http://schemas.openxmlformats.org/drawingml/2006/picture">
                <pic:pic>
                  <pic:nvPicPr>
                    <pic:cNvPr id="0" name="EN-02-inventory-diamond-jewellery.png"/>
                    <pic:cNvPicPr/>
                  </pic:nvPicPr>
                  <pic:blipFill>
                    <a:blip r:embed="rId15"/>
                    <a:stretch>
                      <a:fillRect/>
                    </a:stretch>
                  </pic:blipFill>
                  <pic:spPr>
                    <a:xfrm>
                      <a:off x="0" y="0"/>
                      <a:ext cx="5715000" cy="3216934"/>
                    </a:xfrm>
                    <a:prstGeom prst="rect"/>
                  </pic:spPr>
                </pic:pic>
              </a:graphicData>
            </a:graphic>
          </wp:inline>
        </w:drawing>
      </w:r>
    </w:p>
    <w:p>
      <w:pPr>
        <w:jc w:val="center"/>
      </w:pPr>
      <w:r>
        <w:rPr>
          <w:rFonts w:ascii="Calibri" w:hAnsi="Calibri"/>
          <w:i/>
          <w:color w:val="5A646E"/>
          <w:sz w:val="18"/>
        </w:rPr>
        <w:t>Diamond Jewellery</w:t>
      </w:r>
    </w:p>
    <w:p>
      <w:pPr>
        <w:jc w:val="center"/>
      </w:pPr>
      <w:r>
        <w:rPr>
          <w:rFonts w:ascii="Calibri" w:hAnsi="Calibri"/>
          <w:color w:val="5A646E"/>
          <w:sz w:val="17"/>
        </w:rPr>
        <w:t>① Navigation  ② Company/Branch and language context  ③ Current workspace</w:t>
      </w:r>
    </w:p>
    <w:p>
      <w:pPr>
        <w:jc w:val="left"/>
      </w:pPr>
      <w:r>
        <w:rPr>
          <w:rFonts w:ascii="Calibri" w:hAnsi="Calibri"/>
          <w:sz w:val="22"/>
        </w:rPr>
        <w:t>Use it for jewellery that contains mounted diamonds.</w:t>
      </w:r>
    </w:p>
    <w:p>
      <w:pPr>
        <w:pStyle w:val="ListBullet"/>
        <w:jc w:val="left"/>
      </w:pPr>
      <w:r>
        <w:rPr>
          <w:rFonts w:ascii="Calibri" w:hAnsi="Calibri"/>
          <w:sz w:val="22"/>
        </w:rPr>
        <w:t>Review the shared supplier, location, date, and tax information at the top of the form.</w:t>
      </w:r>
    </w:p>
    <w:p>
      <w:pPr>
        <w:pStyle w:val="ListBullet"/>
        <w:jc w:val="left"/>
      </w:pPr>
      <w:r>
        <w:rPr>
          <w:rFonts w:ascii="Calibri" w:hAnsi="Calibri"/>
          <w:sz w:val="22"/>
        </w:rPr>
        <w:t>Enter the profile fields shown on the screen; do not invent a value for a field that is not shown or required.</w:t>
      </w:r>
    </w:p>
    <w:p>
      <w:pPr>
        <w:pStyle w:val="ListBullet"/>
        <w:jc w:val="left"/>
      </w:pPr>
      <w:r>
        <w:rPr>
          <w:rFonts w:ascii="Calibri" w:hAnsi="Calibri"/>
          <w:sz w:val="22"/>
        </w:rPr>
        <w:t>Review the historical and current preview and selling price before opening confirmation.</w:t>
      </w:r>
    </w:p>
    <w:p>
      <w:pPr>
        <w:pStyle w:val="ListBullet"/>
        <w:jc w:val="left"/>
      </w:pPr>
      <w:r>
        <w:rPr>
          <w:rFonts w:ascii="Calibri" w:hAnsi="Calibri"/>
          <w:sz w:val="22"/>
        </w:rPr>
        <w:t>After receiving, find the Asset from Inventory or by Barcode.</w:t>
      </w:r>
    </w:p>
    <w:tbl>
      <w:tblPr>
        <w:tblW w:type="auto" w:w="0"/>
        <w:jc w:val="center"/>
        <w:tblLook w:firstColumn="1" w:firstRow="1" w:lastColumn="0" w:lastRow="0" w:noHBand="0" w:noVBand="1" w:val="04A0"/>
      </w:tblPr>
      <w:tblGrid>
        <w:gridCol w:w="9648"/>
      </w:tblGrid>
      <w:tr>
        <w:tc>
          <w:tcPr>
            <w:tcW w:type="dxa" w:w="9648"/>
            <w:shd w:fill="F4F6F9"/>
            <w:tcMar>
              <w:top w:w="120" w:type="dxa"/>
              <w:start w:w="160" w:type="dxa"/>
              <w:bottom w:w="120" w:type="dxa"/>
              <w:end w:w="160" w:type="dxa"/>
            </w:tcMar>
          </w:tcPr>
          <w:p>
            <w:pPr>
              <w:jc w:val="left"/>
            </w:pPr>
            <w:r>
              <w:rPr>
                <w:rFonts w:ascii="Calibri" w:hAnsi="Calibri"/>
                <w:b/>
                <w:color w:val="0B2545"/>
                <w:sz w:val="21"/>
              </w:rPr>
              <w:t>Profile effect</w:t>
              <w:br/>
            </w:r>
            <w:r>
              <w:rPr>
                <w:rFonts w:ascii="Calibri" w:hAnsi="Calibri"/>
                <w:sz w:val="21"/>
              </w:rPr>
              <w:t>The Asset, Barcode, and purchase history remain linked to the same physical piece. Calculated values and tax are shown according to company settings.</w:t>
            </w:r>
          </w:p>
        </w:tc>
      </w:tr>
    </w:tbl>
    <w:p/>
    <w:p>
      <w:pPr>
        <w:pStyle w:val="Heading2"/>
        <w:jc w:val="left"/>
      </w:pPr>
      <w:r>
        <w:rPr>
          <w:rFonts w:ascii="Calibri" w:hAnsi="Calibri"/>
          <w:b/>
          <w:color w:val="1F4E79"/>
          <w:sz w:val="26"/>
        </w:rPr>
        <w:t>Loose Diamond</w:t>
      </w:r>
    </w:p>
    <w:p>
      <w:pPr>
        <w:jc w:val="center"/>
      </w:pPr>
      <w:r>
        <w:drawing>
          <wp:inline xmlns:a="http://schemas.openxmlformats.org/drawingml/2006/main" xmlns:pic="http://schemas.openxmlformats.org/drawingml/2006/picture">
            <wp:extent cx="5715000" cy="3216934"/>
            <wp:docPr id="6" name="Picture 6"/>
            <wp:cNvGraphicFramePr>
              <a:graphicFrameLocks noChangeAspect="1"/>
            </wp:cNvGraphicFramePr>
            <a:graphic>
              <a:graphicData uri="http://schemas.openxmlformats.org/drawingml/2006/picture">
                <pic:pic>
                  <pic:nvPicPr>
                    <pic:cNvPr id="0" name="EN-02-inventory-loose-diamond.png"/>
                    <pic:cNvPicPr/>
                  </pic:nvPicPr>
                  <pic:blipFill>
                    <a:blip r:embed="rId16"/>
                    <a:stretch>
                      <a:fillRect/>
                    </a:stretch>
                  </pic:blipFill>
                  <pic:spPr>
                    <a:xfrm>
                      <a:off x="0" y="0"/>
                      <a:ext cx="5715000" cy="3216934"/>
                    </a:xfrm>
                    <a:prstGeom prst="rect"/>
                  </pic:spPr>
                </pic:pic>
              </a:graphicData>
            </a:graphic>
          </wp:inline>
        </w:drawing>
      </w:r>
    </w:p>
    <w:p>
      <w:pPr>
        <w:jc w:val="center"/>
      </w:pPr>
      <w:r>
        <w:rPr>
          <w:rFonts w:ascii="Calibri" w:hAnsi="Calibri"/>
          <w:i/>
          <w:color w:val="5A646E"/>
          <w:sz w:val="18"/>
        </w:rPr>
        <w:t>Loose Diamond</w:t>
      </w:r>
    </w:p>
    <w:p>
      <w:pPr>
        <w:jc w:val="center"/>
      </w:pPr>
      <w:r>
        <w:rPr>
          <w:rFonts w:ascii="Calibri" w:hAnsi="Calibri"/>
          <w:color w:val="5A646E"/>
          <w:sz w:val="17"/>
        </w:rPr>
        <w:t>① Navigation  ② Company/Branch and language context  ③ Current workspace</w:t>
      </w:r>
    </w:p>
    <w:p>
      <w:pPr>
        <w:jc w:val="left"/>
      </w:pPr>
      <w:r>
        <w:rPr>
          <w:rFonts w:ascii="Calibri" w:hAnsi="Calibri"/>
          <w:sz w:val="22"/>
        </w:rPr>
        <w:t>Each loose stone is recorded as an individual piece with its own Barcode.</w:t>
      </w:r>
    </w:p>
    <w:p>
      <w:pPr>
        <w:pStyle w:val="ListBullet"/>
        <w:jc w:val="left"/>
      </w:pPr>
      <w:r>
        <w:rPr>
          <w:rFonts w:ascii="Calibri" w:hAnsi="Calibri"/>
          <w:sz w:val="22"/>
        </w:rPr>
        <w:t>Review the shared supplier, location, date, and tax information at the top of the form.</w:t>
      </w:r>
    </w:p>
    <w:p>
      <w:pPr>
        <w:pStyle w:val="ListBullet"/>
        <w:jc w:val="left"/>
      </w:pPr>
      <w:r>
        <w:rPr>
          <w:rFonts w:ascii="Calibri" w:hAnsi="Calibri"/>
          <w:sz w:val="22"/>
        </w:rPr>
        <w:t>Enter the profile fields shown on the screen; do not invent a value for a field that is not shown or required.</w:t>
      </w:r>
    </w:p>
    <w:p>
      <w:pPr>
        <w:pStyle w:val="ListBullet"/>
        <w:jc w:val="left"/>
      </w:pPr>
      <w:r>
        <w:rPr>
          <w:rFonts w:ascii="Calibri" w:hAnsi="Calibri"/>
          <w:sz w:val="22"/>
        </w:rPr>
        <w:t>Review the historical and current preview and selling price before opening confirmation.</w:t>
      </w:r>
    </w:p>
    <w:p>
      <w:pPr>
        <w:pStyle w:val="ListBullet"/>
        <w:jc w:val="left"/>
      </w:pPr>
      <w:r>
        <w:rPr>
          <w:rFonts w:ascii="Calibri" w:hAnsi="Calibri"/>
          <w:sz w:val="22"/>
        </w:rPr>
        <w:t>After receiving, find the Asset from Inventory or by Barcode.</w:t>
      </w:r>
    </w:p>
    <w:tbl>
      <w:tblPr>
        <w:tblW w:type="auto" w:w="0"/>
        <w:jc w:val="center"/>
        <w:tblLook w:firstColumn="1" w:firstRow="1" w:lastColumn="0" w:lastRow="0" w:noHBand="0" w:noVBand="1" w:val="04A0"/>
      </w:tblPr>
      <w:tblGrid>
        <w:gridCol w:w="9648"/>
      </w:tblGrid>
      <w:tr>
        <w:tc>
          <w:tcPr>
            <w:tcW w:type="dxa" w:w="9648"/>
            <w:shd w:fill="F4F6F9"/>
            <w:tcMar>
              <w:top w:w="120" w:type="dxa"/>
              <w:start w:w="160" w:type="dxa"/>
              <w:bottom w:w="120" w:type="dxa"/>
              <w:end w:w="160" w:type="dxa"/>
            </w:tcMar>
          </w:tcPr>
          <w:p>
            <w:pPr>
              <w:jc w:val="left"/>
            </w:pPr>
            <w:r>
              <w:rPr>
                <w:rFonts w:ascii="Calibri" w:hAnsi="Calibri"/>
                <w:b/>
                <w:color w:val="0B2545"/>
                <w:sz w:val="21"/>
              </w:rPr>
              <w:t>Profile effect</w:t>
              <w:br/>
            </w:r>
            <w:r>
              <w:rPr>
                <w:rFonts w:ascii="Calibri" w:hAnsi="Calibri"/>
                <w:sz w:val="21"/>
              </w:rPr>
              <w:t>The Asset, Barcode, and purchase history remain linked to the same physical piece. Calculated values and tax are shown according to company settings.</w:t>
            </w:r>
          </w:p>
        </w:tc>
      </w:tr>
    </w:tbl>
    <w:p/>
    <w:p>
      <w:pPr>
        <w:pStyle w:val="Heading2"/>
        <w:jc w:val="left"/>
      </w:pPr>
      <w:r>
        <w:rPr>
          <w:rFonts w:ascii="Calibri" w:hAnsi="Calibri"/>
          <w:b/>
          <w:color w:val="1F4E79"/>
          <w:sz w:val="26"/>
        </w:rPr>
        <w:t>Gem Stone Jewellery</w:t>
      </w:r>
    </w:p>
    <w:p>
      <w:pPr>
        <w:jc w:val="center"/>
      </w:pPr>
      <w:r>
        <w:drawing>
          <wp:inline xmlns:a="http://schemas.openxmlformats.org/drawingml/2006/main" xmlns:pic="http://schemas.openxmlformats.org/drawingml/2006/picture">
            <wp:extent cx="5715000" cy="3216934"/>
            <wp:docPr id="7" name="Picture 7"/>
            <wp:cNvGraphicFramePr>
              <a:graphicFrameLocks noChangeAspect="1"/>
            </wp:cNvGraphicFramePr>
            <a:graphic>
              <a:graphicData uri="http://schemas.openxmlformats.org/drawingml/2006/picture">
                <pic:pic>
                  <pic:nvPicPr>
                    <pic:cNvPr id="0" name="EN-02-inventory-gem-stone.png"/>
                    <pic:cNvPicPr/>
                  </pic:nvPicPr>
                  <pic:blipFill>
                    <a:blip r:embed="rId17"/>
                    <a:stretch>
                      <a:fillRect/>
                    </a:stretch>
                  </pic:blipFill>
                  <pic:spPr>
                    <a:xfrm>
                      <a:off x="0" y="0"/>
                      <a:ext cx="5715000" cy="3216934"/>
                    </a:xfrm>
                    <a:prstGeom prst="rect"/>
                  </pic:spPr>
                </pic:pic>
              </a:graphicData>
            </a:graphic>
          </wp:inline>
        </w:drawing>
      </w:r>
    </w:p>
    <w:p>
      <w:pPr>
        <w:jc w:val="center"/>
      </w:pPr>
      <w:r>
        <w:rPr>
          <w:rFonts w:ascii="Calibri" w:hAnsi="Calibri"/>
          <w:i/>
          <w:color w:val="5A646E"/>
          <w:sz w:val="18"/>
        </w:rPr>
        <w:t>Gem Stone Jewellery</w:t>
      </w:r>
    </w:p>
    <w:p>
      <w:pPr>
        <w:jc w:val="center"/>
      </w:pPr>
      <w:r>
        <w:rPr>
          <w:rFonts w:ascii="Calibri" w:hAnsi="Calibri"/>
          <w:color w:val="5A646E"/>
          <w:sz w:val="17"/>
        </w:rPr>
        <w:t>① Navigation  ② Company/Branch and language context  ③ Current workspace</w:t>
      </w:r>
    </w:p>
    <w:p>
      <w:pPr>
        <w:jc w:val="left"/>
      </w:pPr>
      <w:r>
        <w:rPr>
          <w:rFonts w:ascii="Calibri" w:hAnsi="Calibri"/>
          <w:sz w:val="22"/>
        </w:rPr>
        <w:t>Use it for jewellery with mounted gemstones.</w:t>
      </w:r>
    </w:p>
    <w:p>
      <w:pPr>
        <w:pStyle w:val="ListBullet"/>
        <w:jc w:val="left"/>
      </w:pPr>
      <w:r>
        <w:rPr>
          <w:rFonts w:ascii="Calibri" w:hAnsi="Calibri"/>
          <w:sz w:val="22"/>
        </w:rPr>
        <w:t>Review the shared supplier, location, date, and tax information at the top of the form.</w:t>
      </w:r>
    </w:p>
    <w:p>
      <w:pPr>
        <w:pStyle w:val="ListBullet"/>
        <w:jc w:val="left"/>
      </w:pPr>
      <w:r>
        <w:rPr>
          <w:rFonts w:ascii="Calibri" w:hAnsi="Calibri"/>
          <w:sz w:val="22"/>
        </w:rPr>
        <w:t>Enter the profile fields shown on the screen; do not invent a value for a field that is not shown or required.</w:t>
      </w:r>
    </w:p>
    <w:p>
      <w:pPr>
        <w:pStyle w:val="ListBullet"/>
        <w:jc w:val="left"/>
      </w:pPr>
      <w:r>
        <w:rPr>
          <w:rFonts w:ascii="Calibri" w:hAnsi="Calibri"/>
          <w:sz w:val="22"/>
        </w:rPr>
        <w:t>Review the historical and current preview and selling price before opening confirmation.</w:t>
      </w:r>
    </w:p>
    <w:p>
      <w:pPr>
        <w:pStyle w:val="ListBullet"/>
        <w:jc w:val="left"/>
      </w:pPr>
      <w:r>
        <w:rPr>
          <w:rFonts w:ascii="Calibri" w:hAnsi="Calibri"/>
          <w:sz w:val="22"/>
        </w:rPr>
        <w:t>After receiving, find the Asset from Inventory or by Barcode.</w:t>
      </w:r>
    </w:p>
    <w:tbl>
      <w:tblPr>
        <w:tblW w:type="auto" w:w="0"/>
        <w:jc w:val="center"/>
        <w:tblLook w:firstColumn="1" w:firstRow="1" w:lastColumn="0" w:lastRow="0" w:noHBand="0" w:noVBand="1" w:val="04A0"/>
      </w:tblPr>
      <w:tblGrid>
        <w:gridCol w:w="9648"/>
      </w:tblGrid>
      <w:tr>
        <w:tc>
          <w:tcPr>
            <w:tcW w:type="dxa" w:w="9648"/>
            <w:shd w:fill="F4F6F9"/>
            <w:tcMar>
              <w:top w:w="120" w:type="dxa"/>
              <w:start w:w="160" w:type="dxa"/>
              <w:bottom w:w="120" w:type="dxa"/>
              <w:end w:w="160" w:type="dxa"/>
            </w:tcMar>
          </w:tcPr>
          <w:p>
            <w:pPr>
              <w:jc w:val="left"/>
            </w:pPr>
            <w:r>
              <w:rPr>
                <w:rFonts w:ascii="Calibri" w:hAnsi="Calibri"/>
                <w:b/>
                <w:color w:val="0B2545"/>
                <w:sz w:val="21"/>
              </w:rPr>
              <w:t>Profile effect</w:t>
              <w:br/>
            </w:r>
            <w:r>
              <w:rPr>
                <w:rFonts w:ascii="Calibri" w:hAnsi="Calibri"/>
                <w:sz w:val="21"/>
              </w:rPr>
              <w:t>The Asset, Barcode, and purchase history remain linked to the same physical piece. Calculated values and tax are shown according to company settings.</w:t>
            </w:r>
          </w:p>
        </w:tc>
      </w:tr>
    </w:tbl>
    <w:p/>
    <w:p>
      <w:pPr>
        <w:pStyle w:val="Heading2"/>
        <w:jc w:val="left"/>
      </w:pPr>
      <w:r>
        <w:rPr>
          <w:rFonts w:ascii="Calibri" w:hAnsi="Calibri"/>
          <w:b/>
          <w:color w:val="1F4E79"/>
          <w:sz w:val="26"/>
        </w:rPr>
        <w:t>Loose Gem Stone</w:t>
      </w:r>
    </w:p>
    <w:p>
      <w:pPr>
        <w:jc w:val="center"/>
      </w:pPr>
      <w:r>
        <w:drawing>
          <wp:inline xmlns:a="http://schemas.openxmlformats.org/drawingml/2006/main" xmlns:pic="http://schemas.openxmlformats.org/drawingml/2006/picture">
            <wp:extent cx="5715000" cy="3216934"/>
            <wp:docPr id="8" name="Picture 8"/>
            <wp:cNvGraphicFramePr>
              <a:graphicFrameLocks noChangeAspect="1"/>
            </wp:cNvGraphicFramePr>
            <a:graphic>
              <a:graphicData uri="http://schemas.openxmlformats.org/drawingml/2006/picture">
                <pic:pic>
                  <pic:nvPicPr>
                    <pic:cNvPr id="0" name="EN-02-inventory-loose-gem-stone.png"/>
                    <pic:cNvPicPr/>
                  </pic:nvPicPr>
                  <pic:blipFill>
                    <a:blip r:embed="rId18"/>
                    <a:stretch>
                      <a:fillRect/>
                    </a:stretch>
                  </pic:blipFill>
                  <pic:spPr>
                    <a:xfrm>
                      <a:off x="0" y="0"/>
                      <a:ext cx="5715000" cy="3216934"/>
                    </a:xfrm>
                    <a:prstGeom prst="rect"/>
                  </pic:spPr>
                </pic:pic>
              </a:graphicData>
            </a:graphic>
          </wp:inline>
        </w:drawing>
      </w:r>
    </w:p>
    <w:p>
      <w:pPr>
        <w:jc w:val="center"/>
      </w:pPr>
      <w:r>
        <w:rPr>
          <w:rFonts w:ascii="Calibri" w:hAnsi="Calibri"/>
          <w:i/>
          <w:color w:val="5A646E"/>
          <w:sz w:val="18"/>
        </w:rPr>
        <w:t>Loose Gem Stone</w:t>
      </w:r>
    </w:p>
    <w:p>
      <w:pPr>
        <w:jc w:val="center"/>
      </w:pPr>
      <w:r>
        <w:rPr>
          <w:rFonts w:ascii="Calibri" w:hAnsi="Calibri"/>
          <w:color w:val="5A646E"/>
          <w:sz w:val="17"/>
        </w:rPr>
        <w:t>① Navigation  ② Company/Branch and language context  ③ Current workspace</w:t>
      </w:r>
    </w:p>
    <w:p>
      <w:pPr>
        <w:jc w:val="left"/>
      </w:pPr>
      <w:r>
        <w:rPr>
          <w:rFonts w:ascii="Calibri" w:hAnsi="Calibri"/>
          <w:sz w:val="22"/>
        </w:rPr>
        <w:t>Use it for a loose gemstone tracked separately.</w:t>
      </w:r>
    </w:p>
    <w:p>
      <w:pPr>
        <w:pStyle w:val="ListBullet"/>
        <w:jc w:val="left"/>
      </w:pPr>
      <w:r>
        <w:rPr>
          <w:rFonts w:ascii="Calibri" w:hAnsi="Calibri"/>
          <w:sz w:val="22"/>
        </w:rPr>
        <w:t>Review the shared supplier, location, date, and tax information at the top of the form.</w:t>
      </w:r>
    </w:p>
    <w:p>
      <w:pPr>
        <w:pStyle w:val="ListBullet"/>
        <w:jc w:val="left"/>
      </w:pPr>
      <w:r>
        <w:rPr>
          <w:rFonts w:ascii="Calibri" w:hAnsi="Calibri"/>
          <w:sz w:val="22"/>
        </w:rPr>
        <w:t>Enter the profile fields shown on the screen; do not invent a value for a field that is not shown or required.</w:t>
      </w:r>
    </w:p>
    <w:p>
      <w:pPr>
        <w:pStyle w:val="ListBullet"/>
        <w:jc w:val="left"/>
      </w:pPr>
      <w:r>
        <w:rPr>
          <w:rFonts w:ascii="Calibri" w:hAnsi="Calibri"/>
          <w:sz w:val="22"/>
        </w:rPr>
        <w:t>Review the historical and current preview and selling price before opening confirmation.</w:t>
      </w:r>
    </w:p>
    <w:p>
      <w:pPr>
        <w:pStyle w:val="ListBullet"/>
        <w:jc w:val="left"/>
      </w:pPr>
      <w:r>
        <w:rPr>
          <w:rFonts w:ascii="Calibri" w:hAnsi="Calibri"/>
          <w:sz w:val="22"/>
        </w:rPr>
        <w:t>After receiving, find the Asset from Inventory or by Barcode.</w:t>
      </w:r>
    </w:p>
    <w:tbl>
      <w:tblPr>
        <w:tblW w:type="auto" w:w="0"/>
        <w:jc w:val="center"/>
        <w:tblLook w:firstColumn="1" w:firstRow="1" w:lastColumn="0" w:lastRow="0" w:noHBand="0" w:noVBand="1" w:val="04A0"/>
      </w:tblPr>
      <w:tblGrid>
        <w:gridCol w:w="9648"/>
      </w:tblGrid>
      <w:tr>
        <w:tc>
          <w:tcPr>
            <w:tcW w:type="dxa" w:w="9648"/>
            <w:shd w:fill="F4F6F9"/>
            <w:tcMar>
              <w:top w:w="120" w:type="dxa"/>
              <w:start w:w="160" w:type="dxa"/>
              <w:bottom w:w="120" w:type="dxa"/>
              <w:end w:w="160" w:type="dxa"/>
            </w:tcMar>
          </w:tcPr>
          <w:p>
            <w:pPr>
              <w:jc w:val="left"/>
            </w:pPr>
            <w:r>
              <w:rPr>
                <w:rFonts w:ascii="Calibri" w:hAnsi="Calibri"/>
                <w:b/>
                <w:color w:val="0B2545"/>
                <w:sz w:val="21"/>
              </w:rPr>
              <w:t>Profile effect</w:t>
              <w:br/>
            </w:r>
            <w:r>
              <w:rPr>
                <w:rFonts w:ascii="Calibri" w:hAnsi="Calibri"/>
                <w:sz w:val="21"/>
              </w:rPr>
              <w:t>The Asset, Barcode, and purchase history remain linked to the same physical piece. Calculated values and tax are shown according to company settings.</w:t>
            </w:r>
          </w:p>
        </w:tc>
      </w:tr>
    </w:tbl>
    <w:p/>
    <w:p>
      <w:pPr>
        <w:pStyle w:val="Heading2"/>
        <w:jc w:val="left"/>
      </w:pPr>
      <w:r>
        <w:rPr>
          <w:rFonts w:ascii="Calibri" w:hAnsi="Calibri"/>
          <w:b/>
          <w:color w:val="1F4E79"/>
          <w:sz w:val="26"/>
        </w:rPr>
        <w:t>Pearl Jewellery</w:t>
      </w:r>
    </w:p>
    <w:p>
      <w:pPr>
        <w:jc w:val="center"/>
      </w:pPr>
      <w:r>
        <w:drawing>
          <wp:inline xmlns:a="http://schemas.openxmlformats.org/drawingml/2006/main" xmlns:pic="http://schemas.openxmlformats.org/drawingml/2006/picture">
            <wp:extent cx="5715000" cy="3216934"/>
            <wp:docPr id="9" name="Picture 9"/>
            <wp:cNvGraphicFramePr>
              <a:graphicFrameLocks noChangeAspect="1"/>
            </wp:cNvGraphicFramePr>
            <a:graphic>
              <a:graphicData uri="http://schemas.openxmlformats.org/drawingml/2006/picture">
                <pic:pic>
                  <pic:nvPicPr>
                    <pic:cNvPr id="0" name="EN-02-inventory-pearl.png"/>
                    <pic:cNvPicPr/>
                  </pic:nvPicPr>
                  <pic:blipFill>
                    <a:blip r:embed="rId19"/>
                    <a:stretch>
                      <a:fillRect/>
                    </a:stretch>
                  </pic:blipFill>
                  <pic:spPr>
                    <a:xfrm>
                      <a:off x="0" y="0"/>
                      <a:ext cx="5715000" cy="3216934"/>
                    </a:xfrm>
                    <a:prstGeom prst="rect"/>
                  </pic:spPr>
                </pic:pic>
              </a:graphicData>
            </a:graphic>
          </wp:inline>
        </w:drawing>
      </w:r>
    </w:p>
    <w:p>
      <w:pPr>
        <w:jc w:val="center"/>
      </w:pPr>
      <w:r>
        <w:rPr>
          <w:rFonts w:ascii="Calibri" w:hAnsi="Calibri"/>
          <w:i/>
          <w:color w:val="5A646E"/>
          <w:sz w:val="18"/>
        </w:rPr>
        <w:t>Pearl Jewellery</w:t>
      </w:r>
    </w:p>
    <w:p>
      <w:pPr>
        <w:jc w:val="center"/>
      </w:pPr>
      <w:r>
        <w:rPr>
          <w:rFonts w:ascii="Calibri" w:hAnsi="Calibri"/>
          <w:color w:val="5A646E"/>
          <w:sz w:val="17"/>
        </w:rPr>
        <w:t>① Navigation  ② Company/Branch and language context  ③ Current workspace</w:t>
      </w:r>
    </w:p>
    <w:p>
      <w:pPr>
        <w:jc w:val="left"/>
      </w:pPr>
      <w:r>
        <w:rPr>
          <w:rFonts w:ascii="Calibri" w:hAnsi="Calibri"/>
          <w:sz w:val="22"/>
        </w:rPr>
        <w:t>Use it for jewellery containing mounted pearls.</w:t>
      </w:r>
    </w:p>
    <w:p>
      <w:pPr>
        <w:pStyle w:val="ListBullet"/>
        <w:jc w:val="left"/>
      </w:pPr>
      <w:r>
        <w:rPr>
          <w:rFonts w:ascii="Calibri" w:hAnsi="Calibri"/>
          <w:sz w:val="22"/>
        </w:rPr>
        <w:t>Review the shared supplier, location, date, and tax information at the top of the form.</w:t>
      </w:r>
    </w:p>
    <w:p>
      <w:pPr>
        <w:pStyle w:val="ListBullet"/>
        <w:jc w:val="left"/>
      </w:pPr>
      <w:r>
        <w:rPr>
          <w:rFonts w:ascii="Calibri" w:hAnsi="Calibri"/>
          <w:sz w:val="22"/>
        </w:rPr>
        <w:t>Enter the profile fields shown on the screen; do not invent a value for a field that is not shown or required.</w:t>
      </w:r>
    </w:p>
    <w:p>
      <w:pPr>
        <w:pStyle w:val="ListBullet"/>
        <w:jc w:val="left"/>
      </w:pPr>
      <w:r>
        <w:rPr>
          <w:rFonts w:ascii="Calibri" w:hAnsi="Calibri"/>
          <w:sz w:val="22"/>
        </w:rPr>
        <w:t>Review the historical and current preview and selling price before opening confirmation.</w:t>
      </w:r>
    </w:p>
    <w:p>
      <w:pPr>
        <w:pStyle w:val="ListBullet"/>
        <w:jc w:val="left"/>
      </w:pPr>
      <w:r>
        <w:rPr>
          <w:rFonts w:ascii="Calibri" w:hAnsi="Calibri"/>
          <w:sz w:val="22"/>
        </w:rPr>
        <w:t>After receiving, find the Asset from Inventory or by Barcode.</w:t>
      </w:r>
    </w:p>
    <w:tbl>
      <w:tblPr>
        <w:tblW w:type="auto" w:w="0"/>
        <w:jc w:val="center"/>
        <w:tblLook w:firstColumn="1" w:firstRow="1" w:lastColumn="0" w:lastRow="0" w:noHBand="0" w:noVBand="1" w:val="04A0"/>
      </w:tblPr>
      <w:tblGrid>
        <w:gridCol w:w="9648"/>
      </w:tblGrid>
      <w:tr>
        <w:tc>
          <w:tcPr>
            <w:tcW w:type="dxa" w:w="9648"/>
            <w:shd w:fill="F4F6F9"/>
            <w:tcMar>
              <w:top w:w="120" w:type="dxa"/>
              <w:start w:w="160" w:type="dxa"/>
              <w:bottom w:w="120" w:type="dxa"/>
              <w:end w:w="160" w:type="dxa"/>
            </w:tcMar>
          </w:tcPr>
          <w:p>
            <w:pPr>
              <w:jc w:val="left"/>
            </w:pPr>
            <w:r>
              <w:rPr>
                <w:rFonts w:ascii="Calibri" w:hAnsi="Calibri"/>
                <w:b/>
                <w:color w:val="0B2545"/>
                <w:sz w:val="21"/>
              </w:rPr>
              <w:t>Profile effect</w:t>
              <w:br/>
            </w:r>
            <w:r>
              <w:rPr>
                <w:rFonts w:ascii="Calibri" w:hAnsi="Calibri"/>
                <w:sz w:val="21"/>
              </w:rPr>
              <w:t>The Asset, Barcode, and purchase history remain linked to the same physical piece. Calculated values and tax are shown according to company settings.</w:t>
            </w:r>
          </w:p>
        </w:tc>
      </w:tr>
    </w:tbl>
    <w:p/>
    <w:p>
      <w:pPr>
        <w:pStyle w:val="Heading2"/>
        <w:jc w:val="left"/>
      </w:pPr>
      <w:r>
        <w:rPr>
          <w:rFonts w:ascii="Calibri" w:hAnsi="Calibri"/>
          <w:b/>
          <w:color w:val="1F4E79"/>
          <w:sz w:val="26"/>
        </w:rPr>
        <w:t>Loose Pearl</w:t>
      </w:r>
    </w:p>
    <w:p>
      <w:pPr>
        <w:jc w:val="center"/>
      </w:pPr>
      <w:r>
        <w:drawing>
          <wp:inline xmlns:a="http://schemas.openxmlformats.org/drawingml/2006/main" xmlns:pic="http://schemas.openxmlformats.org/drawingml/2006/picture">
            <wp:extent cx="5715000" cy="3216934"/>
            <wp:docPr id="10" name="Picture 10"/>
            <wp:cNvGraphicFramePr>
              <a:graphicFrameLocks noChangeAspect="1"/>
            </wp:cNvGraphicFramePr>
            <a:graphic>
              <a:graphicData uri="http://schemas.openxmlformats.org/drawingml/2006/picture">
                <pic:pic>
                  <pic:nvPicPr>
                    <pic:cNvPr id="0" name="EN-02-inventory-loose-pearl.png"/>
                    <pic:cNvPicPr/>
                  </pic:nvPicPr>
                  <pic:blipFill>
                    <a:blip r:embed="rId20"/>
                    <a:stretch>
                      <a:fillRect/>
                    </a:stretch>
                  </pic:blipFill>
                  <pic:spPr>
                    <a:xfrm>
                      <a:off x="0" y="0"/>
                      <a:ext cx="5715000" cy="3216934"/>
                    </a:xfrm>
                    <a:prstGeom prst="rect"/>
                  </pic:spPr>
                </pic:pic>
              </a:graphicData>
            </a:graphic>
          </wp:inline>
        </w:drawing>
      </w:r>
    </w:p>
    <w:p>
      <w:pPr>
        <w:jc w:val="center"/>
      </w:pPr>
      <w:r>
        <w:rPr>
          <w:rFonts w:ascii="Calibri" w:hAnsi="Calibri"/>
          <w:i/>
          <w:color w:val="5A646E"/>
          <w:sz w:val="18"/>
        </w:rPr>
        <w:t>Loose Pearl</w:t>
      </w:r>
    </w:p>
    <w:p>
      <w:pPr>
        <w:jc w:val="center"/>
      </w:pPr>
      <w:r>
        <w:rPr>
          <w:rFonts w:ascii="Calibri" w:hAnsi="Calibri"/>
          <w:color w:val="5A646E"/>
          <w:sz w:val="17"/>
        </w:rPr>
        <w:t>① Navigation  ② Company/Branch and language context  ③ Current workspace</w:t>
      </w:r>
    </w:p>
    <w:p>
      <w:pPr>
        <w:jc w:val="left"/>
      </w:pPr>
      <w:r>
        <w:rPr>
          <w:rFonts w:ascii="Calibri" w:hAnsi="Calibri"/>
          <w:sz w:val="22"/>
        </w:rPr>
        <w:t>Use it for an individual pearl that needs its own Asset and Barcode.</w:t>
      </w:r>
    </w:p>
    <w:p>
      <w:pPr>
        <w:pStyle w:val="ListBullet"/>
        <w:jc w:val="left"/>
      </w:pPr>
      <w:r>
        <w:rPr>
          <w:rFonts w:ascii="Calibri" w:hAnsi="Calibri"/>
          <w:sz w:val="22"/>
        </w:rPr>
        <w:t>Review the shared supplier, location, date, and tax information at the top of the form.</w:t>
      </w:r>
    </w:p>
    <w:p>
      <w:pPr>
        <w:pStyle w:val="ListBullet"/>
        <w:jc w:val="left"/>
      </w:pPr>
      <w:r>
        <w:rPr>
          <w:rFonts w:ascii="Calibri" w:hAnsi="Calibri"/>
          <w:sz w:val="22"/>
        </w:rPr>
        <w:t>Enter the profile fields shown on the screen; do not invent a value for a field that is not shown or required.</w:t>
      </w:r>
    </w:p>
    <w:p>
      <w:pPr>
        <w:pStyle w:val="ListBullet"/>
        <w:jc w:val="left"/>
      </w:pPr>
      <w:r>
        <w:rPr>
          <w:rFonts w:ascii="Calibri" w:hAnsi="Calibri"/>
          <w:sz w:val="22"/>
        </w:rPr>
        <w:t>Review the historical and current preview and selling price before opening confirmation.</w:t>
      </w:r>
    </w:p>
    <w:p>
      <w:pPr>
        <w:pStyle w:val="ListBullet"/>
        <w:jc w:val="left"/>
      </w:pPr>
      <w:r>
        <w:rPr>
          <w:rFonts w:ascii="Calibri" w:hAnsi="Calibri"/>
          <w:sz w:val="22"/>
        </w:rPr>
        <w:t>After receiving, find the Asset from Inventory or by Barcode.</w:t>
      </w:r>
    </w:p>
    <w:tbl>
      <w:tblPr>
        <w:tblW w:type="auto" w:w="0"/>
        <w:jc w:val="center"/>
        <w:tblLook w:firstColumn="1" w:firstRow="1" w:lastColumn="0" w:lastRow="0" w:noHBand="0" w:noVBand="1" w:val="04A0"/>
      </w:tblPr>
      <w:tblGrid>
        <w:gridCol w:w="9648"/>
      </w:tblGrid>
      <w:tr>
        <w:tc>
          <w:tcPr>
            <w:tcW w:type="dxa" w:w="9648"/>
            <w:shd w:fill="F4F6F9"/>
            <w:tcMar>
              <w:top w:w="120" w:type="dxa"/>
              <w:start w:w="160" w:type="dxa"/>
              <w:bottom w:w="120" w:type="dxa"/>
              <w:end w:w="160" w:type="dxa"/>
            </w:tcMar>
          </w:tcPr>
          <w:p>
            <w:pPr>
              <w:jc w:val="left"/>
            </w:pPr>
            <w:r>
              <w:rPr>
                <w:rFonts w:ascii="Calibri" w:hAnsi="Calibri"/>
                <w:b/>
                <w:color w:val="0B2545"/>
                <w:sz w:val="21"/>
              </w:rPr>
              <w:t>Profile effect</w:t>
              <w:br/>
            </w:r>
            <w:r>
              <w:rPr>
                <w:rFonts w:ascii="Calibri" w:hAnsi="Calibri"/>
                <w:sz w:val="21"/>
              </w:rPr>
              <w:t>The Asset, Barcode, and purchase history remain linked to the same physical piece. Calculated values and tax are shown according to company settings.</w:t>
            </w:r>
          </w:p>
        </w:tc>
      </w:tr>
    </w:tbl>
    <w:p/>
    <w:p>
      <w:pPr>
        <w:pStyle w:val="Heading1"/>
        <w:jc w:val="left"/>
      </w:pPr>
      <w:r>
        <w:rPr>
          <w:rFonts w:ascii="Calibri" w:hAnsi="Calibri"/>
          <w:b/>
          <w:color w:val="1F4E79"/>
          <w:sz w:val="32"/>
        </w:rPr>
        <w:t>Asset, Barcode, and RFID</w:t>
      </w:r>
    </w:p>
    <w:p>
      <w:pPr>
        <w:jc w:val="center"/>
      </w:pPr>
      <w:r>
        <w:drawing>
          <wp:inline xmlns:a="http://schemas.openxmlformats.org/drawingml/2006/main" xmlns:pic="http://schemas.openxmlformats.org/drawingml/2006/picture">
            <wp:extent cx="5715000" cy="3216934"/>
            <wp:docPr id="11" name="Picture 11"/>
            <wp:cNvGraphicFramePr>
              <a:graphicFrameLocks noChangeAspect="1"/>
            </wp:cNvGraphicFramePr>
            <a:graphic>
              <a:graphicData uri="http://schemas.openxmlformats.org/drawingml/2006/picture">
                <pic:pic>
                  <pic:nvPicPr>
                    <pic:cNvPr id="0" name="EN-05-asset-details.png"/>
                    <pic:cNvPicPr/>
                  </pic:nvPicPr>
                  <pic:blipFill>
                    <a:blip r:embed="rId21"/>
                    <a:stretch>
                      <a:fillRect/>
                    </a:stretch>
                  </pic:blipFill>
                  <pic:spPr>
                    <a:xfrm>
                      <a:off x="0" y="0"/>
                      <a:ext cx="5715000" cy="3216934"/>
                    </a:xfrm>
                    <a:prstGeom prst="rect"/>
                  </pic:spPr>
                </pic:pic>
              </a:graphicData>
            </a:graphic>
          </wp:inline>
        </w:drawing>
      </w:r>
    </w:p>
    <w:p>
      <w:pPr>
        <w:jc w:val="center"/>
      </w:pPr>
      <w:r>
        <w:rPr>
          <w:rFonts w:ascii="Calibri" w:hAnsi="Calibri"/>
          <w:i/>
          <w:color w:val="5A646E"/>
          <w:sz w:val="18"/>
        </w:rPr>
        <w:t>Asset details and traceability</w:t>
      </w:r>
    </w:p>
    <w:p>
      <w:pPr>
        <w:jc w:val="center"/>
      </w:pPr>
      <w:r>
        <w:rPr>
          <w:rFonts w:ascii="Calibri" w:hAnsi="Calibri"/>
          <w:color w:val="5A646E"/>
          <w:sz w:val="17"/>
        </w:rPr>
        <w:t>① Navigation  ② Company/Branch and language context  ③ Current workspace</w:t>
      </w:r>
    </w:p>
    <w:p>
      <w:pPr>
        <w:jc w:val="left"/>
      </w:pPr>
      <w:r>
        <w:rPr>
          <w:rFonts w:ascii="Calibri" w:hAnsi="Calibri"/>
          <w:sz w:val="22"/>
        </w:rPr>
        <w:t>Asset Details is the business traceability card for a physical piece. Use it to review identity, branch, location, status, supplier, history, values, and events.</w:t>
      </w:r>
    </w:p>
    <w:p>
      <w:pPr>
        <w:pStyle w:val="Heading2"/>
        <w:jc w:val="left"/>
      </w:pPr>
      <w:r>
        <w:rPr>
          <w:rFonts w:ascii="Calibri" w:hAnsi="Calibri"/>
          <w:b/>
          <w:color w:val="1F4E79"/>
          <w:sz w:val="26"/>
        </w:rPr>
        <w:t>Barcode</w:t>
      </w:r>
    </w:p>
    <w:p>
      <w:pPr>
        <w:pStyle w:val="ListBullet"/>
        <w:jc w:val="left"/>
      </w:pPr>
      <w:r>
        <w:rPr>
          <w:rFonts w:ascii="Calibri" w:hAnsi="Calibri"/>
          <w:sz w:val="22"/>
        </w:rPr>
        <w:t>Barcode search returns the matching physical item.</w:t>
      </w:r>
    </w:p>
    <w:p>
      <w:pPr>
        <w:pStyle w:val="ListBullet"/>
        <w:jc w:val="left"/>
      </w:pPr>
      <w:r>
        <w:rPr>
          <w:rFonts w:ascii="Calibri" w:hAnsi="Calibri"/>
          <w:sz w:val="22"/>
        </w:rPr>
        <w:t>Reprint uses the same identity; it does not create a new piece.</w:t>
      </w:r>
    </w:p>
    <w:p>
      <w:pPr>
        <w:pStyle w:val="ListBullet"/>
        <w:jc w:val="left"/>
      </w:pPr>
      <w:r>
        <w:rPr>
          <w:rFonts w:ascii="Calibri" w:hAnsi="Calibri"/>
          <w:sz w:val="22"/>
        </w:rPr>
        <w:t>Barcode replacement - when exposed and permitted - changes the active Barcode for the same Asset and keeps the previous history for traceability.</w:t>
      </w:r>
    </w:p>
    <w:p>
      <w:pPr>
        <w:pStyle w:val="Heading2"/>
        <w:jc w:val="left"/>
      </w:pPr>
      <w:r>
        <w:rPr>
          <w:rFonts w:ascii="Calibri" w:hAnsi="Calibri"/>
          <w:b/>
          <w:color w:val="1F4E79"/>
          <w:sz w:val="26"/>
        </w:rPr>
        <w:t>RFID</w:t>
      </w:r>
    </w:p>
    <w:p>
      <w:pPr>
        <w:jc w:val="left"/>
      </w:pPr>
      <w:r>
        <w:rPr>
          <w:rFonts w:ascii="Calibri" w:hAnsi="Calibri"/>
          <w:sz w:val="22"/>
        </w:rPr>
        <w:t>Use RFID only when the RFID control is visible to your account. Assigning or replacing a tag does not change the Asset or Barcode unless the screen explicitly says so.</w:t>
      </w:r>
    </w:p>
    <w:tbl>
      <w:tblPr>
        <w:tblW w:type="auto" w:w="0"/>
        <w:jc w:val="center"/>
        <w:tblLook w:firstColumn="1" w:firstRow="1" w:lastColumn="0" w:lastRow="0" w:noHBand="0" w:noVBand="1" w:val="04A0"/>
      </w:tblPr>
      <w:tblGrid>
        <w:gridCol w:w="9648"/>
      </w:tblGrid>
      <w:tr>
        <w:tc>
          <w:tcPr>
            <w:tcW w:type="dxa" w:w="9648"/>
            <w:shd w:fill="FFF6DD"/>
            <w:tcMar>
              <w:top w:w="120" w:type="dxa"/>
              <w:start w:w="160" w:type="dxa"/>
              <w:bottom w:w="120" w:type="dxa"/>
              <w:end w:w="160" w:type="dxa"/>
            </w:tcMar>
          </w:tcPr>
          <w:p>
            <w:pPr>
              <w:jc w:val="left"/>
            </w:pPr>
            <w:r>
              <w:rPr>
                <w:rFonts w:ascii="Calibri" w:hAnsi="Calibri"/>
                <w:b/>
                <w:color w:val="AB7515"/>
                <w:sz w:val="21"/>
              </w:rPr>
              <w:t>Do not edit status by imitation</w:t>
              <w:br/>
            </w:r>
            <w:r>
              <w:rPr>
                <w:rFonts w:ascii="Calibri" w:hAnsi="Calibri"/>
                <w:sz w:val="21"/>
              </w:rPr>
              <w:t>Status changes belong to the correct workflow such as Sale, Transfer, or Workshop, not arbitrary editing in Asset Details.</w:t>
            </w:r>
          </w:p>
        </w:tc>
      </w:tr>
    </w:tbl>
    <w:p/>
    <w:p>
      <w:pPr>
        <w:pStyle w:val="Heading1"/>
        <w:jc w:val="left"/>
      </w:pPr>
      <w:r>
        <w:rPr>
          <w:rFonts w:ascii="Calibri" w:hAnsi="Calibri"/>
          <w:b/>
          <w:color w:val="1F4E79"/>
          <w:sz w:val="32"/>
        </w:rPr>
        <w:t>Transfers, Workshop, and Count</w:t>
      </w:r>
    </w:p>
    <w:p>
      <w:pPr>
        <w:pStyle w:val="Heading2"/>
        <w:jc w:val="left"/>
      </w:pPr>
      <w:r>
        <w:rPr>
          <w:rFonts w:ascii="Calibri" w:hAnsi="Calibri"/>
          <w:b/>
          <w:color w:val="1F4E79"/>
          <w:sz w:val="26"/>
        </w:rPr>
        <w:t>Branch Transfers</w:t>
      </w:r>
    </w:p>
    <w:p>
      <w:pPr>
        <w:jc w:val="center"/>
      </w:pPr>
      <w:r>
        <w:drawing>
          <wp:inline xmlns:a="http://schemas.openxmlformats.org/drawingml/2006/main" xmlns:pic="http://schemas.openxmlformats.org/drawingml/2006/picture">
            <wp:extent cx="5715000" cy="3214688"/>
            <wp:docPr id="12" name="Picture 12"/>
            <wp:cNvGraphicFramePr>
              <a:graphicFrameLocks noChangeAspect="1"/>
            </wp:cNvGraphicFramePr>
            <a:graphic>
              <a:graphicData uri="http://schemas.openxmlformats.org/drawingml/2006/picture">
                <pic:pic>
                  <pic:nvPicPr>
                    <pic:cNvPr id="0" name="EN-01-inventory-transfers.png"/>
                    <pic:cNvPicPr/>
                  </pic:nvPicPr>
                  <pic:blipFill>
                    <a:blip r:embed="rId22"/>
                    <a:stretch>
                      <a:fillRect/>
                    </a:stretch>
                  </pic:blipFill>
                  <pic:spPr>
                    <a:xfrm>
                      <a:off x="0" y="0"/>
                      <a:ext cx="5715000" cy="3214688"/>
                    </a:xfrm>
                    <a:prstGeom prst="rect"/>
                  </pic:spPr>
                </pic:pic>
              </a:graphicData>
            </a:graphic>
          </wp:inline>
        </w:drawing>
      </w:r>
    </w:p>
    <w:p>
      <w:pPr>
        <w:jc w:val="center"/>
      </w:pPr>
      <w:r>
        <w:rPr>
          <w:rFonts w:ascii="Calibri" w:hAnsi="Calibri"/>
          <w:i/>
          <w:color w:val="5A646E"/>
          <w:sz w:val="18"/>
        </w:rPr>
        <w:t>Transfer register and states</w:t>
      </w:r>
    </w:p>
    <w:p>
      <w:pPr>
        <w:jc w:val="center"/>
      </w:pPr>
      <w:r>
        <w:rPr>
          <w:rFonts w:ascii="Calibri" w:hAnsi="Calibri"/>
          <w:color w:val="5A646E"/>
          <w:sz w:val="17"/>
        </w:rPr>
        <w:t>① Navigation  ② Company/Branch and language context  ③ Current workspace</w:t>
      </w:r>
    </w:p>
    <w:p>
      <w:pPr>
        <w:pStyle w:val="ListNumber"/>
        <w:jc w:val="left"/>
      </w:pPr>
      <w:r>
        <w:rPr>
          <w:rFonts w:ascii="Calibri" w:hAnsi="Calibri"/>
          <w:sz w:val="22"/>
        </w:rPr>
        <w:t>Inventory -&gt; Transfers -&gt; Create Transfer.</w:t>
      </w:r>
    </w:p>
    <w:p>
      <w:pPr>
        <w:pStyle w:val="ListNumber"/>
        <w:jc w:val="left"/>
      </w:pPr>
      <w:r>
        <w:rPr>
          <w:rFonts w:ascii="Calibri" w:hAnsi="Calibri"/>
          <w:sz w:val="22"/>
        </w:rPr>
        <w:t>Choose source and destination branch/location, then select available Assets.</w:t>
      </w:r>
    </w:p>
    <w:p>
      <w:pPr>
        <w:pStyle w:val="ListNumber"/>
        <w:jc w:val="left"/>
      </w:pPr>
      <w:r>
        <w:rPr>
          <w:rFonts w:ascii="Calibri" w:hAnsi="Calibri"/>
          <w:sz w:val="22"/>
        </w:rPr>
        <w:t>Submit the request, then complete Approve, Dispatch, and Receive according to the role.</w:t>
      </w:r>
    </w:p>
    <w:p>
      <w:pPr>
        <w:pStyle w:val="ListNumber"/>
        <w:jc w:val="left"/>
      </w:pPr>
      <w:r>
        <w:rPr>
          <w:rFonts w:ascii="Calibri" w:hAnsi="Calibri"/>
          <w:sz w:val="22"/>
        </w:rPr>
        <w:t>Open the same transfer record to review its state.</w:t>
      </w:r>
    </w:p>
    <w:tbl>
      <w:tblPr>
        <w:tblW w:type="auto" w:w="0"/>
        <w:jc w:val="center"/>
        <w:tblLook w:firstColumn="1" w:firstRow="1" w:lastColumn="0" w:lastRow="0" w:noHBand="0" w:noVBand="1" w:val="04A0"/>
      </w:tblPr>
      <w:tblGrid>
        <w:gridCol w:w="9648"/>
      </w:tblGrid>
      <w:tr>
        <w:tc>
          <w:tcPr>
            <w:tcW w:type="dxa" w:w="9648"/>
            <w:shd w:fill="F4F6F9"/>
            <w:tcMar>
              <w:top w:w="120" w:type="dxa"/>
              <w:start w:w="160" w:type="dxa"/>
              <w:bottom w:w="120" w:type="dxa"/>
              <w:end w:w="160" w:type="dxa"/>
            </w:tcMar>
          </w:tcPr>
          <w:p>
            <w:pPr>
              <w:jc w:val="left"/>
            </w:pPr>
            <w:r>
              <w:rPr>
                <w:rFonts w:ascii="Calibri" w:hAnsi="Calibri"/>
                <w:b/>
                <w:color w:val="0B2545"/>
                <w:sz w:val="21"/>
              </w:rPr>
              <w:t>What changes?</w:t>
              <w:br/>
            </w:r>
            <w:r>
              <w:rPr>
                <w:rFonts w:ascii="Calibri" w:hAnsi="Calibri"/>
                <w:sz w:val="21"/>
              </w:rPr>
              <w:t>The physical piece, Asset, and Barcode remain the same; branch/location custody changes through the transfer. A transfer does not create a sales invoice or supplier payment.</w:t>
            </w:r>
          </w:p>
        </w:tc>
      </w:tr>
    </w:tbl>
    <w:p/>
    <w:p>
      <w:pPr>
        <w:pStyle w:val="Heading2"/>
        <w:jc w:val="left"/>
      </w:pPr>
      <w:r>
        <w:rPr>
          <w:rFonts w:ascii="Calibri" w:hAnsi="Calibri"/>
          <w:b/>
          <w:color w:val="1F4E79"/>
          <w:sz w:val="26"/>
        </w:rPr>
        <w:t>Workshop</w:t>
      </w:r>
    </w:p>
    <w:p>
      <w:pPr>
        <w:jc w:val="center"/>
      </w:pPr>
      <w:r>
        <w:drawing>
          <wp:inline xmlns:a="http://schemas.openxmlformats.org/drawingml/2006/main" xmlns:pic="http://schemas.openxmlformats.org/drawingml/2006/picture">
            <wp:extent cx="5715000" cy="3214688"/>
            <wp:docPr id="13" name="Picture 13"/>
            <wp:cNvGraphicFramePr>
              <a:graphicFrameLocks noChangeAspect="1"/>
            </wp:cNvGraphicFramePr>
            <a:graphic>
              <a:graphicData uri="http://schemas.openxmlformats.org/drawingml/2006/picture">
                <pic:pic>
                  <pic:nvPicPr>
                    <pic:cNvPr id="0" name="EN-01-inventory-workshop.png"/>
                    <pic:cNvPicPr/>
                  </pic:nvPicPr>
                  <pic:blipFill>
                    <a:blip r:embed="rId23"/>
                    <a:stretch>
                      <a:fillRect/>
                    </a:stretch>
                  </pic:blipFill>
                  <pic:spPr>
                    <a:xfrm>
                      <a:off x="0" y="0"/>
                      <a:ext cx="5715000" cy="3214688"/>
                    </a:xfrm>
                    <a:prstGeom prst="rect"/>
                  </pic:spPr>
                </pic:pic>
              </a:graphicData>
            </a:graphic>
          </wp:inline>
        </w:drawing>
      </w:r>
    </w:p>
    <w:p>
      <w:pPr>
        <w:jc w:val="center"/>
      </w:pPr>
      <w:r>
        <w:rPr>
          <w:rFonts w:ascii="Calibri" w:hAnsi="Calibri"/>
          <w:i/>
          <w:color w:val="5A646E"/>
          <w:sz w:val="18"/>
        </w:rPr>
        <w:t>Workshop register</w:t>
      </w:r>
    </w:p>
    <w:p>
      <w:pPr>
        <w:jc w:val="center"/>
      </w:pPr>
      <w:r>
        <w:rPr>
          <w:rFonts w:ascii="Calibri" w:hAnsi="Calibri"/>
          <w:color w:val="5A646E"/>
          <w:sz w:val="17"/>
        </w:rPr>
        <w:t>① Navigation  ② Company/Branch and language context  ③ Current workspace</w:t>
      </w:r>
    </w:p>
    <w:p>
      <w:pPr>
        <w:pStyle w:val="ListNumber"/>
        <w:jc w:val="left"/>
      </w:pPr>
      <w:r>
        <w:rPr>
          <w:rFonts w:ascii="Calibri" w:hAnsi="Calibri"/>
          <w:sz w:val="22"/>
        </w:rPr>
        <w:t>Inventory -&gt; Workshop -&gt; choose the piece and destination.</w:t>
      </w:r>
    </w:p>
    <w:p>
      <w:pPr>
        <w:pStyle w:val="ListNumber"/>
        <w:jc w:val="left"/>
      </w:pPr>
      <w:r>
        <w:rPr>
          <w:rFonts w:ascii="Calibri" w:hAnsi="Calibri"/>
          <w:sz w:val="22"/>
        </w:rPr>
        <w:t>Confirm Send, then follow the same record when it is returned.</w:t>
      </w:r>
    </w:p>
    <w:p>
      <w:pPr>
        <w:pStyle w:val="ListNumber"/>
        <w:jc w:val="left"/>
      </w:pPr>
      <w:r>
        <w:rPr>
          <w:rFonts w:ascii="Calibri" w:hAnsi="Calibri"/>
          <w:sz w:val="22"/>
        </w:rPr>
        <w:t>Do not sell the piece while it is in Workshop when its status prevents sale.</w:t>
      </w:r>
    </w:p>
    <w:tbl>
      <w:tblPr>
        <w:tblW w:type="auto" w:w="0"/>
        <w:jc w:val="center"/>
        <w:tblLook w:firstColumn="1" w:firstRow="1" w:lastColumn="0" w:lastRow="0" w:noHBand="0" w:noVBand="1" w:val="04A0"/>
      </w:tblPr>
      <w:tblGrid>
        <w:gridCol w:w="9648"/>
      </w:tblGrid>
      <w:tr>
        <w:tc>
          <w:tcPr>
            <w:tcW w:type="dxa" w:w="9648"/>
            <w:shd w:fill="F4F6F9"/>
            <w:tcMar>
              <w:top w:w="120" w:type="dxa"/>
              <w:start w:w="160" w:type="dxa"/>
              <w:bottom w:w="120" w:type="dxa"/>
              <w:end w:w="160" w:type="dxa"/>
            </w:tcMar>
          </w:tcPr>
          <w:p>
            <w:pPr>
              <w:jc w:val="left"/>
            </w:pPr>
            <w:r>
              <w:rPr>
                <w:rFonts w:ascii="Calibri" w:hAnsi="Calibri"/>
                <w:b/>
                <w:color w:val="0B2545"/>
                <w:sz w:val="21"/>
              </w:rPr>
              <w:t>What happens?</w:t>
              <w:br/>
            </w:r>
            <w:r>
              <w:rPr>
                <w:rFonts w:ascii="Calibri" w:hAnsi="Calibri"/>
                <w:sz w:val="21"/>
              </w:rPr>
              <w:t>The Asset and Barcode stay the same while operational custody/status changes through Workshop. Workshop is not a sale.</w:t>
            </w:r>
          </w:p>
        </w:tc>
      </w:tr>
    </w:tbl>
    <w:p/>
    <w:p>
      <w:pPr>
        <w:pStyle w:val="Heading2"/>
        <w:jc w:val="left"/>
      </w:pPr>
      <w:r>
        <w:rPr>
          <w:rFonts w:ascii="Calibri" w:hAnsi="Calibri"/>
          <w:b/>
          <w:color w:val="1F4E79"/>
          <w:sz w:val="26"/>
        </w:rPr>
        <w:t>Inventory Count</w:t>
      </w:r>
    </w:p>
    <w:p>
      <w:pPr>
        <w:jc w:val="center"/>
      </w:pPr>
      <w:r>
        <w:drawing>
          <wp:inline xmlns:a="http://schemas.openxmlformats.org/drawingml/2006/main" xmlns:pic="http://schemas.openxmlformats.org/drawingml/2006/picture">
            <wp:extent cx="5715000" cy="3214688"/>
            <wp:docPr id="14" name="Picture 14"/>
            <wp:cNvGraphicFramePr>
              <a:graphicFrameLocks noChangeAspect="1"/>
            </wp:cNvGraphicFramePr>
            <a:graphic>
              <a:graphicData uri="http://schemas.openxmlformats.org/drawingml/2006/picture">
                <pic:pic>
                  <pic:nvPicPr>
                    <pic:cNvPr id="0" name="EN-01-inventory-stock-audit.png"/>
                    <pic:cNvPicPr/>
                  </pic:nvPicPr>
                  <pic:blipFill>
                    <a:blip r:embed="rId24"/>
                    <a:stretch>
                      <a:fillRect/>
                    </a:stretch>
                  </pic:blipFill>
                  <pic:spPr>
                    <a:xfrm>
                      <a:off x="0" y="0"/>
                      <a:ext cx="5715000" cy="3214688"/>
                    </a:xfrm>
                    <a:prstGeom prst="rect"/>
                  </pic:spPr>
                </pic:pic>
              </a:graphicData>
            </a:graphic>
          </wp:inline>
        </w:drawing>
      </w:r>
    </w:p>
    <w:p>
      <w:pPr>
        <w:jc w:val="center"/>
      </w:pPr>
      <w:r>
        <w:rPr>
          <w:rFonts w:ascii="Calibri" w:hAnsi="Calibri"/>
          <w:i/>
          <w:color w:val="5A646E"/>
          <w:sz w:val="18"/>
        </w:rPr>
        <w:t>Count and compare expected with counted</w:t>
      </w:r>
    </w:p>
    <w:p>
      <w:pPr>
        <w:jc w:val="center"/>
      </w:pPr>
      <w:r>
        <w:rPr>
          <w:rFonts w:ascii="Calibri" w:hAnsi="Calibri"/>
          <w:color w:val="5A646E"/>
          <w:sz w:val="17"/>
        </w:rPr>
        <w:t>① Navigation  ② Company/Branch and language context  ③ Current workspace</w:t>
      </w:r>
    </w:p>
    <w:p>
      <w:pPr>
        <w:pStyle w:val="ListNumber"/>
        <w:jc w:val="left"/>
      </w:pPr>
      <w:r>
        <w:rPr>
          <w:rFonts w:ascii="Calibri" w:hAnsi="Calibri"/>
          <w:sz w:val="22"/>
        </w:rPr>
        <w:t>Inventory -&gt; Inventory Count -&gt; choose the location and start a count.</w:t>
      </w:r>
    </w:p>
    <w:p>
      <w:pPr>
        <w:pStyle w:val="ListNumber"/>
        <w:jc w:val="left"/>
      </w:pPr>
      <w:r>
        <w:rPr>
          <w:rFonts w:ascii="Calibri" w:hAnsi="Calibri"/>
          <w:sz w:val="22"/>
        </w:rPr>
        <w:t>Review Expected, Counted, Missing, Unexpected, and Variance.</w:t>
      </w:r>
    </w:p>
    <w:p>
      <w:pPr>
        <w:pStyle w:val="ListNumber"/>
        <w:jc w:val="left"/>
      </w:pPr>
      <w:r>
        <w:rPr>
          <w:rFonts w:ascii="Calibri" w:hAnsi="Calibri"/>
          <w:sz w:val="22"/>
        </w:rPr>
        <w:t>Complete and close the same count when the workflow requires it.</w:t>
      </w:r>
    </w:p>
    <w:tbl>
      <w:tblPr>
        <w:tblW w:type="auto" w:w="0"/>
        <w:jc w:val="center"/>
        <w:tblLook w:firstColumn="1" w:firstRow="1" w:lastColumn="0" w:lastRow="0" w:noHBand="0" w:noVBand="1" w:val="04A0"/>
      </w:tblPr>
      <w:tblGrid>
        <w:gridCol w:w="9648"/>
      </w:tblGrid>
      <w:tr>
        <w:tc>
          <w:tcPr>
            <w:tcW w:type="dxa" w:w="9648"/>
            <w:shd w:fill="F4F6F9"/>
            <w:tcMar>
              <w:top w:w="120" w:type="dxa"/>
              <w:start w:w="160" w:type="dxa"/>
              <w:bottom w:w="120" w:type="dxa"/>
              <w:end w:w="160" w:type="dxa"/>
            </w:tcMar>
          </w:tcPr>
          <w:p>
            <w:pPr>
              <w:jc w:val="left"/>
            </w:pPr>
            <w:r>
              <w:rPr>
                <w:rFonts w:ascii="Calibri" w:hAnsi="Calibri"/>
                <w:b/>
                <w:color w:val="0B2545"/>
                <w:sz w:val="21"/>
              </w:rPr>
              <w:t>Count effect</w:t>
              <w:br/>
            </w:r>
            <w:r>
              <w:rPr>
                <w:rFonts w:ascii="Calibri" w:hAnsi="Calibri"/>
                <w:sz w:val="21"/>
              </w:rPr>
              <w:t>A count records evidence of what was observed. Do not assume it changes Asset status automatically; review the count result and audit history.</w:t>
            </w:r>
          </w:p>
        </w:tc>
      </w:tr>
    </w:tbl>
    <w:p/>
    <w:p>
      <w:pPr>
        <w:pStyle w:val="Heading1"/>
        <w:jc w:val="left"/>
      </w:pPr>
      <w:r>
        <w:rPr>
          <w:rFonts w:ascii="Calibri" w:hAnsi="Calibri"/>
          <w:b/>
          <w:color w:val="1F4E79"/>
          <w:sz w:val="32"/>
        </w:rPr>
        <w:t>Suppliers and purchases</w:t>
      </w:r>
    </w:p>
    <w:p>
      <w:pPr>
        <w:jc w:val="center"/>
      </w:pPr>
      <w:r>
        <w:drawing>
          <wp:inline xmlns:a="http://schemas.openxmlformats.org/drawingml/2006/main" xmlns:pic="http://schemas.openxmlformats.org/drawingml/2006/picture">
            <wp:extent cx="5715000" cy="3214688"/>
            <wp:docPr id="15" name="Picture 15"/>
            <wp:cNvGraphicFramePr>
              <a:graphicFrameLocks noChangeAspect="1"/>
            </wp:cNvGraphicFramePr>
            <a:graphic>
              <a:graphicData uri="http://schemas.openxmlformats.org/drawingml/2006/picture">
                <pic:pic>
                  <pic:nvPicPr>
                    <pic:cNvPr id="0" name="EN-05-supplier-details.png"/>
                    <pic:cNvPicPr/>
                  </pic:nvPicPr>
                  <pic:blipFill>
                    <a:blip r:embed="rId25"/>
                    <a:stretch>
                      <a:fillRect/>
                    </a:stretch>
                  </pic:blipFill>
                  <pic:spPr>
                    <a:xfrm>
                      <a:off x="0" y="0"/>
                      <a:ext cx="5715000" cy="3214688"/>
                    </a:xfrm>
                    <a:prstGeom prst="rect"/>
                  </pic:spPr>
                </pic:pic>
              </a:graphicData>
            </a:graphic>
          </wp:inline>
        </w:drawing>
      </w:r>
    </w:p>
    <w:p>
      <w:pPr>
        <w:jc w:val="center"/>
      </w:pPr>
      <w:r>
        <w:rPr>
          <w:rFonts w:ascii="Calibri" w:hAnsi="Calibri"/>
          <w:i/>
          <w:color w:val="5A646E"/>
          <w:sz w:val="18"/>
        </w:rPr>
        <w:t>Supplier details, balance, and history</w:t>
      </w:r>
    </w:p>
    <w:p>
      <w:pPr>
        <w:jc w:val="center"/>
      </w:pPr>
      <w:r>
        <w:rPr>
          <w:rFonts w:ascii="Calibri" w:hAnsi="Calibri"/>
          <w:color w:val="5A646E"/>
          <w:sz w:val="17"/>
        </w:rPr>
        <w:t>① Navigation  ② Company/Branch and language context  ③ Current workspace</w:t>
      </w:r>
    </w:p>
    <w:p>
      <w:pPr>
        <w:pStyle w:val="ListNumber"/>
        <w:jc w:val="left"/>
      </w:pPr>
      <w:r>
        <w:rPr>
          <w:rFonts w:ascii="Calibri" w:hAnsi="Calibri"/>
          <w:sz w:val="22"/>
        </w:rPr>
        <w:t>Open Suppliers &amp; purchases and search by name, category, or phone.</w:t>
      </w:r>
    </w:p>
    <w:p>
      <w:pPr>
        <w:pStyle w:val="ListNumber"/>
        <w:jc w:val="left"/>
      </w:pPr>
      <w:r>
        <w:rPr>
          <w:rFonts w:ascii="Calibri" w:hAnsi="Calibri"/>
          <w:sz w:val="22"/>
        </w:rPr>
        <w:t>Open View to review supplier details, purchase history, and balance.</w:t>
      </w:r>
    </w:p>
    <w:p>
      <w:pPr>
        <w:pStyle w:val="ListNumber"/>
        <w:jc w:val="left"/>
      </w:pPr>
      <w:r>
        <w:rPr>
          <w:rFonts w:ascii="Calibri" w:hAnsi="Calibri"/>
          <w:sz w:val="22"/>
        </w:rPr>
        <w:t>For create or edit, use the button visible to your account and complete the fields shown.</w:t>
      </w:r>
    </w:p>
    <w:p>
      <w:pPr>
        <w:pStyle w:val="ListNumber"/>
        <w:jc w:val="left"/>
      </w:pPr>
      <w:r>
        <w:rPr>
          <w:rFonts w:ascii="Calibri" w:hAnsi="Calibri"/>
          <w:sz w:val="22"/>
        </w:rPr>
        <w:t>Do not overwrite the balance manually; the system-derived balance comes from recorded transactions.</w:t>
      </w:r>
    </w:p>
    <w:p>
      <w:pPr>
        <w:pStyle w:val="Heading2"/>
        <w:jc w:val="left"/>
      </w:pPr>
      <w:r>
        <w:rPr>
          <w:rFonts w:ascii="Calibri" w:hAnsi="Calibri"/>
          <w:b/>
          <w:color w:val="1F4E79"/>
          <w:sz w:val="26"/>
        </w:rPr>
        <w:t>Receiving supplier purchases</w:t>
      </w:r>
    </w:p>
    <w:p>
      <w:pPr>
        <w:jc w:val="left"/>
      </w:pPr>
      <w:r>
        <w:rPr>
          <w:rFonts w:ascii="Calibri" w:hAnsi="Calibri"/>
          <w:sz w:val="22"/>
        </w:rPr>
        <w:t>Start receiving from Inventory through the unified path. Supplier Details is for information, history, and balance; it is not a second receive source when Inventory is available.</w:t>
      </w:r>
    </w:p>
    <w:tbl>
      <w:tblPr>
        <w:tblW w:type="auto" w:w="0"/>
        <w:jc w:val="center"/>
        <w:tblLook w:firstColumn="1" w:firstRow="1" w:lastColumn="0" w:lastRow="0" w:noHBand="0" w:noVBand="1" w:val="04A0"/>
      </w:tblPr>
      <w:tblGrid>
        <w:gridCol w:w="9648"/>
      </w:tblGrid>
      <w:tr>
        <w:tc>
          <w:tcPr>
            <w:tcW w:type="dxa" w:w="9648"/>
            <w:shd w:fill="F4F6F9"/>
            <w:tcMar>
              <w:top w:w="120" w:type="dxa"/>
              <w:start w:w="160" w:type="dxa"/>
              <w:bottom w:w="120" w:type="dxa"/>
              <w:end w:w="160" w:type="dxa"/>
            </w:tcMar>
          </w:tcPr>
          <w:p>
            <w:pPr>
              <w:jc w:val="left"/>
            </w:pPr>
            <w:r>
              <w:rPr>
                <w:rFonts w:ascii="Calibri" w:hAnsi="Calibri"/>
                <w:b/>
                <w:color w:val="0B2545"/>
                <w:sz w:val="21"/>
              </w:rPr>
              <w:t>After receiving or paying</w:t>
              <w:br/>
            </w:r>
            <w:r>
              <w:rPr>
                <w:rFonts w:ascii="Calibri" w:hAnsi="Calibri"/>
                <w:sz w:val="21"/>
              </w:rPr>
              <w:t>After a receive, review the Asset in Inventory, supplier history, and Accounting when applicable. After a successful supplier payment, review the balance, Treasury, and journal.</w:t>
            </w:r>
          </w:p>
        </w:tc>
      </w:tr>
    </w:tbl>
    <w:p/>
    <w:p>
      <w:pPr>
        <w:pStyle w:val="Heading1"/>
        <w:jc w:val="left"/>
      </w:pPr>
      <w:r>
        <w:rPr>
          <w:rFonts w:ascii="Calibri" w:hAnsi="Calibri"/>
          <w:b/>
          <w:color w:val="1F4E79"/>
          <w:sz w:val="32"/>
        </w:rPr>
        <w:t>Customers</w:t>
      </w:r>
    </w:p>
    <w:p>
      <w:pPr>
        <w:jc w:val="center"/>
      </w:pPr>
      <w:r>
        <w:drawing>
          <wp:inline xmlns:a="http://schemas.openxmlformats.org/drawingml/2006/main" xmlns:pic="http://schemas.openxmlformats.org/drawingml/2006/picture">
            <wp:extent cx="5715000" cy="3571875"/>
            <wp:docPr id="16" name="Picture 16"/>
            <wp:cNvGraphicFramePr>
              <a:graphicFrameLocks noChangeAspect="1"/>
            </wp:cNvGraphicFramePr>
            <a:graphic>
              <a:graphicData uri="http://schemas.openxmlformats.org/drawingml/2006/picture">
                <pic:pic>
                  <pic:nvPicPr>
                    <pic:cNvPr id="0" name="EN-07-customer-details.png"/>
                    <pic:cNvPicPr/>
                  </pic:nvPicPr>
                  <pic:blipFill>
                    <a:blip r:embed="rId26"/>
                    <a:stretch>
                      <a:fillRect/>
                    </a:stretch>
                  </pic:blipFill>
                  <pic:spPr>
                    <a:xfrm>
                      <a:off x="0" y="0"/>
                      <a:ext cx="5715000" cy="3571875"/>
                    </a:xfrm>
                    <a:prstGeom prst="rect"/>
                  </pic:spPr>
                </pic:pic>
              </a:graphicData>
            </a:graphic>
          </wp:inline>
        </w:drawing>
      </w:r>
    </w:p>
    <w:p>
      <w:pPr>
        <w:jc w:val="center"/>
      </w:pPr>
      <w:r>
        <w:rPr>
          <w:rFonts w:ascii="Calibri" w:hAnsi="Calibri"/>
          <w:i/>
          <w:color w:val="5A646E"/>
          <w:sz w:val="18"/>
        </w:rPr>
        <w:t>Customer details</w:t>
      </w:r>
    </w:p>
    <w:p>
      <w:pPr>
        <w:jc w:val="center"/>
      </w:pPr>
      <w:r>
        <w:rPr>
          <w:rFonts w:ascii="Calibri" w:hAnsi="Calibri"/>
          <w:color w:val="5A646E"/>
          <w:sz w:val="17"/>
        </w:rPr>
        <w:t>① Navigation  ② Company/Branch and language context  ③ Current workspace</w:t>
      </w:r>
    </w:p>
    <w:p>
      <w:pPr>
        <w:pStyle w:val="ListNumber"/>
        <w:jc w:val="left"/>
      </w:pPr>
      <w:r>
        <w:rPr>
          <w:rFonts w:ascii="Calibri" w:hAnsi="Calibri"/>
          <w:sz w:val="22"/>
        </w:rPr>
        <w:t>Customers &amp; CRM -&gt; Add Customer.</w:t>
      </w:r>
    </w:p>
    <w:p>
      <w:pPr>
        <w:pStyle w:val="ListNumber"/>
        <w:jc w:val="left"/>
      </w:pPr>
      <w:r>
        <w:rPr>
          <w:rFonts w:ascii="Calibri" w:hAnsi="Calibri"/>
          <w:sz w:val="22"/>
        </w:rPr>
        <w:t>Complete the required fields shown, then save.</w:t>
      </w:r>
    </w:p>
    <w:p>
      <w:pPr>
        <w:pStyle w:val="ListNumber"/>
        <w:jc w:val="left"/>
      </w:pPr>
      <w:r>
        <w:rPr>
          <w:rFonts w:ascii="Calibri" w:hAnsi="Calibri"/>
          <w:sz w:val="22"/>
        </w:rPr>
        <w:t>Search by name or phone and open details when needed.</w:t>
      </w:r>
    </w:p>
    <w:p>
      <w:pPr>
        <w:pStyle w:val="ListNumber"/>
        <w:jc w:val="left"/>
      </w:pPr>
      <w:r>
        <w:rPr>
          <w:rFonts w:ascii="Calibri" w:hAnsi="Calibri"/>
          <w:sz w:val="22"/>
        </w:rPr>
        <w:t>In POS, search by phone and select the customer; POS does not silently create an unknown customer.</w:t>
      </w:r>
    </w:p>
    <w:tbl>
      <w:tblPr>
        <w:tblW w:type="auto" w:w="0"/>
        <w:jc w:val="center"/>
        <w:tblLook w:firstColumn="1" w:firstRow="1" w:lastColumn="0" w:lastRow="0" w:noHBand="0" w:noVBand="1" w:val="04A0"/>
      </w:tblPr>
      <w:tblGrid>
        <w:gridCol w:w="9648"/>
      </w:tblGrid>
      <w:tr>
        <w:tc>
          <w:tcPr>
            <w:tcW w:type="dxa" w:w="9648"/>
            <w:shd w:fill="F4F6F9"/>
            <w:tcMar>
              <w:top w:w="120" w:type="dxa"/>
              <w:start w:w="160" w:type="dxa"/>
              <w:bottom w:w="120" w:type="dxa"/>
              <w:end w:w="160" w:type="dxa"/>
            </w:tcMar>
          </w:tcPr>
          <w:p>
            <w:pPr>
              <w:jc w:val="left"/>
            </w:pPr>
            <w:r>
              <w:rPr>
                <w:rFonts w:ascii="Calibri" w:hAnsi="Calibri"/>
                <w:b/>
                <w:color w:val="0B2545"/>
                <w:sz w:val="21"/>
              </w:rPr>
              <w:t>Customer effect</w:t>
              <w:br/>
            </w:r>
            <w:r>
              <w:rPr>
                <w:rFonts w:ascii="Calibri" w:hAnsi="Calibri"/>
                <w:sz w:val="21"/>
              </w:rPr>
              <w:t>Creating or editing a customer does not create an invoice or payment. Sales or deposits may appear in the customer summary according to the workflow.</w:t>
            </w:r>
          </w:p>
        </w:tc>
      </w:tr>
    </w:tbl>
    <w:p/>
    <w:p>
      <w:pPr>
        <w:pStyle w:val="Heading1"/>
        <w:jc w:val="left"/>
      </w:pPr>
      <w:r>
        <w:rPr>
          <w:rFonts w:ascii="Calibri" w:hAnsi="Calibri"/>
          <w:b/>
          <w:color w:val="1F4E79"/>
          <w:sz w:val="32"/>
        </w:rPr>
        <w:t>Point of Sale</w:t>
      </w:r>
    </w:p>
    <w:p>
      <w:pPr>
        <w:jc w:val="center"/>
      </w:pPr>
      <w:r>
        <w:drawing>
          <wp:inline xmlns:a="http://schemas.openxmlformats.org/drawingml/2006/main" xmlns:pic="http://schemas.openxmlformats.org/drawingml/2006/picture">
            <wp:extent cx="5715000" cy="3216934"/>
            <wp:docPr id="17" name="Picture 17"/>
            <wp:cNvGraphicFramePr>
              <a:graphicFrameLocks noChangeAspect="1"/>
            </wp:cNvGraphicFramePr>
            <a:graphic>
              <a:graphicData uri="http://schemas.openxmlformats.org/drawingml/2006/picture">
                <pic:pic>
                  <pic:nvPicPr>
                    <pic:cNvPr id="0" name="EN-04-pos-cart-journal-preview.png"/>
                    <pic:cNvPicPr/>
                  </pic:nvPicPr>
                  <pic:blipFill>
                    <a:blip r:embed="rId27"/>
                    <a:stretch>
                      <a:fillRect/>
                    </a:stretch>
                  </pic:blipFill>
                  <pic:spPr>
                    <a:xfrm>
                      <a:off x="0" y="0"/>
                      <a:ext cx="5715000" cy="3216934"/>
                    </a:xfrm>
                    <a:prstGeom prst="rect"/>
                  </pic:spPr>
                </pic:pic>
              </a:graphicData>
            </a:graphic>
          </wp:inline>
        </w:drawing>
      </w:r>
    </w:p>
    <w:p>
      <w:pPr>
        <w:jc w:val="center"/>
      </w:pPr>
      <w:r>
        <w:rPr>
          <w:rFonts w:ascii="Calibri" w:hAnsi="Calibri"/>
          <w:i/>
          <w:color w:val="5A646E"/>
          <w:sz w:val="18"/>
        </w:rPr>
        <w:t>Cart and totals before completion</w:t>
      </w:r>
    </w:p>
    <w:p>
      <w:pPr>
        <w:jc w:val="center"/>
      </w:pPr>
      <w:r>
        <w:rPr>
          <w:rFonts w:ascii="Calibri" w:hAnsi="Calibri"/>
          <w:color w:val="5A646E"/>
          <w:sz w:val="17"/>
        </w:rPr>
        <w:t>① Navigation  ② Company/Branch and language context  ③ Current workspace</w:t>
      </w:r>
    </w:p>
    <w:p>
      <w:pPr>
        <w:pStyle w:val="Heading2"/>
        <w:jc w:val="left"/>
      </w:pPr>
      <w:r>
        <w:rPr>
          <w:rFonts w:ascii="Calibri" w:hAnsi="Calibri"/>
          <w:b/>
          <w:color w:val="1F4E79"/>
          <w:sz w:val="26"/>
        </w:rPr>
        <w:t>Making a sale</w:t>
      </w:r>
    </w:p>
    <w:p>
      <w:pPr>
        <w:pStyle w:val="ListNumber"/>
        <w:jc w:val="left"/>
      </w:pPr>
      <w:r>
        <w:rPr>
          <w:rFonts w:ascii="Calibri" w:hAnsi="Calibri"/>
          <w:sz w:val="22"/>
        </w:rPr>
        <w:t>Confirm the branch and customer shown.</w:t>
      </w:r>
    </w:p>
    <w:p>
      <w:pPr>
        <w:pStyle w:val="ListNumber"/>
        <w:jc w:val="left"/>
      </w:pPr>
      <w:r>
        <w:rPr>
          <w:rFonts w:ascii="Calibri" w:hAnsi="Calibri"/>
          <w:sz w:val="22"/>
        </w:rPr>
        <w:t>Search by Barcode or supported item identifier, then select an available Asset.</w:t>
      </w:r>
    </w:p>
    <w:p>
      <w:pPr>
        <w:pStyle w:val="ListNumber"/>
        <w:jc w:val="left"/>
      </w:pPr>
      <w:r>
        <w:rPr>
          <w:rFonts w:ascii="Calibri" w:hAnsi="Calibri"/>
          <w:sz w:val="22"/>
        </w:rPr>
        <w:t>Review the cart, price, availability, VAT, and total.</w:t>
      </w:r>
    </w:p>
    <w:p>
      <w:pPr>
        <w:pStyle w:val="ListNumber"/>
        <w:jc w:val="left"/>
      </w:pPr>
      <w:r>
        <w:rPr>
          <w:rFonts w:ascii="Calibri" w:hAnsi="Calibri"/>
          <w:sz w:val="22"/>
        </w:rPr>
        <w:t>Review Journal Preview when it is shown.</w:t>
      </w:r>
    </w:p>
    <w:p>
      <w:pPr>
        <w:pStyle w:val="ListNumber"/>
        <w:jc w:val="left"/>
      </w:pPr>
      <w:r>
        <w:rPr>
          <w:rFonts w:ascii="Calibri" w:hAnsi="Calibri"/>
          <w:sz w:val="22"/>
        </w:rPr>
        <w:t>Choose a displayed payment method, open confirmation, and complete Checkout once.</w:t>
      </w:r>
    </w:p>
    <w:p>
      <w:pPr>
        <w:pStyle w:val="ListNumber"/>
        <w:jc w:val="left"/>
      </w:pPr>
      <w:r>
        <w:rPr>
          <w:rFonts w:ascii="Calibri" w:hAnsi="Calibri"/>
          <w:sz w:val="22"/>
        </w:rPr>
        <w:t>Open or print the receipt after success.</w:t>
      </w:r>
    </w:p>
    <w:p>
      <w:pPr>
        <w:pStyle w:val="Heading2"/>
        <w:jc w:val="left"/>
      </w:pPr>
      <w:r>
        <w:rPr>
          <w:rFonts w:ascii="Calibri" w:hAnsi="Calibri"/>
          <w:b/>
          <w:color w:val="1F4E79"/>
          <w:sz w:val="26"/>
        </w:rPr>
        <w:t>Journal Preview</w:t>
      </w:r>
    </w:p>
    <w:p>
      <w:pPr>
        <w:jc w:val="center"/>
      </w:pPr>
      <w:r>
        <w:drawing>
          <wp:inline xmlns:a="http://schemas.openxmlformats.org/drawingml/2006/main" xmlns:pic="http://schemas.openxmlformats.org/drawingml/2006/picture">
            <wp:extent cx="5715000" cy="3216934"/>
            <wp:docPr id="18" name="Picture 18"/>
            <wp:cNvGraphicFramePr>
              <a:graphicFrameLocks noChangeAspect="1"/>
            </wp:cNvGraphicFramePr>
            <a:graphic>
              <a:graphicData uri="http://schemas.openxmlformats.org/drawingml/2006/picture">
                <pic:pic>
                  <pic:nvPicPr>
                    <pic:cNvPr id="0" name="EN-04-pos-journal-details.png"/>
                    <pic:cNvPicPr/>
                  </pic:nvPicPr>
                  <pic:blipFill>
                    <a:blip r:embed="rId28"/>
                    <a:stretch>
                      <a:fillRect/>
                    </a:stretch>
                  </pic:blipFill>
                  <pic:spPr>
                    <a:xfrm>
                      <a:off x="0" y="0"/>
                      <a:ext cx="5715000" cy="3216934"/>
                    </a:xfrm>
                    <a:prstGeom prst="rect"/>
                  </pic:spPr>
                </pic:pic>
              </a:graphicData>
            </a:graphic>
          </wp:inline>
        </w:drawing>
      </w:r>
    </w:p>
    <w:p>
      <w:pPr>
        <w:jc w:val="center"/>
      </w:pPr>
      <w:r>
        <w:rPr>
          <w:rFonts w:ascii="Calibri" w:hAnsi="Calibri"/>
          <w:i/>
          <w:color w:val="5A646E"/>
          <w:sz w:val="18"/>
        </w:rPr>
        <w:t>Financial preview details</w:t>
      </w:r>
    </w:p>
    <w:p>
      <w:pPr>
        <w:jc w:val="center"/>
      </w:pPr>
      <w:r>
        <w:rPr>
          <w:rFonts w:ascii="Calibri" w:hAnsi="Calibri"/>
          <w:color w:val="5A646E"/>
          <w:sz w:val="17"/>
        </w:rPr>
        <w:t>① Navigation  ② Company/Branch and language context  ③ Current workspace</w:t>
      </w:r>
    </w:p>
    <w:p>
      <w:pPr>
        <w:jc w:val="left"/>
      </w:pPr>
      <w:r>
        <w:rPr>
          <w:rFonts w:ascii="Calibri" w:hAnsi="Calibri"/>
          <w:sz w:val="22"/>
        </w:rPr>
        <w:t>Journal Preview shows the expected financial effect before completion. The example shows cash, revenue, VAT, cost of goods sold, and inventory; a balanced preview means the preview balances, not that the sale is complete.</w:t>
      </w:r>
    </w:p>
    <w:tbl>
      <w:tblPr>
        <w:tblW w:type="auto" w:w="0"/>
        <w:jc w:val="center"/>
        <w:tblLook w:firstColumn="1" w:firstRow="1" w:lastColumn="0" w:lastRow="0" w:noHBand="0" w:noVBand="1" w:val="04A0"/>
      </w:tblPr>
      <w:tblGrid>
        <w:gridCol w:w="9648"/>
      </w:tblGrid>
      <w:tr>
        <w:tc>
          <w:tcPr>
            <w:tcW w:type="dxa" w:w="9648"/>
            <w:shd w:fill="FFF6DD"/>
            <w:tcMar>
              <w:top w:w="120" w:type="dxa"/>
              <w:start w:w="160" w:type="dxa"/>
              <w:bottom w:w="120" w:type="dxa"/>
              <w:end w:w="160" w:type="dxa"/>
            </w:tcMar>
          </w:tcPr>
          <w:p>
            <w:pPr>
              <w:jc w:val="left"/>
            </w:pPr>
            <w:r>
              <w:rPr>
                <w:rFonts w:ascii="Calibri" w:hAnsi="Calibri"/>
                <w:b/>
                <w:color w:val="AB7515"/>
                <w:sz w:val="21"/>
              </w:rPr>
              <w:t>What happens after Checkout</w:t>
              <w:br/>
            </w:r>
            <w:r>
              <w:rPr>
                <w:rFonts w:ascii="Calibri" w:hAnsi="Calibri"/>
                <w:sz w:val="21"/>
              </w:rPr>
              <w:t>The sale document and receipt are created, payment is recorded, cash or the relevant account is affected, the journal is posted, and the Asset becomes Sold while its Barcode remains linked to the same Asset.</w:t>
            </w:r>
          </w:p>
        </w:tc>
      </w:tr>
    </w:tbl>
    <w:p/>
    <w:tbl>
      <w:tblPr>
        <w:tblW w:type="auto" w:w="0"/>
        <w:jc w:val="center"/>
        <w:tblLook w:firstColumn="1" w:firstRow="1" w:lastColumn="0" w:lastRow="0" w:noHBand="0" w:noVBand="1" w:val="04A0"/>
      </w:tblPr>
      <w:tblGrid>
        <w:gridCol w:w="9648"/>
      </w:tblGrid>
      <w:tr>
        <w:tc>
          <w:tcPr>
            <w:tcW w:type="dxa" w:w="9648"/>
            <w:shd w:fill="FDECEC"/>
            <w:tcMar>
              <w:top w:w="120" w:type="dxa"/>
              <w:start w:w="160" w:type="dxa"/>
              <w:bottom w:w="120" w:type="dxa"/>
              <w:end w:w="160" w:type="dxa"/>
            </w:tcMar>
          </w:tcPr>
          <w:p>
            <w:pPr>
              <w:jc w:val="left"/>
            </w:pPr>
            <w:r>
              <w:rPr>
                <w:rFonts w:ascii="Calibri" w:hAnsi="Calibri"/>
                <w:b/>
                <w:color w:val="0B2545"/>
                <w:sz w:val="21"/>
              </w:rPr>
              <w:t>Uncertain result</w:t>
              <w:br/>
            </w:r>
            <w:r>
              <w:rPr>
                <w:rFonts w:ascii="Calibri" w:hAnsi="Calibri"/>
                <w:sz w:val="21"/>
              </w:rPr>
              <w:t>If an error or uncertain result appears, do not repeat Checkout or payment blindly; ask a supervisor to verify the invoice and payment.</w:t>
            </w:r>
          </w:p>
        </w:tc>
      </w:tr>
    </w:tbl>
    <w:p/>
    <w:p>
      <w:pPr>
        <w:pStyle w:val="Heading1"/>
        <w:jc w:val="left"/>
      </w:pPr>
      <w:r>
        <w:rPr>
          <w:rFonts w:ascii="Calibri" w:hAnsi="Calibri"/>
          <w:b/>
          <w:color w:val="1F4E79"/>
          <w:sz w:val="32"/>
        </w:rPr>
        <w:t>Invoices, returns, and reservations</w:t>
      </w:r>
    </w:p>
    <w:p>
      <w:pPr>
        <w:jc w:val="center"/>
      </w:pPr>
      <w:r>
        <w:drawing>
          <wp:inline xmlns:a="http://schemas.openxmlformats.org/drawingml/2006/main" xmlns:pic="http://schemas.openxmlformats.org/drawingml/2006/picture">
            <wp:extent cx="5715000" cy="3571875"/>
            <wp:docPr id="19" name="Picture 19"/>
            <wp:cNvGraphicFramePr>
              <a:graphicFrameLocks noChangeAspect="1"/>
            </wp:cNvGraphicFramePr>
            <a:graphic>
              <a:graphicData uri="http://schemas.openxmlformats.org/drawingml/2006/picture">
                <pic:pic>
                  <pic:nvPicPr>
                    <pic:cNvPr id="0" name="EN-07-invoice-details.png"/>
                    <pic:cNvPicPr/>
                  </pic:nvPicPr>
                  <pic:blipFill>
                    <a:blip r:embed="rId29"/>
                    <a:stretch>
                      <a:fillRect/>
                    </a:stretch>
                  </pic:blipFill>
                  <pic:spPr>
                    <a:xfrm>
                      <a:off x="0" y="0"/>
                      <a:ext cx="5715000" cy="3571875"/>
                    </a:xfrm>
                    <a:prstGeom prst="rect"/>
                  </pic:spPr>
                </pic:pic>
              </a:graphicData>
            </a:graphic>
          </wp:inline>
        </w:drawing>
      </w:r>
    </w:p>
    <w:p>
      <w:pPr>
        <w:jc w:val="center"/>
      </w:pPr>
      <w:r>
        <w:rPr>
          <w:rFonts w:ascii="Calibri" w:hAnsi="Calibri"/>
          <w:i/>
          <w:color w:val="5A646E"/>
          <w:sz w:val="18"/>
        </w:rPr>
        <w:t>Existing invoice details</w:t>
      </w:r>
    </w:p>
    <w:p>
      <w:pPr>
        <w:jc w:val="center"/>
      </w:pPr>
      <w:r>
        <w:rPr>
          <w:rFonts w:ascii="Calibri" w:hAnsi="Calibri"/>
          <w:color w:val="5A646E"/>
          <w:sz w:val="17"/>
        </w:rPr>
        <w:t>① Navigation  ② Company/Branch and language context  ③ Current workspace</w:t>
      </w:r>
    </w:p>
    <w:p>
      <w:pPr>
        <w:pStyle w:val="Heading2"/>
        <w:jc w:val="left"/>
      </w:pPr>
      <w:r>
        <w:rPr>
          <w:rFonts w:ascii="Calibri" w:hAnsi="Calibri"/>
          <w:b/>
          <w:color w:val="1F4E79"/>
          <w:sz w:val="26"/>
        </w:rPr>
        <w:t>Invoices and print</w:t>
      </w:r>
    </w:p>
    <w:p>
      <w:pPr>
        <w:pStyle w:val="ListNumber"/>
        <w:jc w:val="left"/>
      </w:pPr>
      <w:r>
        <w:rPr>
          <w:rFonts w:ascii="Calibri" w:hAnsi="Calibri"/>
          <w:sz w:val="22"/>
        </w:rPr>
        <w:t>Invoices &amp; sales -&gt; Invoices Search &amp; Print.</w:t>
      </w:r>
    </w:p>
    <w:p>
      <w:pPr>
        <w:pStyle w:val="ListNumber"/>
        <w:jc w:val="left"/>
      </w:pPr>
      <w:r>
        <w:rPr>
          <w:rFonts w:ascii="Calibri" w:hAnsi="Calibri"/>
          <w:sz w:val="22"/>
        </w:rPr>
        <w:t>Search by invoice, customer, or payment method.</w:t>
      </w:r>
    </w:p>
    <w:p>
      <w:pPr>
        <w:pStyle w:val="ListNumber"/>
        <w:jc w:val="left"/>
      </w:pPr>
      <w:r>
        <w:rPr>
          <w:rFonts w:ascii="Calibri" w:hAnsi="Calibri"/>
          <w:sz w:val="22"/>
        </w:rPr>
        <w:t>Open View to review customer, item, VAT, total, and payment status.</w:t>
      </w:r>
    </w:p>
    <w:p>
      <w:pPr>
        <w:pStyle w:val="ListNumber"/>
        <w:jc w:val="left"/>
      </w:pPr>
      <w:r>
        <w:rPr>
          <w:rFonts w:ascii="Calibri" w:hAnsi="Calibri"/>
          <w:sz w:val="22"/>
        </w:rPr>
        <w:t>Use Print invoice when the button is shown.</w:t>
      </w:r>
    </w:p>
    <w:p>
      <w:pPr>
        <w:jc w:val="left"/>
      </w:pPr>
      <w:r>
        <w:rPr>
          <w:rFonts w:ascii="Calibri" w:hAnsi="Calibri"/>
          <w:sz w:val="22"/>
        </w:rPr>
        <w:t>Customer information in an invoice represents the sale-time snapshot and may differ later from the current customer profile.</w:t>
      </w:r>
    </w:p>
    <w:p>
      <w:pPr>
        <w:pStyle w:val="Heading2"/>
        <w:jc w:val="left"/>
      </w:pPr>
      <w:r>
        <w:rPr>
          <w:rFonts w:ascii="Calibri" w:hAnsi="Calibri"/>
          <w:b/>
          <w:color w:val="1F4E79"/>
          <w:sz w:val="26"/>
        </w:rPr>
        <w:t>Returns and exchanges</w:t>
      </w:r>
    </w:p>
    <w:p>
      <w:pPr>
        <w:jc w:val="left"/>
      </w:pPr>
      <w:r>
        <w:rPr>
          <w:rFonts w:ascii="Calibri" w:hAnsi="Calibri"/>
          <w:sz w:val="22"/>
        </w:rPr>
        <w:t>Start from Returns or Exchanges, locate the original invoice, and follow the validations and state allowed by the screen. Do not imitate the workflow by editing status manually.</w:t>
      </w:r>
    </w:p>
    <w:p>
      <w:pPr>
        <w:pStyle w:val="Heading2"/>
        <w:jc w:val="left"/>
      </w:pPr>
      <w:r>
        <w:rPr>
          <w:rFonts w:ascii="Calibri" w:hAnsi="Calibri"/>
          <w:b/>
          <w:color w:val="1F4E79"/>
          <w:sz w:val="26"/>
        </w:rPr>
        <w:t>Reservations and deposits</w:t>
      </w:r>
    </w:p>
    <w:p>
      <w:pPr>
        <w:pStyle w:val="ListNumber"/>
        <w:jc w:val="left"/>
      </w:pPr>
      <w:r>
        <w:rPr>
          <w:rFonts w:ascii="Calibri" w:hAnsi="Calibri"/>
          <w:sz w:val="22"/>
        </w:rPr>
        <w:t>Sales -&gt; Reservations -&gt; choose the customer and Asset.</w:t>
      </w:r>
    </w:p>
    <w:p>
      <w:pPr>
        <w:pStyle w:val="ListNumber"/>
        <w:jc w:val="left"/>
      </w:pPr>
      <w:r>
        <w:rPr>
          <w:rFonts w:ascii="Calibri" w:hAnsi="Calibri"/>
          <w:sz w:val="22"/>
        </w:rPr>
        <w:t>Record a deposit only when the button is shown and the permission is available.</w:t>
      </w:r>
    </w:p>
    <w:p>
      <w:pPr>
        <w:pStyle w:val="ListNumber"/>
        <w:jc w:val="left"/>
      </w:pPr>
      <w:r>
        <w:rPr>
          <w:rFonts w:ascii="Calibri" w:hAnsi="Calibri"/>
          <w:sz w:val="22"/>
        </w:rPr>
        <w:t>Follow deposit, refund, or complete sale from the same reservation record.</w:t>
      </w:r>
    </w:p>
    <w:tbl>
      <w:tblPr>
        <w:tblW w:type="auto" w:w="0"/>
        <w:jc w:val="center"/>
        <w:tblLook w:firstColumn="1" w:firstRow="1" w:lastColumn="0" w:lastRow="0" w:noHBand="0" w:noVBand="1" w:val="04A0"/>
      </w:tblPr>
      <w:tblGrid>
        <w:gridCol w:w="9648"/>
      </w:tblGrid>
      <w:tr>
        <w:tc>
          <w:tcPr>
            <w:tcW w:type="dxa" w:w="9648"/>
            <w:shd w:fill="F4F6F9"/>
            <w:tcMar>
              <w:top w:w="120" w:type="dxa"/>
              <w:start w:w="160" w:type="dxa"/>
              <w:bottom w:w="120" w:type="dxa"/>
              <w:end w:w="160" w:type="dxa"/>
            </w:tcMar>
          </w:tcPr>
          <w:p>
            <w:pPr>
              <w:jc w:val="left"/>
            </w:pPr>
            <w:r>
              <w:rPr>
                <w:rFonts w:ascii="Calibri" w:hAnsi="Calibri"/>
                <w:b/>
                <w:color w:val="0B2545"/>
                <w:sz w:val="21"/>
              </w:rPr>
              <w:t>Deposit effect</w:t>
              <w:br/>
            </w:r>
            <w:r>
              <w:rPr>
                <w:rFonts w:ascii="Calibri" w:hAnsi="Calibri"/>
                <w:sz w:val="21"/>
              </w:rPr>
              <w:t>A deposit remains a customer advance until refund or completion and affects Treasury and Accounting according to the action.</w:t>
            </w:r>
          </w:p>
        </w:tc>
      </w:tr>
    </w:tbl>
    <w:p/>
    <w:p>
      <w:pPr>
        <w:pStyle w:val="Heading1"/>
        <w:jc w:val="left"/>
      </w:pPr>
      <w:r>
        <w:rPr>
          <w:rFonts w:ascii="Calibri" w:hAnsi="Calibri"/>
          <w:b/>
          <w:color w:val="1F4E79"/>
          <w:sz w:val="32"/>
        </w:rPr>
        <w:t>Gold Center and Customer Gold Purchase</w:t>
      </w:r>
    </w:p>
    <w:p>
      <w:pPr>
        <w:jc w:val="center"/>
      </w:pPr>
      <w:r>
        <w:drawing>
          <wp:inline xmlns:a="http://schemas.openxmlformats.org/drawingml/2006/main" xmlns:pic="http://schemas.openxmlformats.org/drawingml/2006/picture">
            <wp:extent cx="5715000" cy="3216934"/>
            <wp:docPr id="20" name="Picture 20"/>
            <wp:cNvGraphicFramePr>
              <a:graphicFrameLocks noChangeAspect="1"/>
            </wp:cNvGraphicFramePr>
            <a:graphic>
              <a:graphicData uri="http://schemas.openxmlformats.org/drawingml/2006/picture">
                <pic:pic>
                  <pic:nvPicPr>
                    <pic:cNvPr id="0" name="EN-01-gold-center.png"/>
                    <pic:cNvPicPr/>
                  </pic:nvPicPr>
                  <pic:blipFill>
                    <a:blip r:embed="rId30"/>
                    <a:stretch>
                      <a:fillRect/>
                    </a:stretch>
                  </pic:blipFill>
                  <pic:spPr>
                    <a:xfrm>
                      <a:off x="0" y="0"/>
                      <a:ext cx="5715000" cy="3216934"/>
                    </a:xfrm>
                    <a:prstGeom prst="rect"/>
                  </pic:spPr>
                </pic:pic>
              </a:graphicData>
            </a:graphic>
          </wp:inline>
        </w:drawing>
      </w:r>
    </w:p>
    <w:p>
      <w:pPr>
        <w:jc w:val="center"/>
      </w:pPr>
      <w:r>
        <w:rPr>
          <w:rFonts w:ascii="Calibri" w:hAnsi="Calibri"/>
          <w:i/>
          <w:color w:val="5A646E"/>
          <w:sz w:val="18"/>
        </w:rPr>
        <w:t>Price status and update state</w:t>
      </w:r>
    </w:p>
    <w:p>
      <w:pPr>
        <w:jc w:val="center"/>
      </w:pPr>
      <w:r>
        <w:rPr>
          <w:rFonts w:ascii="Calibri" w:hAnsi="Calibri"/>
          <w:color w:val="5A646E"/>
          <w:sz w:val="17"/>
        </w:rPr>
        <w:t>① Navigation  ② Company/Branch and language context  ③ Current workspace</w:t>
      </w:r>
    </w:p>
    <w:p>
      <w:pPr>
        <w:pStyle w:val="Heading2"/>
        <w:jc w:val="left"/>
      </w:pPr>
      <w:r>
        <w:rPr>
          <w:rFonts w:ascii="Calibri" w:hAnsi="Calibri"/>
          <w:b/>
          <w:color w:val="1F4E79"/>
          <w:sz w:val="26"/>
        </w:rPr>
        <w:t>Gold Center</w:t>
      </w:r>
    </w:p>
    <w:p>
      <w:pPr>
        <w:jc w:val="left"/>
      </w:pPr>
      <w:r>
        <w:rPr>
          <w:rFonts w:ascii="Calibri" w:hAnsi="Calibri"/>
          <w:sz w:val="22"/>
        </w:rPr>
        <w:t>Gold Center shows current reference prices, karats, and freshness state. Supported pricing workflows use this reference; do not bypass a stale or unavailable state.</w:t>
      </w:r>
    </w:p>
    <w:p>
      <w:pPr>
        <w:pStyle w:val="Heading2"/>
        <w:jc w:val="left"/>
      </w:pPr>
      <w:r>
        <w:rPr>
          <w:rFonts w:ascii="Calibri" w:hAnsi="Calibri"/>
          <w:b/>
          <w:color w:val="1F4E79"/>
          <w:sz w:val="26"/>
        </w:rPr>
        <w:t>Customer Gold Purchase</w:t>
      </w:r>
    </w:p>
    <w:p>
      <w:pPr>
        <w:jc w:val="center"/>
      </w:pPr>
      <w:r>
        <w:drawing>
          <wp:inline xmlns:a="http://schemas.openxmlformats.org/drawingml/2006/main" xmlns:pic="http://schemas.openxmlformats.org/drawingml/2006/picture">
            <wp:extent cx="5715000" cy="3216934"/>
            <wp:docPr id="21" name="Picture 21"/>
            <wp:cNvGraphicFramePr>
              <a:graphicFrameLocks noChangeAspect="1"/>
            </wp:cNvGraphicFramePr>
            <a:graphic>
              <a:graphicData uri="http://schemas.openxmlformats.org/drawingml/2006/picture">
                <pic:pic>
                  <pic:nvPicPr>
                    <pic:cNvPr id="0" name="EN-01-sales-customer-gold-drafts.png"/>
                    <pic:cNvPicPr/>
                  </pic:nvPicPr>
                  <pic:blipFill>
                    <a:blip r:embed="rId31"/>
                    <a:stretch>
                      <a:fillRect/>
                    </a:stretch>
                  </pic:blipFill>
                  <pic:spPr>
                    <a:xfrm>
                      <a:off x="0" y="0"/>
                      <a:ext cx="5715000" cy="3216934"/>
                    </a:xfrm>
                    <a:prstGeom prst="rect"/>
                  </pic:spPr>
                </pic:pic>
              </a:graphicData>
            </a:graphic>
          </wp:inline>
        </w:drawing>
      </w:r>
    </w:p>
    <w:p>
      <w:pPr>
        <w:jc w:val="center"/>
      </w:pPr>
      <w:r>
        <w:rPr>
          <w:rFonts w:ascii="Calibri" w:hAnsi="Calibri"/>
          <w:i/>
          <w:color w:val="5A646E"/>
          <w:sz w:val="18"/>
        </w:rPr>
        <w:t>Customer Gold Purchase drafts</w:t>
      </w:r>
    </w:p>
    <w:p>
      <w:pPr>
        <w:jc w:val="center"/>
      </w:pPr>
      <w:r>
        <w:rPr>
          <w:rFonts w:ascii="Calibri" w:hAnsi="Calibri"/>
          <w:color w:val="5A646E"/>
          <w:sz w:val="17"/>
        </w:rPr>
        <w:t>① Navigation  ② Company/Branch and language context  ③ Current workspace</w:t>
      </w:r>
    </w:p>
    <w:p>
      <w:pPr>
        <w:pStyle w:val="ListNumber"/>
        <w:jc w:val="left"/>
      </w:pPr>
      <w:r>
        <w:rPr>
          <w:rFonts w:ascii="Calibri" w:hAnsi="Calibri"/>
          <w:sz w:val="22"/>
        </w:rPr>
        <w:t>Open Customer Gold Purchase and create a draft when the button is shown.</w:t>
      </w:r>
    </w:p>
    <w:p>
      <w:pPr>
        <w:pStyle w:val="ListNumber"/>
        <w:jc w:val="left"/>
      </w:pPr>
      <w:r>
        <w:rPr>
          <w:rFonts w:ascii="Calibri" w:hAnsi="Calibri"/>
          <w:sz w:val="22"/>
        </w:rPr>
        <w:t>Enter customer and gold details, then review validation, price, and snapshot.</w:t>
      </w:r>
    </w:p>
    <w:p>
      <w:pPr>
        <w:pStyle w:val="ListNumber"/>
        <w:jc w:val="left"/>
      </w:pPr>
      <w:r>
        <w:rPr>
          <w:rFonts w:ascii="Calibri" w:hAnsi="Calibri"/>
          <w:sz w:val="22"/>
        </w:rPr>
        <w:t>Post only after validation, then review Settlement when available.</w:t>
      </w:r>
    </w:p>
    <w:tbl>
      <w:tblPr>
        <w:tblW w:type="auto" w:w="0"/>
        <w:jc w:val="center"/>
        <w:tblLook w:firstColumn="1" w:firstRow="1" w:lastColumn="0" w:lastRow="0" w:noHBand="0" w:noVBand="1" w:val="04A0"/>
      </w:tblPr>
      <w:tblGrid>
        <w:gridCol w:w="9648"/>
      </w:tblGrid>
      <w:tr>
        <w:tc>
          <w:tcPr>
            <w:tcW w:type="dxa" w:w="9648"/>
            <w:shd w:fill="FFF6DD"/>
            <w:tcMar>
              <w:top w:w="120" w:type="dxa"/>
              <w:start w:w="160" w:type="dxa"/>
              <w:bottom w:w="120" w:type="dxa"/>
              <w:end w:w="160" w:type="dxa"/>
            </w:tcMar>
          </w:tcPr>
          <w:p>
            <w:pPr>
              <w:jc w:val="left"/>
            </w:pPr>
            <w:r>
              <w:rPr>
                <w:rFonts w:ascii="Calibri" w:hAnsi="Calibri"/>
                <w:b/>
                <w:color w:val="AB7515"/>
                <w:sz w:val="21"/>
              </w:rPr>
              <w:t>Not a supplier receive</w:t>
              <w:br/>
            </w:r>
            <w:r>
              <w:rPr>
                <w:rFonts w:ascii="Calibri" w:hAnsi="Calibri"/>
                <w:sz w:val="21"/>
              </w:rPr>
              <w:t>Customer Gold Purchase is separate from supplier stock receiving. Do not mix the two documents.</w:t>
            </w:r>
          </w:p>
        </w:tc>
      </w:tr>
    </w:tbl>
    <w:p/>
    <w:p>
      <w:pPr>
        <w:pStyle w:val="Heading1"/>
        <w:jc w:val="left"/>
      </w:pPr>
      <w:r>
        <w:rPr>
          <w:rFonts w:ascii="Calibri" w:hAnsi="Calibri"/>
          <w:b/>
          <w:color w:val="1F4E79"/>
          <w:sz w:val="32"/>
        </w:rPr>
        <w:t>Accounting, Treasury, and Reports</w:t>
      </w:r>
    </w:p>
    <w:p>
      <w:pPr>
        <w:jc w:val="center"/>
      </w:pPr>
      <w:r>
        <w:drawing>
          <wp:inline xmlns:a="http://schemas.openxmlformats.org/drawingml/2006/main" xmlns:pic="http://schemas.openxmlformats.org/drawingml/2006/picture">
            <wp:extent cx="5715000" cy="3216934"/>
            <wp:docPr id="22" name="Picture 22"/>
            <wp:cNvGraphicFramePr>
              <a:graphicFrameLocks noChangeAspect="1"/>
            </wp:cNvGraphicFramePr>
            <a:graphic>
              <a:graphicData uri="http://schemas.openxmlformats.org/drawingml/2006/picture">
                <pic:pic>
                  <pic:nvPicPr>
                    <pic:cNvPr id="0" name="EN-01-accounting.png"/>
                    <pic:cNvPicPr/>
                  </pic:nvPicPr>
                  <pic:blipFill>
                    <a:blip r:embed="rId32"/>
                    <a:stretch>
                      <a:fillRect/>
                    </a:stretch>
                  </pic:blipFill>
                  <pic:spPr>
                    <a:xfrm>
                      <a:off x="0" y="0"/>
                      <a:ext cx="5715000" cy="3216934"/>
                    </a:xfrm>
                    <a:prstGeom prst="rect"/>
                  </pic:spPr>
                </pic:pic>
              </a:graphicData>
            </a:graphic>
          </wp:inline>
        </w:drawing>
      </w:r>
    </w:p>
    <w:p>
      <w:pPr>
        <w:jc w:val="center"/>
      </w:pPr>
      <w:r>
        <w:rPr>
          <w:rFonts w:ascii="Calibri" w:hAnsi="Calibri"/>
          <w:i/>
          <w:color w:val="5A646E"/>
          <w:sz w:val="18"/>
        </w:rPr>
        <w:t>Accounting screen</w:t>
      </w:r>
    </w:p>
    <w:p>
      <w:pPr>
        <w:jc w:val="center"/>
      </w:pPr>
      <w:r>
        <w:rPr>
          <w:rFonts w:ascii="Calibri" w:hAnsi="Calibri"/>
          <w:color w:val="5A646E"/>
          <w:sz w:val="17"/>
        </w:rPr>
        <w:t>① Navigation  ② Company/Branch and language context  ③ Current workspace</w:t>
      </w:r>
    </w:p>
    <w:p>
      <w:pPr>
        <w:pStyle w:val="ListBullet"/>
        <w:jc w:val="left"/>
      </w:pPr>
      <w:r>
        <w:rPr>
          <w:rFonts w:ascii="Calibri" w:hAnsi="Calibri"/>
          <w:sz w:val="22"/>
        </w:rPr>
        <w:t>Accounting: review journals, source, date, debit, credit, and status.</w:t>
      </w:r>
    </w:p>
    <w:p>
      <w:pPr>
        <w:pStyle w:val="ListBullet"/>
        <w:jc w:val="left"/>
      </w:pPr>
      <w:r>
        <w:rPr>
          <w:rFonts w:ascii="Calibri" w:hAnsi="Calibri"/>
          <w:sz w:val="22"/>
        </w:rPr>
        <w:t>Chart of Accounts: review accounts and branch mappings when permitted.</w:t>
      </w:r>
    </w:p>
    <w:p>
      <w:pPr>
        <w:pStyle w:val="ListBullet"/>
        <w:jc w:val="left"/>
      </w:pPr>
      <w:r>
        <w:rPr>
          <w:rFonts w:ascii="Calibri" w:hAnsi="Calibri"/>
          <w:sz w:val="22"/>
        </w:rPr>
        <w:t>Statements and Reports: use date and branch filters; do not treat an empty screen as a final zero before checking filters.</w:t>
      </w:r>
    </w:p>
    <w:p>
      <w:pPr>
        <w:pStyle w:val="ListBullet"/>
        <w:jc w:val="left"/>
      </w:pPr>
      <w:r>
        <w:rPr>
          <w:rFonts w:ascii="Calibri" w:hAnsi="Calibri"/>
          <w:sz w:val="22"/>
        </w:rPr>
        <w:t>Treasury: review cash session, movements, and payment results shown to your account.</w:t>
      </w:r>
    </w:p>
    <w:p>
      <w:pPr>
        <w:jc w:val="center"/>
      </w:pPr>
      <w:r>
        <w:drawing>
          <wp:inline xmlns:a="http://schemas.openxmlformats.org/drawingml/2006/main" xmlns:pic="http://schemas.openxmlformats.org/drawingml/2006/picture">
            <wp:extent cx="5715000" cy="3216934"/>
            <wp:docPr id="23" name="Picture 23"/>
            <wp:cNvGraphicFramePr>
              <a:graphicFrameLocks noChangeAspect="1"/>
            </wp:cNvGraphicFramePr>
            <a:graphic>
              <a:graphicData uri="http://schemas.openxmlformats.org/drawingml/2006/picture">
                <pic:pic>
                  <pic:nvPicPr>
                    <pic:cNvPr id="0" name="EN-01-accounting-treasury.png"/>
                    <pic:cNvPicPr/>
                  </pic:nvPicPr>
                  <pic:blipFill>
                    <a:blip r:embed="rId33"/>
                    <a:stretch>
                      <a:fillRect/>
                    </a:stretch>
                  </pic:blipFill>
                  <pic:spPr>
                    <a:xfrm>
                      <a:off x="0" y="0"/>
                      <a:ext cx="5715000" cy="3216934"/>
                    </a:xfrm>
                    <a:prstGeom prst="rect"/>
                  </pic:spPr>
                </pic:pic>
              </a:graphicData>
            </a:graphic>
          </wp:inline>
        </w:drawing>
      </w:r>
    </w:p>
    <w:p>
      <w:pPr>
        <w:jc w:val="center"/>
      </w:pPr>
      <w:r>
        <w:rPr>
          <w:rFonts w:ascii="Calibri" w:hAnsi="Calibri"/>
          <w:i/>
          <w:color w:val="5A646E"/>
          <w:sz w:val="18"/>
        </w:rPr>
        <w:t>Treasury and movements</w:t>
      </w:r>
    </w:p>
    <w:p>
      <w:pPr>
        <w:jc w:val="center"/>
      </w:pPr>
      <w:r>
        <w:rPr>
          <w:rFonts w:ascii="Calibri" w:hAnsi="Calibri"/>
          <w:color w:val="5A646E"/>
          <w:sz w:val="17"/>
        </w:rPr>
        <w:t>① Navigation  ② Company/Branch and language context  ③ Current workspace</w:t>
      </w:r>
    </w:p>
    <w:tbl>
      <w:tblPr>
        <w:tblW w:type="auto" w:w="0"/>
        <w:jc w:val="center"/>
        <w:tblLook w:firstColumn="1" w:firstRow="1" w:lastColumn="0" w:lastRow="0" w:noHBand="0" w:noVBand="1" w:val="04A0"/>
      </w:tblPr>
      <w:tblGrid>
        <w:gridCol w:w="9648"/>
      </w:tblGrid>
      <w:tr>
        <w:tc>
          <w:tcPr>
            <w:tcW w:type="dxa" w:w="9648"/>
            <w:shd w:fill="FFF6DD"/>
            <w:tcMar>
              <w:top w:w="120" w:type="dxa"/>
              <w:start w:w="160" w:type="dxa"/>
              <w:bottom w:w="120" w:type="dxa"/>
              <w:end w:w="160" w:type="dxa"/>
            </w:tcMar>
          </w:tcPr>
          <w:p>
            <w:pPr>
              <w:jc w:val="left"/>
            </w:pPr>
            <w:r>
              <w:rPr>
                <w:rFonts w:ascii="Calibri" w:hAnsi="Calibri"/>
                <w:b/>
                <w:color w:val="AB7515"/>
                <w:sz w:val="21"/>
              </w:rPr>
              <w:t>Journal safety</w:t>
              <w:br/>
            </w:r>
            <w:r>
              <w:rPr>
                <w:rFonts w:ascii="Calibri" w:hAnsi="Calibri"/>
                <w:sz w:val="21"/>
              </w:rPr>
              <w:t>Do not manually rewrite a posted journal. If a journal or payment is uncertain, keep the reference and ask the finance administrator to review it.</w:t>
            </w:r>
          </w:p>
        </w:tc>
      </w:tr>
    </w:tbl>
    <w:p/>
    <w:p>
      <w:pPr>
        <w:pStyle w:val="Heading1"/>
        <w:jc w:val="left"/>
      </w:pPr>
      <w:r>
        <w:rPr>
          <w:rFonts w:ascii="Calibri" w:hAnsi="Calibri"/>
          <w:b/>
          <w:color w:val="1F4E79"/>
          <w:sz w:val="32"/>
        </w:rPr>
        <w:t>Users and Settings</w:t>
      </w:r>
    </w:p>
    <w:p>
      <w:pPr>
        <w:jc w:val="center"/>
      </w:pPr>
      <w:r>
        <w:drawing>
          <wp:inline xmlns:a="http://schemas.openxmlformats.org/drawingml/2006/main" xmlns:pic="http://schemas.openxmlformats.org/drawingml/2006/picture">
            <wp:extent cx="5715000" cy="3216934"/>
            <wp:docPr id="24" name="Picture 24"/>
            <wp:cNvGraphicFramePr>
              <a:graphicFrameLocks noChangeAspect="1"/>
            </wp:cNvGraphicFramePr>
            <a:graphic>
              <a:graphicData uri="http://schemas.openxmlformats.org/drawingml/2006/picture">
                <pic:pic>
                  <pic:nvPicPr>
                    <pic:cNvPr id="0" name="EN-01-settings.png"/>
                    <pic:cNvPicPr/>
                  </pic:nvPicPr>
                  <pic:blipFill>
                    <a:blip r:embed="rId34"/>
                    <a:stretch>
                      <a:fillRect/>
                    </a:stretch>
                  </pic:blipFill>
                  <pic:spPr>
                    <a:xfrm>
                      <a:off x="0" y="0"/>
                      <a:ext cx="5715000" cy="3216934"/>
                    </a:xfrm>
                    <a:prstGeom prst="rect"/>
                  </pic:spPr>
                </pic:pic>
              </a:graphicData>
            </a:graphic>
          </wp:inline>
        </w:drawing>
      </w:r>
    </w:p>
    <w:p>
      <w:pPr>
        <w:jc w:val="center"/>
      </w:pPr>
      <w:r>
        <w:rPr>
          <w:rFonts w:ascii="Calibri" w:hAnsi="Calibri"/>
          <w:i/>
          <w:color w:val="5A646E"/>
          <w:sz w:val="18"/>
        </w:rPr>
        <w:t>Company settings</w:t>
      </w:r>
    </w:p>
    <w:p>
      <w:pPr>
        <w:jc w:val="center"/>
      </w:pPr>
      <w:r>
        <w:rPr>
          <w:rFonts w:ascii="Calibri" w:hAnsi="Calibri"/>
          <w:color w:val="5A646E"/>
          <w:sz w:val="17"/>
        </w:rPr>
        <w:t>① Navigation  ② Company/Branch and language context  ③ Current workspace</w:t>
      </w:r>
    </w:p>
    <w:p>
      <w:pPr>
        <w:pStyle w:val="ListBullet"/>
        <w:jc w:val="left"/>
      </w:pPr>
      <w:r>
        <w:rPr>
          <w:rFonts w:ascii="Calibri" w:hAnsi="Calibri"/>
          <w:sz w:val="22"/>
        </w:rPr>
        <w:t>Users and Employees: create, deactivate, and assign role/branch when permitted.</w:t>
      </w:r>
    </w:p>
    <w:p>
      <w:pPr>
        <w:pStyle w:val="ListBullet"/>
        <w:jc w:val="left"/>
      </w:pPr>
      <w:r>
        <w:rPr>
          <w:rFonts w:ascii="Calibri" w:hAnsi="Calibri"/>
          <w:sz w:val="22"/>
        </w:rPr>
        <w:t>Tax &amp; VAT: review company policy and rate; only the authorized administrator should change them.</w:t>
      </w:r>
    </w:p>
    <w:p>
      <w:pPr>
        <w:pStyle w:val="ListBullet"/>
        <w:jc w:val="left"/>
      </w:pPr>
      <w:r>
        <w:rPr>
          <w:rFonts w:ascii="Calibri" w:hAnsi="Calibri"/>
          <w:sz w:val="22"/>
        </w:rPr>
        <w:t>Locations: add or disable a location when permitted; do not delete a value used by historical records.</w:t>
      </w:r>
    </w:p>
    <w:p>
      <w:pPr>
        <w:pStyle w:val="ListBullet"/>
        <w:jc w:val="left"/>
      </w:pPr>
      <w:r>
        <w:rPr>
          <w:rFonts w:ascii="Calibri" w:hAnsi="Calibri"/>
          <w:sz w:val="22"/>
        </w:rPr>
        <w:t>Barcode codes: review codes in the dedicated screen; do not create codes outside the supported workflow.</w:t>
      </w:r>
    </w:p>
    <w:p>
      <w:pPr>
        <w:jc w:val="center"/>
      </w:pPr>
      <w:r>
        <w:drawing>
          <wp:inline xmlns:a="http://schemas.openxmlformats.org/drawingml/2006/main" xmlns:pic="http://schemas.openxmlformats.org/drawingml/2006/picture">
            <wp:extent cx="5715000" cy="3216934"/>
            <wp:docPr id="25" name="Picture 25"/>
            <wp:cNvGraphicFramePr>
              <a:graphicFrameLocks noChangeAspect="1"/>
            </wp:cNvGraphicFramePr>
            <a:graphic>
              <a:graphicData uri="http://schemas.openxmlformats.org/drawingml/2006/picture">
                <pic:pic>
                  <pic:nvPicPr>
                    <pic:cNvPr id="0" name="EN-02-settings-tax.png"/>
                    <pic:cNvPicPr/>
                  </pic:nvPicPr>
                  <pic:blipFill>
                    <a:blip r:embed="rId35"/>
                    <a:stretch>
                      <a:fillRect/>
                    </a:stretch>
                  </pic:blipFill>
                  <pic:spPr>
                    <a:xfrm>
                      <a:off x="0" y="0"/>
                      <a:ext cx="5715000" cy="3216934"/>
                    </a:xfrm>
                    <a:prstGeom prst="rect"/>
                  </pic:spPr>
                </pic:pic>
              </a:graphicData>
            </a:graphic>
          </wp:inline>
        </w:drawing>
      </w:r>
    </w:p>
    <w:p>
      <w:pPr>
        <w:jc w:val="center"/>
      </w:pPr>
      <w:r>
        <w:rPr>
          <w:rFonts w:ascii="Calibri" w:hAnsi="Calibri"/>
          <w:i/>
          <w:color w:val="5A646E"/>
          <w:sz w:val="18"/>
        </w:rPr>
        <w:t>Tax policy</w:t>
      </w:r>
    </w:p>
    <w:p>
      <w:pPr>
        <w:jc w:val="center"/>
      </w:pPr>
      <w:r>
        <w:rPr>
          <w:rFonts w:ascii="Calibri" w:hAnsi="Calibri"/>
          <w:color w:val="5A646E"/>
          <w:sz w:val="17"/>
        </w:rPr>
        <w:t>① Navigation  ② Company/Branch and language context  ③ Current workspace</w:t>
      </w:r>
    </w:p>
    <w:tbl>
      <w:tblPr>
        <w:tblW w:type="auto" w:w="0"/>
        <w:jc w:val="center"/>
        <w:tblLook w:firstColumn="1" w:firstRow="1" w:lastColumn="0" w:lastRow="0" w:noHBand="0" w:noVBand="1" w:val="04A0"/>
      </w:tblPr>
      <w:tblGrid>
        <w:gridCol w:w="9648"/>
      </w:tblGrid>
      <w:tr>
        <w:tc>
          <w:tcPr>
            <w:tcW w:type="dxa" w:w="9648"/>
            <w:shd w:fill="FDECEC"/>
            <w:tcMar>
              <w:top w:w="120" w:type="dxa"/>
              <w:start w:w="160" w:type="dxa"/>
              <w:bottom w:w="120" w:type="dxa"/>
              <w:end w:w="160" w:type="dxa"/>
            </w:tcMar>
          </w:tcPr>
          <w:p>
            <w:pPr>
              <w:jc w:val="left"/>
            </w:pPr>
            <w:r>
              <w:rPr>
                <w:rFonts w:ascii="Calibri" w:hAnsi="Calibri"/>
                <w:b/>
                <w:color w:val="0B2545"/>
                <w:sz w:val="21"/>
              </w:rPr>
              <w:t>Money settings</w:t>
              <w:br/>
            </w:r>
            <w:r>
              <w:rPr>
                <w:rFonts w:ascii="Calibri" w:hAnsi="Calibri"/>
                <w:sz w:val="21"/>
              </w:rPr>
              <w:t>Settings that affect price, tax, or accounting should be changed only by the authorized administrator, with a documented reason.</w:t>
            </w:r>
          </w:p>
        </w:tc>
      </w:tr>
    </w:tbl>
    <w:p/>
    <w:p>
      <w:pPr>
        <w:pStyle w:val="Heading1"/>
        <w:jc w:val="left"/>
      </w:pPr>
      <w:r>
        <w:rPr>
          <w:rFonts w:ascii="Calibri" w:hAnsi="Calibri"/>
          <w:b/>
          <w:color w:val="1F4E79"/>
          <w:sz w:val="32"/>
        </w:rPr>
        <w:t>Troubleshooting and safety</w:t>
      </w:r>
    </w:p>
    <w:tbl>
      <w:tblPr>
        <w:tblStyle w:val="TableGrid"/>
        <w:tblW w:type="auto" w:w="0"/>
        <w:jc w:val="center"/>
        <w:tblLook w:firstColumn="1" w:firstRow="1" w:lastColumn="0" w:lastRow="0" w:noHBand="0" w:noVBand="1" w:val="04A0"/>
      </w:tblPr>
      <w:tblGrid>
        <w:gridCol w:w="4824"/>
        <w:gridCol w:w="4824"/>
      </w:tblGrid>
      <w:tr>
        <w:tc>
          <w:tcPr>
            <w:tcW w:type="dxa" w:w="2880"/>
            <w:shd w:fill="E8EEF5"/>
            <w:tcMar>
              <w:top w:w="90" w:type="dxa"/>
              <w:start w:w="120" w:type="dxa"/>
              <w:bottom w:w="90" w:type="dxa"/>
              <w:end w:w="120" w:type="dxa"/>
            </w:tcMar>
            <w:vAlign w:val="center"/>
          </w:tcPr>
          <w:p>
            <w:pPr>
              <w:jc w:val="left"/>
            </w:pPr>
            <w:r>
              <w:rPr>
                <w:rFonts w:ascii="Calibri" w:hAnsi="Calibri"/>
                <w:b/>
                <w:color w:val="0B2545"/>
                <w:sz w:val="19"/>
              </w:rPr>
              <w:t>What you see</w:t>
            </w:r>
          </w:p>
        </w:tc>
        <w:tc>
          <w:tcPr>
            <w:tcW w:type="dxa" w:w="6480"/>
            <w:shd w:fill="E8EEF5"/>
            <w:tcMar>
              <w:top w:w="90" w:type="dxa"/>
              <w:start w:w="120" w:type="dxa"/>
              <w:bottom w:w="90" w:type="dxa"/>
              <w:end w:w="120" w:type="dxa"/>
            </w:tcMar>
            <w:vAlign w:val="center"/>
          </w:tcPr>
          <w:p>
            <w:pPr>
              <w:jc w:val="left"/>
            </w:pPr>
            <w:r>
              <w:rPr>
                <w:rFonts w:ascii="Calibri" w:hAnsi="Calibri"/>
                <w:b/>
                <w:color w:val="0B2545"/>
                <w:sz w:val="19"/>
              </w:rPr>
              <w:t>What to do</w:t>
            </w:r>
          </w:p>
        </w:tc>
      </w:tr>
      <w:tr>
        <w:tc>
          <w:tcPr>
            <w:tcW w:type="dxa" w:w="4824"/>
            <w:tcMar>
              <w:top w:w="90" w:type="dxa"/>
              <w:start w:w="120" w:type="dxa"/>
              <w:bottom w:w="90" w:type="dxa"/>
              <w:end w:w="120" w:type="dxa"/>
            </w:tcMar>
            <w:vAlign w:val="center"/>
          </w:tcPr>
          <w:p>
            <w:pPr>
              <w:jc w:val="left"/>
            </w:pPr>
            <w:r>
              <w:rPr>
                <w:rFonts w:ascii="Calibri" w:hAnsi="Calibri"/>
                <w:sz w:val="18"/>
              </w:rPr>
              <w:t>الزر غير ظاهر</w:t>
            </w:r>
          </w:p>
        </w:tc>
        <w:tc>
          <w:tcPr>
            <w:tcW w:type="dxa" w:w="4824"/>
            <w:tcMar>
              <w:top w:w="90" w:type="dxa"/>
              <w:start w:w="120" w:type="dxa"/>
              <w:bottom w:w="90" w:type="dxa"/>
              <w:end w:w="120" w:type="dxa"/>
            </w:tcMar>
            <w:vAlign w:val="center"/>
          </w:tcPr>
          <w:p>
            <w:pPr>
              <w:jc w:val="left"/>
            </w:pPr>
            <w:r>
              <w:rPr>
                <w:rFonts w:ascii="Calibri" w:hAnsi="Calibri"/>
                <w:sz w:val="18"/>
              </w:rPr>
              <w:t>Check role, branch, and record status.</w:t>
            </w:r>
          </w:p>
        </w:tc>
      </w:tr>
      <w:tr>
        <w:tc>
          <w:tcPr>
            <w:tcW w:type="dxa" w:w="4824"/>
            <w:tcMar>
              <w:top w:w="90" w:type="dxa"/>
              <w:start w:w="120" w:type="dxa"/>
              <w:bottom w:w="90" w:type="dxa"/>
              <w:end w:w="120" w:type="dxa"/>
            </w:tcMar>
            <w:vAlign w:val="center"/>
          </w:tcPr>
          <w:p>
            <w:pPr>
              <w:jc w:val="left"/>
            </w:pPr>
            <w:r>
              <w:rPr>
                <w:rFonts w:ascii="Calibri" w:hAnsi="Calibri"/>
                <w:sz w:val="18"/>
              </w:rPr>
              <w:t>Permission denied</w:t>
            </w:r>
          </w:p>
        </w:tc>
        <w:tc>
          <w:tcPr>
            <w:tcW w:type="dxa" w:w="4824"/>
            <w:tcMar>
              <w:top w:w="90" w:type="dxa"/>
              <w:start w:w="120" w:type="dxa"/>
              <w:bottom w:w="90" w:type="dxa"/>
              <w:end w:w="120" w:type="dxa"/>
            </w:tcMar>
            <w:vAlign w:val="center"/>
          </w:tcPr>
          <w:p>
            <w:pPr>
              <w:jc w:val="left"/>
            </w:pPr>
            <w:r>
              <w:rPr>
                <w:rFonts w:ascii="Calibri" w:hAnsi="Calibri"/>
                <w:sz w:val="18"/>
              </w:rPr>
              <w:t>Ask the administrator to review the permission.</w:t>
            </w:r>
          </w:p>
        </w:tc>
      </w:tr>
      <w:tr>
        <w:tc>
          <w:tcPr>
            <w:tcW w:type="dxa" w:w="4824"/>
            <w:tcMar>
              <w:top w:w="90" w:type="dxa"/>
              <w:start w:w="120" w:type="dxa"/>
              <w:bottom w:w="90" w:type="dxa"/>
              <w:end w:w="120" w:type="dxa"/>
            </w:tcMar>
            <w:vAlign w:val="center"/>
          </w:tcPr>
          <w:p>
            <w:pPr>
              <w:jc w:val="left"/>
            </w:pPr>
            <w:r>
              <w:rPr>
                <w:rFonts w:ascii="Calibri" w:hAnsi="Calibri"/>
                <w:sz w:val="18"/>
              </w:rPr>
              <w:t>الباركود غير موجود</w:t>
            </w:r>
          </w:p>
        </w:tc>
        <w:tc>
          <w:tcPr>
            <w:tcW w:type="dxa" w:w="4824"/>
            <w:tcMar>
              <w:top w:w="90" w:type="dxa"/>
              <w:start w:w="120" w:type="dxa"/>
              <w:bottom w:w="90" w:type="dxa"/>
              <w:end w:w="120" w:type="dxa"/>
            </w:tcMar>
            <w:vAlign w:val="center"/>
          </w:tcPr>
          <w:p>
            <w:pPr>
              <w:jc w:val="left"/>
            </w:pPr>
            <w:r>
              <w:rPr>
                <w:rFonts w:ascii="Calibri" w:hAnsi="Calibri"/>
                <w:sz w:val="18"/>
              </w:rPr>
              <w:t>Check spelling, branch, and item status.</w:t>
            </w:r>
          </w:p>
        </w:tc>
      </w:tr>
      <w:tr>
        <w:tc>
          <w:tcPr>
            <w:tcW w:type="dxa" w:w="4824"/>
            <w:tcMar>
              <w:top w:w="90" w:type="dxa"/>
              <w:start w:w="120" w:type="dxa"/>
              <w:bottom w:w="90" w:type="dxa"/>
              <w:end w:w="120" w:type="dxa"/>
            </w:tcMar>
            <w:vAlign w:val="center"/>
          </w:tcPr>
          <w:p>
            <w:pPr>
              <w:jc w:val="left"/>
            </w:pPr>
            <w:r>
              <w:rPr>
                <w:rFonts w:ascii="Calibri" w:hAnsi="Calibri"/>
                <w:sz w:val="18"/>
              </w:rPr>
              <w:t>العنصر غير متاح للبيع</w:t>
            </w:r>
          </w:p>
        </w:tc>
        <w:tc>
          <w:tcPr>
            <w:tcW w:type="dxa" w:w="4824"/>
            <w:tcMar>
              <w:top w:w="90" w:type="dxa"/>
              <w:start w:w="120" w:type="dxa"/>
              <w:bottom w:w="90" w:type="dxa"/>
              <w:end w:w="120" w:type="dxa"/>
            </w:tcMar>
            <w:vAlign w:val="center"/>
          </w:tcPr>
          <w:p>
            <w:pPr>
              <w:jc w:val="left"/>
            </w:pPr>
            <w:r>
              <w:rPr>
                <w:rFonts w:ascii="Calibri" w:hAnsi="Calibri"/>
                <w:sz w:val="18"/>
              </w:rPr>
              <w:t>It may be Sold, Reserved, in Workshop, or in Transfer.</w:t>
            </w:r>
          </w:p>
        </w:tc>
      </w:tr>
      <w:tr>
        <w:tc>
          <w:tcPr>
            <w:tcW w:type="dxa" w:w="4824"/>
            <w:tcMar>
              <w:top w:w="90" w:type="dxa"/>
              <w:start w:w="120" w:type="dxa"/>
              <w:bottom w:w="90" w:type="dxa"/>
              <w:end w:w="120" w:type="dxa"/>
            </w:tcMar>
            <w:vAlign w:val="center"/>
          </w:tcPr>
          <w:p>
            <w:pPr>
              <w:jc w:val="left"/>
            </w:pPr>
            <w:r>
              <w:rPr>
                <w:rFonts w:ascii="Calibri" w:hAnsi="Calibri"/>
                <w:sz w:val="18"/>
              </w:rPr>
              <w:t>السعر غير متاح أو قديم</w:t>
            </w:r>
          </w:p>
        </w:tc>
        <w:tc>
          <w:tcPr>
            <w:tcW w:type="dxa" w:w="4824"/>
            <w:tcMar>
              <w:top w:w="90" w:type="dxa"/>
              <w:start w:w="120" w:type="dxa"/>
              <w:bottom w:w="90" w:type="dxa"/>
              <w:end w:w="120" w:type="dxa"/>
            </w:tcMar>
            <w:vAlign w:val="center"/>
          </w:tcPr>
          <w:p>
            <w:pPr>
              <w:jc w:val="left"/>
            </w:pPr>
            <w:r>
              <w:rPr>
                <w:rFonts w:ascii="Calibri" w:hAnsi="Calibri"/>
                <w:sz w:val="18"/>
              </w:rPr>
              <w:t>Do not bypass price protection; check Gold Center or contact the administrator.</w:t>
            </w:r>
          </w:p>
        </w:tc>
      </w:tr>
      <w:tr>
        <w:tc>
          <w:tcPr>
            <w:tcW w:type="dxa" w:w="4824"/>
            <w:tcMar>
              <w:top w:w="90" w:type="dxa"/>
              <w:start w:w="120" w:type="dxa"/>
              <w:bottom w:w="90" w:type="dxa"/>
              <w:end w:w="120" w:type="dxa"/>
            </w:tcMar>
            <w:vAlign w:val="center"/>
          </w:tcPr>
          <w:p>
            <w:pPr>
              <w:jc w:val="left"/>
            </w:pPr>
            <w:r>
              <w:rPr>
                <w:rFonts w:ascii="Calibri" w:hAnsi="Calibri"/>
                <w:sz w:val="18"/>
              </w:rPr>
              <w:t>المعاينة غير متاحة</w:t>
            </w:r>
          </w:p>
        </w:tc>
        <w:tc>
          <w:tcPr>
            <w:tcW w:type="dxa" w:w="4824"/>
            <w:tcMar>
              <w:top w:w="90" w:type="dxa"/>
              <w:start w:w="120" w:type="dxa"/>
              <w:bottom w:w="90" w:type="dxa"/>
              <w:end w:w="120" w:type="dxa"/>
            </w:tcMar>
            <w:vAlign w:val="center"/>
          </w:tcPr>
          <w:p>
            <w:pPr>
              <w:jc w:val="left"/>
            </w:pPr>
            <w:r>
              <w:rPr>
                <w:rFonts w:ascii="Calibri" w:hAnsi="Calibri"/>
                <w:sz w:val="18"/>
              </w:rPr>
              <w:t>Complete required fields and check branch, location, and settings.</w:t>
            </w:r>
          </w:p>
        </w:tc>
      </w:tr>
      <w:tr>
        <w:tc>
          <w:tcPr>
            <w:tcW w:type="dxa" w:w="4824"/>
            <w:tcMar>
              <w:top w:w="90" w:type="dxa"/>
              <w:start w:w="120" w:type="dxa"/>
              <w:bottom w:w="90" w:type="dxa"/>
              <w:end w:w="120" w:type="dxa"/>
            </w:tcMar>
            <w:vAlign w:val="center"/>
          </w:tcPr>
          <w:p>
            <w:pPr>
              <w:jc w:val="left"/>
            </w:pPr>
            <w:r>
              <w:rPr>
                <w:rFonts w:ascii="Calibri" w:hAnsi="Calibri"/>
                <w:sz w:val="18"/>
              </w:rPr>
              <w:t>نتيجة دفع أو Checkout غير واضحة</w:t>
            </w:r>
          </w:p>
        </w:tc>
        <w:tc>
          <w:tcPr>
            <w:tcW w:type="dxa" w:w="4824"/>
            <w:tcMar>
              <w:top w:w="90" w:type="dxa"/>
              <w:start w:w="120" w:type="dxa"/>
              <w:bottom w:w="90" w:type="dxa"/>
              <w:end w:w="120" w:type="dxa"/>
            </w:tcMar>
            <w:vAlign w:val="center"/>
          </w:tcPr>
          <w:p>
            <w:pPr>
              <w:jc w:val="left"/>
            </w:pPr>
            <w:r>
              <w:rPr>
                <w:rFonts w:ascii="Calibri" w:hAnsi="Calibri"/>
                <w:sz w:val="18"/>
              </w:rPr>
              <w:t>Do not repeat it; ask for invoice and payment verification.</w:t>
            </w:r>
          </w:p>
        </w:tc>
      </w:tr>
      <w:tr>
        <w:tc>
          <w:tcPr>
            <w:tcW w:type="dxa" w:w="4824"/>
            <w:tcMar>
              <w:top w:w="90" w:type="dxa"/>
              <w:start w:w="120" w:type="dxa"/>
              <w:bottom w:w="90" w:type="dxa"/>
              <w:end w:w="120" w:type="dxa"/>
            </w:tcMar>
            <w:vAlign w:val="center"/>
          </w:tcPr>
          <w:p>
            <w:pPr>
              <w:jc w:val="left"/>
            </w:pPr>
            <w:r>
              <w:rPr>
                <w:rFonts w:ascii="Calibri" w:hAnsi="Calibri"/>
                <w:sz w:val="18"/>
              </w:rPr>
              <w:t>الجلسة انتهت</w:t>
            </w:r>
          </w:p>
        </w:tc>
        <w:tc>
          <w:tcPr>
            <w:tcW w:type="dxa" w:w="4824"/>
            <w:tcMar>
              <w:top w:w="90" w:type="dxa"/>
              <w:start w:w="120" w:type="dxa"/>
              <w:bottom w:w="90" w:type="dxa"/>
              <w:end w:w="120" w:type="dxa"/>
            </w:tcMar>
            <w:vAlign w:val="center"/>
          </w:tcPr>
          <w:p>
            <w:pPr>
              <w:jc w:val="left"/>
            </w:pPr>
            <w:r>
              <w:rPr>
                <w:rFonts w:ascii="Calibri" w:hAnsi="Calibri"/>
                <w:sz w:val="18"/>
              </w:rPr>
              <w:t>Sign in again and verify any financial action before repeating it.</w:t>
            </w:r>
          </w:p>
        </w:tc>
      </w:tr>
    </w:tbl>
    <w:p/>
    <w:p>
      <w:pPr>
        <w:pStyle w:val="Heading2"/>
        <w:jc w:val="left"/>
      </w:pPr>
      <w:r>
        <w:rPr>
          <w:rFonts w:ascii="Calibri" w:hAnsi="Calibri"/>
          <w:b/>
          <w:color w:val="1F4E79"/>
          <w:sz w:val="26"/>
        </w:rPr>
        <w:t>Do not do this</w:t>
      </w:r>
    </w:p>
    <w:p>
      <w:pPr>
        <w:pStyle w:val="ListBullet"/>
        <w:jc w:val="left"/>
      </w:pPr>
      <w:r>
        <w:rPr>
          <w:rFonts w:ascii="Calibri" w:hAnsi="Calibri"/>
          <w:sz w:val="22"/>
        </w:rPr>
        <w:t>Do not sell the same physical piece twice.</w:t>
      </w:r>
    </w:p>
    <w:p>
      <w:pPr>
        <w:pStyle w:val="ListBullet"/>
        <w:jc w:val="left"/>
      </w:pPr>
      <w:r>
        <w:rPr>
          <w:rFonts w:ascii="Calibri" w:hAnsi="Calibri"/>
          <w:sz w:val="22"/>
        </w:rPr>
        <w:t>Do not move an item between branches outside Transfer.</w:t>
      </w:r>
    </w:p>
    <w:p>
      <w:pPr>
        <w:pStyle w:val="ListBullet"/>
        <w:jc w:val="left"/>
      </w:pPr>
      <w:r>
        <w:rPr>
          <w:rFonts w:ascii="Calibri" w:hAnsi="Calibri"/>
          <w:sz w:val="22"/>
        </w:rPr>
        <w:t>Do not create a fake supplier or customer to bypass a required field.</w:t>
      </w:r>
    </w:p>
    <w:p>
      <w:pPr>
        <w:pStyle w:val="ListBullet"/>
        <w:jc w:val="left"/>
      </w:pPr>
      <w:r>
        <w:rPr>
          <w:rFonts w:ascii="Calibri" w:hAnsi="Calibri"/>
          <w:sz w:val="22"/>
        </w:rPr>
        <w:t>Do not repeat payment or Checkout without knowing the result of the first attempt.</w:t>
      </w:r>
    </w:p>
    <w:p>
      <w:pPr>
        <w:pStyle w:val="ListBullet"/>
        <w:jc w:val="left"/>
      </w:pPr>
      <w:r>
        <w:rPr>
          <w:rFonts w:ascii="Calibri" w:hAnsi="Calibri"/>
          <w:sz w:val="22"/>
        </w:rPr>
        <w:t>Do not delete historical master data when Disable is available.</w:t>
      </w:r>
    </w:p>
    <w:p>
      <w:pPr>
        <w:pStyle w:val="Heading1"/>
        <w:jc w:val="left"/>
      </w:pPr>
      <w:r>
        <w:rPr>
          <w:rFonts w:ascii="Calibri" w:hAnsi="Calibri"/>
          <w:b/>
          <w:color w:val="1F4E79"/>
          <w:sz w:val="32"/>
        </w:rPr>
        <w:t>Status glossary and quick task finder</w:t>
      </w:r>
    </w:p>
    <w:tbl>
      <w:tblPr>
        <w:tblStyle w:val="TableGrid"/>
        <w:tblW w:type="auto" w:w="0"/>
        <w:jc w:val="center"/>
        <w:tblLook w:firstColumn="1" w:firstRow="1" w:lastColumn="0" w:lastRow="0" w:noHBand="0" w:noVBand="1" w:val="04A0"/>
      </w:tblPr>
      <w:tblGrid>
        <w:gridCol w:w="4824"/>
        <w:gridCol w:w="4824"/>
      </w:tblGrid>
      <w:tr>
        <w:tc>
          <w:tcPr>
            <w:tcW w:type="dxa" w:w="2880"/>
            <w:shd w:fill="E8EEF5"/>
            <w:tcMar>
              <w:top w:w="90" w:type="dxa"/>
              <w:start w:w="120" w:type="dxa"/>
              <w:bottom w:w="90" w:type="dxa"/>
              <w:end w:w="120" w:type="dxa"/>
            </w:tcMar>
            <w:vAlign w:val="center"/>
          </w:tcPr>
          <w:p>
            <w:pPr>
              <w:jc w:val="left"/>
            </w:pPr>
            <w:r>
              <w:rPr>
                <w:rFonts w:ascii="Calibri" w:hAnsi="Calibri"/>
                <w:b/>
                <w:color w:val="0B2545"/>
                <w:sz w:val="19"/>
              </w:rPr>
              <w:t>Status</w:t>
            </w:r>
          </w:p>
        </w:tc>
        <w:tc>
          <w:tcPr>
            <w:tcW w:type="dxa" w:w="6480"/>
            <w:shd w:fill="E8EEF5"/>
            <w:tcMar>
              <w:top w:w="90" w:type="dxa"/>
              <w:start w:w="120" w:type="dxa"/>
              <w:bottom w:w="90" w:type="dxa"/>
              <w:end w:w="120" w:type="dxa"/>
            </w:tcMar>
            <w:vAlign w:val="center"/>
          </w:tcPr>
          <w:p>
            <w:pPr>
              <w:jc w:val="left"/>
            </w:pPr>
            <w:r>
              <w:rPr>
                <w:rFonts w:ascii="Calibri" w:hAnsi="Calibri"/>
                <w:b/>
                <w:color w:val="0B2545"/>
                <w:sz w:val="19"/>
              </w:rPr>
              <w:t>Meaning</w:t>
            </w:r>
          </w:p>
        </w:tc>
      </w:tr>
      <w:tr>
        <w:tc>
          <w:tcPr>
            <w:tcW w:type="dxa" w:w="4824"/>
            <w:tcMar>
              <w:top w:w="90" w:type="dxa"/>
              <w:start w:w="120" w:type="dxa"/>
              <w:bottom w:w="90" w:type="dxa"/>
              <w:end w:w="120" w:type="dxa"/>
            </w:tcMar>
            <w:vAlign w:val="center"/>
          </w:tcPr>
          <w:p>
            <w:pPr>
              <w:jc w:val="left"/>
            </w:pPr>
            <w:r>
              <w:rPr>
                <w:rFonts w:ascii="Calibri" w:hAnsi="Calibri"/>
                <w:sz w:val="18"/>
              </w:rPr>
              <w:t>Available</w:t>
            </w:r>
          </w:p>
        </w:tc>
        <w:tc>
          <w:tcPr>
            <w:tcW w:type="dxa" w:w="4824"/>
            <w:tcMar>
              <w:top w:w="90" w:type="dxa"/>
              <w:start w:w="120" w:type="dxa"/>
              <w:bottom w:w="90" w:type="dxa"/>
              <w:end w:w="120" w:type="dxa"/>
            </w:tcMar>
            <w:vAlign w:val="center"/>
          </w:tcPr>
          <w:p>
            <w:pPr>
              <w:jc w:val="left"/>
            </w:pPr>
            <w:r>
              <w:rPr>
                <w:rFonts w:ascii="Calibri" w:hAnsi="Calibri"/>
                <w:sz w:val="18"/>
              </w:rPr>
              <w:t>Normally available for the allowed workflow.</w:t>
            </w:r>
          </w:p>
        </w:tc>
      </w:tr>
      <w:tr>
        <w:tc>
          <w:tcPr>
            <w:tcW w:type="dxa" w:w="4824"/>
            <w:tcMar>
              <w:top w:w="90" w:type="dxa"/>
              <w:start w:w="120" w:type="dxa"/>
              <w:bottom w:w="90" w:type="dxa"/>
              <w:end w:w="120" w:type="dxa"/>
            </w:tcMar>
            <w:vAlign w:val="center"/>
          </w:tcPr>
          <w:p>
            <w:pPr>
              <w:jc w:val="left"/>
            </w:pPr>
            <w:r>
              <w:rPr>
                <w:rFonts w:ascii="Calibri" w:hAnsi="Calibri"/>
                <w:sz w:val="18"/>
              </w:rPr>
              <w:t>Reserved</w:t>
            </w:r>
          </w:p>
        </w:tc>
        <w:tc>
          <w:tcPr>
            <w:tcW w:type="dxa" w:w="4824"/>
            <w:tcMar>
              <w:top w:w="90" w:type="dxa"/>
              <w:start w:w="120" w:type="dxa"/>
              <w:bottom w:w="90" w:type="dxa"/>
              <w:end w:w="120" w:type="dxa"/>
            </w:tcMar>
            <w:vAlign w:val="center"/>
          </w:tcPr>
          <w:p>
            <w:pPr>
              <w:jc w:val="left"/>
            </w:pPr>
            <w:r>
              <w:rPr>
                <w:rFonts w:ascii="Calibri" w:hAnsi="Calibri"/>
                <w:sz w:val="18"/>
              </w:rPr>
              <w:t>Reserved and not available for ordinary sale.</w:t>
            </w:r>
          </w:p>
        </w:tc>
      </w:tr>
      <w:tr>
        <w:tc>
          <w:tcPr>
            <w:tcW w:type="dxa" w:w="4824"/>
            <w:tcMar>
              <w:top w:w="90" w:type="dxa"/>
              <w:start w:w="120" w:type="dxa"/>
              <w:bottom w:w="90" w:type="dxa"/>
              <w:end w:w="120" w:type="dxa"/>
            </w:tcMar>
            <w:vAlign w:val="center"/>
          </w:tcPr>
          <w:p>
            <w:pPr>
              <w:jc w:val="left"/>
            </w:pPr>
            <w:r>
              <w:rPr>
                <w:rFonts w:ascii="Calibri" w:hAnsi="Calibri"/>
                <w:sz w:val="18"/>
              </w:rPr>
              <w:t>Workshop</w:t>
            </w:r>
          </w:p>
        </w:tc>
        <w:tc>
          <w:tcPr>
            <w:tcW w:type="dxa" w:w="4824"/>
            <w:tcMar>
              <w:top w:w="90" w:type="dxa"/>
              <w:start w:w="120" w:type="dxa"/>
              <w:bottom w:w="90" w:type="dxa"/>
              <w:end w:w="120" w:type="dxa"/>
            </w:tcMar>
            <w:vAlign w:val="center"/>
          </w:tcPr>
          <w:p>
            <w:pPr>
              <w:jc w:val="left"/>
            </w:pPr>
            <w:r>
              <w:rPr>
                <w:rFonts w:ascii="Calibri" w:hAnsi="Calibri"/>
                <w:sz w:val="18"/>
              </w:rPr>
              <w:t>In the Workshop workflow.</w:t>
            </w:r>
          </w:p>
        </w:tc>
      </w:tr>
      <w:tr>
        <w:tc>
          <w:tcPr>
            <w:tcW w:type="dxa" w:w="4824"/>
            <w:tcMar>
              <w:top w:w="90" w:type="dxa"/>
              <w:start w:w="120" w:type="dxa"/>
              <w:bottom w:w="90" w:type="dxa"/>
              <w:end w:w="120" w:type="dxa"/>
            </w:tcMar>
            <w:vAlign w:val="center"/>
          </w:tcPr>
          <w:p>
            <w:pPr>
              <w:jc w:val="left"/>
            </w:pPr>
            <w:r>
              <w:rPr>
                <w:rFonts w:ascii="Calibri" w:hAnsi="Calibri"/>
                <w:sz w:val="18"/>
              </w:rPr>
              <w:t>Sold</w:t>
            </w:r>
          </w:p>
        </w:tc>
        <w:tc>
          <w:tcPr>
            <w:tcW w:type="dxa" w:w="4824"/>
            <w:tcMar>
              <w:top w:w="90" w:type="dxa"/>
              <w:start w:w="120" w:type="dxa"/>
              <w:bottom w:w="90" w:type="dxa"/>
              <w:end w:w="120" w:type="dxa"/>
            </w:tcMar>
            <w:vAlign w:val="center"/>
          </w:tcPr>
          <w:p>
            <w:pPr>
              <w:jc w:val="left"/>
            </w:pPr>
            <w:r>
              <w:rPr>
                <w:rFonts w:ascii="Calibri" w:hAnsi="Calibri"/>
                <w:sz w:val="18"/>
              </w:rPr>
              <w:t>Sold with its financial effect recorded.</w:t>
            </w:r>
          </w:p>
        </w:tc>
      </w:tr>
      <w:tr>
        <w:tc>
          <w:tcPr>
            <w:tcW w:type="dxa" w:w="4824"/>
            <w:tcMar>
              <w:top w:w="90" w:type="dxa"/>
              <w:start w:w="120" w:type="dxa"/>
              <w:bottom w:w="90" w:type="dxa"/>
              <w:end w:w="120" w:type="dxa"/>
            </w:tcMar>
            <w:vAlign w:val="center"/>
          </w:tcPr>
          <w:p>
            <w:pPr>
              <w:jc w:val="left"/>
            </w:pPr>
            <w:r>
              <w:rPr>
                <w:rFonts w:ascii="Calibri" w:hAnsi="Calibri"/>
                <w:sz w:val="18"/>
              </w:rPr>
              <w:t>Pending / Approved / In Transit / Received</w:t>
            </w:r>
          </w:p>
        </w:tc>
        <w:tc>
          <w:tcPr>
            <w:tcW w:type="dxa" w:w="4824"/>
            <w:tcMar>
              <w:top w:w="90" w:type="dxa"/>
              <w:start w:w="120" w:type="dxa"/>
              <w:bottom w:w="90" w:type="dxa"/>
              <w:end w:w="120" w:type="dxa"/>
            </w:tcMar>
            <w:vAlign w:val="center"/>
          </w:tcPr>
          <w:p>
            <w:pPr>
              <w:jc w:val="left"/>
            </w:pPr>
            <w:r>
              <w:rPr>
                <w:rFonts w:ascii="Calibri" w:hAnsi="Calibri"/>
                <w:sz w:val="18"/>
              </w:rPr>
              <w:t>Transfer lifecycle states.</w:t>
            </w:r>
          </w:p>
        </w:tc>
      </w:tr>
      <w:tr>
        <w:tc>
          <w:tcPr>
            <w:tcW w:type="dxa" w:w="4824"/>
            <w:tcMar>
              <w:top w:w="90" w:type="dxa"/>
              <w:start w:w="120" w:type="dxa"/>
              <w:bottom w:w="90" w:type="dxa"/>
              <w:end w:w="120" w:type="dxa"/>
            </w:tcMar>
            <w:vAlign w:val="center"/>
          </w:tcPr>
          <w:p>
            <w:pPr>
              <w:jc w:val="left"/>
            </w:pPr>
            <w:r>
              <w:rPr>
                <w:rFonts w:ascii="Calibri" w:hAnsi="Calibri"/>
                <w:sz w:val="18"/>
              </w:rPr>
              <w:t>Missing / Unexpected / Variance</w:t>
            </w:r>
          </w:p>
        </w:tc>
        <w:tc>
          <w:tcPr>
            <w:tcW w:type="dxa" w:w="4824"/>
            <w:tcMar>
              <w:top w:w="90" w:type="dxa"/>
              <w:start w:w="120" w:type="dxa"/>
              <w:bottom w:w="90" w:type="dxa"/>
              <w:end w:w="120" w:type="dxa"/>
            </w:tcMar>
            <w:vAlign w:val="center"/>
          </w:tcPr>
          <w:p>
            <w:pPr>
              <w:jc w:val="left"/>
            </w:pPr>
            <w:r>
              <w:rPr>
                <w:rFonts w:ascii="Calibri" w:hAnsi="Calibri"/>
                <w:sz w:val="18"/>
              </w:rPr>
              <w:t>Inventory Count results.</w:t>
            </w:r>
          </w:p>
        </w:tc>
      </w:tr>
      <w:tr>
        <w:tc>
          <w:tcPr>
            <w:tcW w:type="dxa" w:w="4824"/>
            <w:tcMar>
              <w:top w:w="90" w:type="dxa"/>
              <w:start w:w="120" w:type="dxa"/>
              <w:bottom w:w="90" w:type="dxa"/>
              <w:end w:w="120" w:type="dxa"/>
            </w:tcMar>
            <w:vAlign w:val="center"/>
          </w:tcPr>
          <w:p>
            <w:pPr>
              <w:jc w:val="left"/>
            </w:pPr>
            <w:r>
              <w:rPr>
                <w:rFonts w:ascii="Calibri" w:hAnsi="Calibri"/>
                <w:sz w:val="18"/>
              </w:rPr>
              <w:t>Draft / Validated / Posted</w:t>
            </w:r>
          </w:p>
        </w:tc>
        <w:tc>
          <w:tcPr>
            <w:tcW w:type="dxa" w:w="4824"/>
            <w:tcMar>
              <w:top w:w="90" w:type="dxa"/>
              <w:start w:w="120" w:type="dxa"/>
              <w:bottom w:w="90" w:type="dxa"/>
              <w:end w:w="120" w:type="dxa"/>
            </w:tcMar>
            <w:vAlign w:val="center"/>
          </w:tcPr>
          <w:p>
            <w:pPr>
              <w:jc w:val="left"/>
            </w:pPr>
            <w:r>
              <w:rPr>
                <w:rFonts w:ascii="Calibri" w:hAnsi="Calibri"/>
                <w:sz w:val="18"/>
              </w:rPr>
              <w:t>Customer Gold Purchase lifecycle.</w:t>
            </w:r>
          </w:p>
        </w:tc>
      </w:tr>
    </w:tbl>
    <w:p/>
    <w:p>
      <w:pPr>
        <w:pStyle w:val="Heading2"/>
        <w:jc w:val="left"/>
      </w:pPr>
      <w:r>
        <w:rPr>
          <w:rFonts w:ascii="Calibri" w:hAnsi="Calibri"/>
          <w:b/>
          <w:color w:val="1F4E79"/>
          <w:sz w:val="26"/>
        </w:rPr>
        <w:t>Quick recipes</w:t>
      </w:r>
    </w:p>
    <w:p>
      <w:pPr>
        <w:pStyle w:val="ListBullet"/>
        <w:jc w:val="left"/>
      </w:pPr>
      <w:r>
        <w:rPr>
          <w:rFonts w:ascii="Calibri" w:hAnsi="Calibri"/>
          <w:sz w:val="22"/>
        </w:rPr>
        <w:t>Receive stock: Inventory -&gt; Add / Receive Inventory -&gt; choose type -&gt; enter data -&gt; review -&gt; Receive.</w:t>
      </w:r>
    </w:p>
    <w:p>
      <w:pPr>
        <w:pStyle w:val="ListBullet"/>
        <w:jc w:val="left"/>
      </w:pPr>
      <w:r>
        <w:rPr>
          <w:rFonts w:ascii="Calibri" w:hAnsi="Calibri"/>
          <w:sz w:val="22"/>
        </w:rPr>
        <w:t>Find a piece: Inventory -&gt; search by Barcode or open Asset Details.</w:t>
      </w:r>
    </w:p>
    <w:p>
      <w:pPr>
        <w:pStyle w:val="ListBullet"/>
        <w:jc w:val="left"/>
      </w:pPr>
      <w:r>
        <w:rPr>
          <w:rFonts w:ascii="Calibri" w:hAnsi="Calibri"/>
          <w:sz w:val="22"/>
        </w:rPr>
        <w:t>Transfer: Inventory -&gt; Transfers -&gt; Create -&gt; Approve -&gt; Dispatch -&gt; Receive.</w:t>
      </w:r>
    </w:p>
    <w:p>
      <w:pPr>
        <w:pStyle w:val="ListBullet"/>
        <w:jc w:val="left"/>
      </w:pPr>
      <w:r>
        <w:rPr>
          <w:rFonts w:ascii="Calibri" w:hAnsi="Calibri"/>
          <w:sz w:val="22"/>
        </w:rPr>
        <w:t>Count: Inventory -&gt; Inventory Count -&gt; location -&gt; Start -&gt; scan/count -&gt; Complete/Close.</w:t>
      </w:r>
    </w:p>
    <w:p>
      <w:pPr>
        <w:pStyle w:val="ListBullet"/>
        <w:jc w:val="left"/>
      </w:pPr>
      <w:r>
        <w:rPr>
          <w:rFonts w:ascii="Calibri" w:hAnsi="Calibri"/>
          <w:sz w:val="22"/>
        </w:rPr>
        <w:t>Create a customer: Customers -&gt; Add Customer -&gt; save -&gt; use it in POS.</w:t>
      </w:r>
    </w:p>
    <w:p>
      <w:pPr>
        <w:pStyle w:val="ListBullet"/>
        <w:jc w:val="left"/>
      </w:pPr>
      <w:r>
        <w:rPr>
          <w:rFonts w:ascii="Calibri" w:hAnsi="Calibri"/>
          <w:sz w:val="22"/>
        </w:rPr>
        <w:t>Sell: POS -&gt; customer -&gt; Barcode -&gt; cart -&gt; totals -&gt; payment -&gt; Checkout once -&gt; receipt.</w:t>
      </w:r>
    </w:p>
    <w:p>
      <w:pPr>
        <w:pStyle w:val="ListBullet"/>
        <w:jc w:val="left"/>
      </w:pPr>
      <w:r>
        <w:rPr>
          <w:rFonts w:ascii="Calibri" w:hAnsi="Calibri"/>
          <w:sz w:val="22"/>
        </w:rPr>
        <w:t>Review a journal: Accounting -&gt; find the source/reference -&gt; review debit, credit, and status.</w:t>
      </w:r>
    </w:p>
    <w:p>
      <w:pPr>
        <w:pStyle w:val="Heading2"/>
        <w:jc w:val="left"/>
      </w:pPr>
      <w:r>
        <w:rPr>
          <w:rFonts w:ascii="Calibri" w:hAnsi="Calibri"/>
          <w:b/>
          <w:color w:val="1F4E79"/>
          <w:sz w:val="26"/>
        </w:rPr>
        <w:t>Handover and training checklist</w:t>
      </w:r>
    </w:p>
    <w:p>
      <w:pPr>
        <w:pStyle w:val="ListBullet"/>
        <w:jc w:val="left"/>
      </w:pPr>
      <w:r>
        <w:rPr>
          <w:rFonts w:ascii="Calibri" w:hAnsi="Calibri"/>
          <w:sz w:val="22"/>
        </w:rPr>
        <w:t>☐ I know how to sign in and select the correct branch.</w:t>
      </w:r>
    </w:p>
    <w:p>
      <w:pPr>
        <w:pStyle w:val="ListBullet"/>
        <w:jc w:val="left"/>
      </w:pPr>
      <w:r>
        <w:rPr>
          <w:rFonts w:ascii="Calibri" w:hAnsi="Calibri"/>
          <w:sz w:val="22"/>
        </w:rPr>
        <w:t>☐ I know how to search for customers, suppliers, and pieces by Barcode.</w:t>
      </w:r>
    </w:p>
    <w:p>
      <w:pPr>
        <w:pStyle w:val="ListBullet"/>
        <w:jc w:val="left"/>
      </w:pPr>
      <w:r>
        <w:rPr>
          <w:rFonts w:ascii="Calibri" w:hAnsi="Calibri"/>
          <w:sz w:val="22"/>
        </w:rPr>
        <w:t>☐ I know how to receive, transfer, send to Workshop, and count inventory.</w:t>
      </w:r>
    </w:p>
    <w:p>
      <w:pPr>
        <w:pStyle w:val="ListBullet"/>
        <w:jc w:val="left"/>
      </w:pPr>
      <w:r>
        <w:rPr>
          <w:rFonts w:ascii="Calibri" w:hAnsi="Calibri"/>
          <w:sz w:val="22"/>
        </w:rPr>
        <w:t>☐ I know how to review totals, VAT, and Journal Preview before a sale.</w:t>
      </w:r>
    </w:p>
    <w:p>
      <w:pPr>
        <w:pStyle w:val="ListBullet"/>
        <w:jc w:val="left"/>
      </w:pPr>
      <w:r>
        <w:rPr>
          <w:rFonts w:ascii="Calibri" w:hAnsi="Calibri"/>
          <w:sz w:val="22"/>
        </w:rPr>
        <w:t>☐ I know when I need administrator permission.</w:t>
      </w:r>
    </w:p>
    <w:p>
      <w:pPr>
        <w:pStyle w:val="ListBullet"/>
        <w:jc w:val="left"/>
      </w:pPr>
      <w:r>
        <w:rPr>
          <w:rFonts w:ascii="Calibri" w:hAnsi="Calibri"/>
          <w:sz w:val="22"/>
        </w:rPr>
        <w:t>☐ I will not repeat an uncertain financial action without verification.</w:t>
      </w:r>
    </w:p>
    <w:tbl>
      <w:tblPr>
        <w:tblW w:type="auto" w:w="0"/>
        <w:jc w:val="center"/>
        <w:tblLook w:firstColumn="1" w:firstRow="1" w:lastColumn="0" w:lastRow="0" w:noHBand="0" w:noVBand="1" w:val="04A0"/>
      </w:tblPr>
      <w:tblGrid>
        <w:gridCol w:w="9648"/>
      </w:tblGrid>
      <w:tr>
        <w:tc>
          <w:tcPr>
            <w:tcW w:type="dxa" w:w="9648"/>
            <w:shd w:fill="FFF6DD"/>
            <w:tcMar>
              <w:top w:w="120" w:type="dxa"/>
              <w:start w:w="160" w:type="dxa"/>
              <w:bottom w:w="120" w:type="dxa"/>
              <w:end w:w="160" w:type="dxa"/>
            </w:tcMar>
          </w:tcPr>
          <w:p>
            <w:pPr>
              <w:jc w:val="left"/>
            </w:pPr>
            <w:r>
              <w:rPr>
                <w:rFonts w:ascii="Calibri" w:hAnsi="Calibri"/>
                <w:b/>
                <w:color w:val="AB7515"/>
                <w:sz w:val="21"/>
              </w:rPr>
              <w:t>Quick User Training Checklist</w:t>
              <w:br/>
            </w:r>
            <w:r>
              <w:rPr>
                <w:rFonts w:ascii="Calibri" w:hAnsi="Calibri"/>
                <w:sz w:val="21"/>
              </w:rPr>
              <w:t>Start with sign-in and branch context, then take a read-only tour of Inventory, POS, and Accounting. Do not use real customer data in the first training session.</w:t>
            </w:r>
          </w:p>
        </w:tc>
      </w:tr>
    </w:tbl>
    <w:p/>
    <w:tbl>
      <w:tblPr>
        <w:tblW w:type="auto" w:w="0"/>
        <w:jc w:val="center"/>
        <w:tblLook w:firstColumn="1" w:firstRow="1" w:lastColumn="0" w:lastRow="0" w:noHBand="0" w:noVBand="1" w:val="04A0"/>
      </w:tblPr>
      <w:tblGrid>
        <w:gridCol w:w="9648"/>
      </w:tblGrid>
      <w:tr>
        <w:tc>
          <w:tcPr>
            <w:tcW w:type="dxa" w:w="9648"/>
            <w:shd w:fill="FFF6DD"/>
            <w:tcMar>
              <w:top w:w="120" w:type="dxa"/>
              <w:start w:w="160" w:type="dxa"/>
              <w:bottom w:w="120" w:type="dxa"/>
              <w:end w:w="160" w:type="dxa"/>
            </w:tcMar>
          </w:tcPr>
          <w:p>
            <w:pPr>
              <w:jc w:val="left"/>
            </w:pPr>
            <w:r>
              <w:rPr>
                <w:rFonts w:ascii="Calibri" w:hAnsi="Calibri"/>
                <w:b/>
                <w:color w:val="AB7515"/>
                <w:sz w:val="21"/>
              </w:rPr>
              <w:t>Current release notes</w:t>
              <w:br/>
            </w:r>
            <w:r>
              <w:rPr>
                <w:rFonts w:ascii="Calibri" w:hAnsi="Calibri"/>
                <w:sz w:val="21"/>
              </w:rPr>
              <w:t>External e-invoicing integration is not part of this release scope. Do not bypass price or tax protection when a stale or unavailable state appears.</w:t>
            </w:r>
          </w:p>
        </w:tc>
      </w:tr>
    </w:tbl>
    <w:p/>
    <w:sectPr w:rsidR="00FC693F" w:rsidRPr="0006063C" w:rsidSect="00034616">
      <w:headerReference w:type="default" r:id="rId9"/>
      <w:footerReference w:type="default" r:id="rId10"/>
      <w:pgSz w:w="12240" w:h="15840"/>
      <w:pgMar w:top="1152" w:right="1296" w:bottom="1080"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646E"/>
        <w:sz w:val="16"/>
      </w:rPr>
      <w:t xml:space="preserve">Customer operating guide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A646E"/>
        <w:sz w:val="18"/>
      </w:rPr>
      <w:t>DARFUS ERP  |  End-User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B25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