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60"/>
        </w:rPr>
        <w:t>CohortBuilderAria</w:t>
      </w:r>
    </w:p>
    <w:p>
      <w:pPr>
        <w:jc w:val="center"/>
      </w:pPr>
      <w:r>
        <w:rPr>
          <w:b/>
          <w:sz w:val="36"/>
        </w:rPr>
        <w:t>Technical Documentation — English Summary</w:t>
      </w:r>
    </w:p>
    <w:p>
      <w:pPr>
        <w:jc w:val="center"/>
      </w:pPr>
      <w:r>
        <w:rPr>
          <w:i/>
          <w:sz w:val="22"/>
        </w:rPr>
        <w:t>Shared codebase · Bilingual documentation · Streamlit / ARIA</w:t>
      </w:r>
    </w:p>
    <w:p>
      <w:pPr>
        <w:jc w:val="center"/>
      </w:pPr>
      <w:r>
        <w:rPr>
          <w:sz w:val="20"/>
        </w:rPr>
        <w:br/>
        <w:t>Version reviewed: 30 July 2026</w:t>
      </w:r>
    </w:p>
    <w:p>
      <w:r>
        <w:br w:type="page"/>
      </w:r>
    </w:p>
    <w:p>
      <w:pPr>
        <w:pStyle w:val="Heading1"/>
      </w:pPr>
      <w:r>
        <w:t>1. Purpose and scope</w:t>
      </w:r>
    </w:p>
    <w:p>
      <w:r>
        <w:rPr>
          <w:b/>
        </w:rPr>
        <w:t xml:space="preserve">CohortBuilderAria </w:t>
      </w:r>
      <w:r>
        <w:t>is a Streamlit application that builds patient-level radiotherapy cohorts from ARIA treatment and form extractions. The same Python modules, SQL scripts, profiles and sample files support both French and English documentation.</w:t>
      </w:r>
    </w:p>
    <w:p>
      <w:pPr>
        <w:pStyle w:val="ListBullet"/>
        <w:spacing w:after="40"/>
      </w:pPr>
      <w:r>
        <w:t>Primary functions: source extraction or loading, ICD-10 cohort filtering, optional ETHOS enrichment, variable selection, temporal aggregation and export generation.</w:t>
      </w:r>
    </w:p>
    <w:p>
      <w:pPr>
        <w:pStyle w:val="ListBullet"/>
        <w:spacing w:after="40"/>
      </w:pPr>
      <w:r>
        <w:t>Primary outputs: patient-level Excel and CSV files, an evidence workbook and a reusable JSON profile.</w:t>
      </w:r>
    </w:p>
    <w:p>
      <w:pPr>
        <w:pStyle w:val="ListBullet"/>
        <w:spacing w:after="40"/>
      </w:pPr>
      <w:r>
        <w:t>Documentation principle: one executable project, with separate French and English reading paths only.</w:t>
      </w:r>
    </w:p>
    <w:p>
      <w:pPr>
        <w:pStyle w:val="Heading1"/>
      </w:pPr>
      <w:r>
        <w:t>2. Quick execution path</w:t>
      </w:r>
    </w:p>
    <w:p>
      <w:r>
        <w:t>From PowerShell in the project directory:</w:t>
      </w:r>
    </w:p>
    <w:p>
      <w:pPr>
        <w:ind w:left="360"/>
      </w:pPr>
      <w:r>
        <w:rPr>
          <w:rFonts w:ascii="Consolas" w:hAnsi="Consolas" w:eastAsia="Consolas"/>
          <w:color w:val="2D2D2D"/>
          <w:sz w:val="18"/>
        </w:rPr>
        <w:t>cd "C:\path\to\CohortBuilderAria"</w:t>
      </w:r>
    </w:p>
    <w:p>
      <w:pPr>
        <w:ind w:left="360"/>
      </w:pPr>
      <w:r>
        <w:rPr>
          <w:rFonts w:ascii="Consolas" w:hAnsi="Consolas" w:eastAsia="Consolas"/>
          <w:color w:val="2D2D2D"/>
          <w:sz w:val="18"/>
        </w:rPr>
        <w:t>python -m pip install -r requirements.txt</w:t>
      </w:r>
    </w:p>
    <w:p>
      <w:pPr>
        <w:ind w:left="360"/>
      </w:pPr>
      <w:r>
        <w:rPr>
          <w:rFonts w:ascii="Consolas" w:hAnsi="Consolas" w:eastAsia="Consolas"/>
          <w:color w:val="2D2D2D"/>
          <w:sz w:val="18"/>
        </w:rPr>
        <w:t>python -m streamlit run app2.py</w:t>
      </w:r>
    </w:p>
    <w:p>
      <w:r>
        <w:t>Direct SQL extraction additionally requires a Microsoft ODBC Driver for SQL Server, network access and a local `.streamlit/secrets.toml` configuration. Existing-file mode does not require SQL connectivity.</w:t>
      </w:r>
    </w:p>
    <w:p>
      <w:pPr/>
      <w:r>
        <w:t>After replacing a file or modifying the code, stop the application with Ctrl + C, clear the Streamlit cache, and restart:</w:t>
      </w:r>
    </w:p>
    <w:p>
      <w:pPr/>
      <w:r>
        <w:rPr>
          <w:rFonts w:ascii="Consolas" w:hAnsi="Consolas" w:eastAsia="Consolas"/>
          <w:sz w:val="18"/>
        </w:rPr>
        <w:t>python -m streamlit cache clear</w:t>
        <w:br/>
        <w:t>python -m streamlit run app2.py</w:t>
      </w:r>
    </w:p>
    <w:p>
      <w:pPr>
        <w:pStyle w:val="Heading1"/>
      </w:pPr>
      <w:r>
        <w:t>3. Processing workflow</w:t>
      </w:r>
    </w:p>
    <w:p>
      <w:pPr>
        <w:pStyle w:val="ListNumber"/>
        <w:spacing w:after="40"/>
      </w:pPr>
      <w:r>
        <w:t>Load traitement_patient, formulaire_patient and optional ethos_patient sources.</w:t>
      </w:r>
    </w:p>
    <w:p>
      <w:pPr>
        <w:pStyle w:val="ListNumber"/>
        <w:spacing w:after="40"/>
      </w:pPr>
      <w:r>
        <w:t>Resolve historical column aliases and normalise patient identifiers.</w:t>
      </w:r>
    </w:p>
    <w:p>
      <w:pPr>
        <w:pStyle w:val="ListNumber"/>
        <w:spacing w:after="40"/>
      </w:pPr>
      <w:r>
        <w:t>Filter the treatment cohort using ICD-10 and treatment criteria.</w:t>
      </w:r>
    </w:p>
    <w:p>
      <w:pPr>
        <w:pStyle w:val="ListNumber"/>
        <w:spacing w:after="40"/>
      </w:pPr>
      <w:r>
        <w:t>Select treatment descriptors and form variables.</w:t>
      </w:r>
    </w:p>
    <w:p>
      <w:pPr>
        <w:pStyle w:val="ListNumber"/>
        <w:spacing w:after="40"/>
      </w:pPr>
      <w:r>
        <w:t>Create patient reference dates startD and endD.</w:t>
      </w:r>
    </w:p>
    <w:p>
      <w:pPr>
        <w:pStyle w:val="ListNumber"/>
        <w:spacing w:after="40"/>
      </w:pPr>
      <w:r>
        <w:t>Assign form observations to cumulative, pre-RT, acute and late windows.</w:t>
      </w:r>
    </w:p>
    <w:p>
      <w:pPr>
        <w:pStyle w:val="ListNumber"/>
        <w:spacing w:after="40"/>
      </w:pPr>
      <w:r>
        <w:t>Aggregate observations and join them to the patient-level treatment table.</w:t>
      </w:r>
    </w:p>
    <w:p>
      <w:pPr>
        <w:pStyle w:val="ListNumber"/>
        <w:spacing w:after="40"/>
      </w:pPr>
      <w:r>
        <w:t>Generate final exports and the evidence workbook.</w:t>
      </w:r>
    </w:p>
    <w:p>
      <w:pPr>
        <w:pStyle w:val="Heading1"/>
      </w:pPr>
      <w:r>
        <w:t>4. Main source contracts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>
              <w:t>Source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Function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Key expectations</w:t>
            </w:r>
          </w:p>
        </w:tc>
      </w:tr>
      <w:tr>
        <w:tc>
          <w:tcPr>
            <w:tcW w:type="dxa" w:w="3360"/>
            <w:vAlign w:val="top"/>
          </w:tcPr>
          <w:p>
            <w:r>
              <w:t>traitement_patient</w:t>
            </w:r>
          </w:p>
        </w:tc>
        <w:tc>
          <w:tcPr>
            <w:tcW w:type="dxa" w:w="3360"/>
            <w:vAlign w:val="top"/>
          </w:tcPr>
          <w:p>
            <w:r>
              <w:t>Defines the cohort</w:t>
            </w:r>
          </w:p>
        </w:tc>
        <w:tc>
          <w:tcPr>
            <w:tcW w:type="dxa" w:w="3360"/>
            <w:vAlign w:val="top"/>
          </w:tcPr>
          <w:p>
            <w:r>
              <w:t>Patient key, diagnosis, treatment dates; dose/fractions when criteria use them</w:t>
            </w:r>
          </w:p>
        </w:tc>
      </w:tr>
      <w:tr>
        <w:tc>
          <w:tcPr>
            <w:tcW w:type="dxa" w:w="3360"/>
            <w:vAlign w:val="top"/>
          </w:tcPr>
          <w:p>
            <w:r>
              <w:t>formulaire_patient</w:t>
            </w:r>
          </w:p>
        </w:tc>
        <w:tc>
          <w:tcPr>
            <w:tcW w:type="dxa" w:w="3360"/>
            <w:vAlign w:val="top"/>
          </w:tcPr>
          <w:p>
            <w:r>
              <w:t>Provides dated variables</w:t>
            </w:r>
          </w:p>
        </w:tc>
        <w:tc>
          <w:tcPr>
            <w:tcW w:type="dxa" w:w="3360"/>
            <w:vAlign w:val="top"/>
          </w:tcPr>
          <w:p>
            <w:r>
              <w:t>pt_id and date_event are structurally required</w:t>
            </w:r>
          </w:p>
        </w:tc>
      </w:tr>
      <w:tr>
        <w:tc>
          <w:tcPr>
            <w:tcW w:type="dxa" w:w="3360"/>
            <w:vAlign w:val="top"/>
          </w:tcPr>
          <w:p>
            <w:r>
              <w:t>ethos_patient</w:t>
            </w:r>
          </w:p>
        </w:tc>
        <w:tc>
          <w:tcPr>
            <w:tcW w:type="dxa" w:w="3360"/>
            <w:vAlign w:val="top"/>
          </w:tcPr>
          <w:p>
            <w:r>
              <w:t>Optional ETHOS enrichment</w:t>
            </w:r>
          </w:p>
        </w:tc>
        <w:tc>
          <w:tcPr>
            <w:tcW w:type="dxa" w:w="3360"/>
            <w:vAlign w:val="top"/>
          </w:tcPr>
          <w:p>
            <w:r>
              <w:t>Usable dates and non-zero delivered dose</w:t>
            </w:r>
          </w:p>
        </w:tc>
      </w:tr>
    </w:tbl>
    <w:p>
      <w:pPr>
        <w:pStyle w:val="Heading1"/>
      </w:pPr>
      <w:r>
        <w:t>5. Temporal model</w:t>
      </w:r>
    </w:p>
    <w:p>
      <w:pPr>
        <w:pStyle w:val="ListBullet"/>
        <w:spacing w:after="40"/>
      </w:pPr>
      <w:r>
        <w:t>startD is the earliest retained radiotherapy date for the patient.</w:t>
      </w:r>
    </w:p>
    <w:p>
      <w:pPr>
        <w:pStyle w:val="ListBullet"/>
        <w:spacing w:after="40"/>
      </w:pPr>
      <w:r>
        <w:t>endD is the latest retained radiotherapy date for the patient.</w:t>
      </w:r>
    </w:p>
    <w:p>
      <w:pPr>
        <w:pStyle w:val="ListBullet"/>
        <w:spacing w:after="40"/>
      </w:pPr>
      <w:r>
        <w:t>Cumulative outputs preserve all valid observations chronologically.</w:t>
      </w:r>
    </w:p>
    <w:p>
      <w:pPr>
        <w:pStyle w:val="ListBullet"/>
        <w:spacing w:after="40"/>
      </w:pPr>
      <w:r>
        <w:t>Pre-RT windows are defined before startD.</w:t>
      </w:r>
    </w:p>
    <w:p>
      <w:pPr>
        <w:pStyle w:val="ListBullet"/>
        <w:spacing w:after="40"/>
      </w:pPr>
      <w:r>
        <w:t>Acute windows begin at startD and are organised by treatment week.</w:t>
      </w:r>
    </w:p>
    <w:p>
      <w:pPr>
        <w:pStyle w:val="ListBullet"/>
        <w:spacing w:after="40"/>
      </w:pPr>
      <w:r>
        <w:t>Late windows are defined after endD using configured week and month intervals.</w:t>
      </w:r>
    </w:p>
    <w:p>
      <w:pPr>
        <w:pStyle w:val="ListBullet"/>
        <w:spacing w:after="40"/>
      </w:pPr>
      <w:r>
        <w:t>Exact duplicates can be removed from aggregation while remaining visible in quality reporting.</w:t>
      </w:r>
    </w:p>
    <w:p>
      <w:pPr>
        <w:pStyle w:val="Heading1"/>
      </w:pPr>
      <w:r>
        <w:t>6. Quality and traceability</w:t>
      </w:r>
    </w:p>
    <w:p>
      <w:r>
        <w:t>The evidence workbook documents how the final cohort was built. It may include pipeline parameters, ICD-10 distribution, selected-column coverage, output schema, entirely empty columns, ETHOS integration, treatment inconsistencies, duplicate samples and long-format observation samples.</w:t>
      </w:r>
    </w:p>
    <w:p>
      <w:pPr>
        <w:pStyle w:val="ListBullet"/>
        <w:spacing w:after="40"/>
      </w:pPr>
      <w:r>
        <w:t>Confirm the expected unique-patient count.</w:t>
      </w:r>
    </w:p>
    <w:p>
      <w:pPr>
        <w:pStyle w:val="ListBullet"/>
        <w:spacing w:after="40"/>
      </w:pPr>
      <w:r>
        <w:t>Review treatment-to-form matching and reference-date availability.</w:t>
      </w:r>
    </w:p>
    <w:p>
      <w:pPr>
        <w:pStyle w:val="ListBullet"/>
        <w:spacing w:after="40"/>
      </w:pPr>
      <w:r>
        <w:t>Inspect patients with multiple dates, doses, fractions or machines.</w:t>
      </w:r>
    </w:p>
    <w:p>
      <w:pPr>
        <w:pStyle w:val="ListBullet"/>
        <w:spacing w:after="40"/>
      </w:pPr>
      <w:r>
        <w:t>Review variables or temporal columns containing only missing values.</w:t>
      </w:r>
    </w:p>
    <w:p>
      <w:pPr>
        <w:pStyle w:val="ListBullet"/>
        <w:spacing w:after="40"/>
      </w:pPr>
      <w:r>
        <w:t>Retain the evidence workbook with the corresponding final export.</w:t>
      </w:r>
    </w:p>
    <w:p>
      <w:pPr>
        <w:pStyle w:val="Heading1"/>
      </w:pPr>
      <w:r>
        <w:t>7. Shared bilingual repository layout</w:t>
      </w:r>
    </w:p>
    <w:p>
      <w:pPr>
        <w:ind w:left="216"/>
      </w:pPr>
      <w:r>
        <w:rPr>
          <w:rFonts w:ascii="Consolas" w:hAnsi="Consolas" w:eastAsia="Consolas"/>
          <w:sz w:val="18"/>
        </w:rPr>
        <w:t>README.md                 Language selector</w:t>
      </w:r>
    </w:p>
    <w:p>
      <w:pPr>
        <w:ind w:left="216"/>
      </w:pPr>
      <w:r>
        <w:rPr>
          <w:rFonts w:ascii="Consolas" w:hAnsi="Consolas" w:eastAsia="Consolas"/>
          <w:sz w:val="18"/>
        </w:rPr>
        <w:t>README.fr.md              French project overview</w:t>
      </w:r>
    </w:p>
    <w:p>
      <w:pPr>
        <w:ind w:left="216"/>
      </w:pPr>
      <w:r>
        <w:rPr>
          <w:rFonts w:ascii="Consolas" w:hAnsi="Consolas" w:eastAsia="Consolas"/>
          <w:sz w:val="18"/>
        </w:rPr>
        <w:t>README.en.md              English project overview</w:t>
      </w:r>
    </w:p>
    <w:p>
      <w:pPr>
        <w:ind w:left="216"/>
      </w:pPr>
      <w:r>
        <w:rPr>
          <w:rFonts w:ascii="Consolas" w:hAnsi="Consolas" w:eastAsia="Consolas"/>
          <w:sz w:val="18"/>
        </w:rPr>
        <w:t>docs/fr/                  Complete French documentation</w:t>
      </w:r>
    </w:p>
    <w:p>
      <w:pPr>
        <w:ind w:left="216"/>
      </w:pPr>
      <w:r>
        <w:rPr>
          <w:rFonts w:ascii="Consolas" w:hAnsi="Consolas" w:eastAsia="Consolas"/>
          <w:sz w:val="18"/>
        </w:rPr>
        <w:t>docs/en/                  Complete English documentation</w:t>
      </w:r>
    </w:p>
    <w:p>
      <w:pPr>
        <w:ind w:left="216"/>
      </w:pPr>
      <w:r>
        <w:rPr>
          <w:rFonts w:ascii="Consolas" w:hAnsi="Consolas" w:eastAsia="Consolas"/>
          <w:sz w:val="18"/>
        </w:rPr>
        <w:t>app2.py, utils/, sql/     One shared executable implementation</w:t>
      </w:r>
    </w:p>
    <w:p>
      <w:pPr>
        <w:ind w:left="216"/>
      </w:pPr>
      <w:r>
        <w:rPr>
          <w:rFonts w:ascii="Consolas" w:hAnsi="Consolas" w:eastAsia="Consolas"/>
          <w:sz w:val="18"/>
        </w:rPr>
        <w:t>conf/, samples/           One shared configuration and test-data set</w:t>
      </w:r>
    </w:p>
    <w:p>
      <w:r>
        <w:br w:type="page"/>
      </w:r>
    </w:p>
    <w:p>
      <w:pPr>
        <w:pStyle w:val="Heading1"/>
      </w:pPr>
      <w:r>
        <w:t>8. Documentation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Topic</w:t>
            </w:r>
          </w:p>
        </w:tc>
        <w:tc>
          <w:tcPr>
            <w:tcW w:type="dxa" w:w="5040"/>
            <w:shd w:fill="D9EAF7"/>
          </w:tcPr>
          <w:p>
            <w:r>
              <w:t>English Markdown file</w:t>
            </w:r>
          </w:p>
        </w:tc>
      </w:tr>
      <w:tr>
        <w:tc>
          <w:tcPr>
            <w:tcW w:type="dxa" w:w="5040"/>
          </w:tcPr>
          <w:p>
            <w:r>
              <w:t>Installation and startup</w:t>
            </w:r>
          </w:p>
        </w:tc>
        <w:tc>
          <w:tcPr>
            <w:tcW w:type="dxa" w:w="5040"/>
          </w:tcPr>
          <w:p>
            <w:r>
              <w:t>docs/en/installation.md</w:t>
            </w:r>
          </w:p>
        </w:tc>
      </w:tr>
      <w:tr>
        <w:tc>
          <w:tcPr>
            <w:tcW w:type="dxa" w:w="5040"/>
          </w:tcPr>
          <w:p>
            <w:r>
              <w:t>Operational user workflow</w:t>
            </w:r>
          </w:p>
        </w:tc>
        <w:tc>
          <w:tcPr>
            <w:tcW w:type="dxa" w:w="5040"/>
          </w:tcPr>
          <w:p>
            <w:r>
              <w:t>docs/en/user_guide.md</w:t>
            </w:r>
          </w:p>
        </w:tc>
      </w:tr>
      <w:tr>
        <w:tc>
          <w:tcPr>
            <w:tcW w:type="dxa" w:w="5040"/>
          </w:tcPr>
          <w:p>
            <w:r>
              <w:t>Technical architecture</w:t>
            </w:r>
          </w:p>
        </w:tc>
        <w:tc>
          <w:tcPr>
            <w:tcW w:type="dxa" w:w="5040"/>
          </w:tcPr>
          <w:p>
            <w:r>
              <w:t>docs/en/architecture.md</w:t>
            </w:r>
          </w:p>
        </w:tc>
      </w:tr>
      <w:tr>
        <w:tc>
          <w:tcPr>
            <w:tcW w:type="dxa" w:w="5040"/>
          </w:tcPr>
          <w:p>
            <w:r>
              <w:t>Input and output contracts</w:t>
            </w:r>
          </w:p>
        </w:tc>
        <w:tc>
          <w:tcPr>
            <w:tcW w:type="dxa" w:w="5040"/>
          </w:tcPr>
          <w:p>
            <w:r>
              <w:t>docs/en/input_output_data.md</w:t>
            </w:r>
          </w:p>
        </w:tc>
      </w:tr>
      <w:tr>
        <w:tc>
          <w:tcPr>
            <w:tcW w:type="dxa" w:w="5040"/>
          </w:tcPr>
          <w:p>
            <w:r>
              <w:t>JSON profile format</w:t>
            </w:r>
          </w:p>
        </w:tc>
        <w:tc>
          <w:tcPr>
            <w:tcW w:type="dxa" w:w="5040"/>
          </w:tcPr>
          <w:p>
            <w:r>
              <w:t>docs/en/json_profiles.md</w:t>
            </w:r>
          </w:p>
        </w:tc>
      </w:tr>
      <w:tr>
        <w:tc>
          <w:tcPr>
            <w:tcW w:type="dxa" w:w="5040"/>
          </w:tcPr>
          <w:p>
            <w:r>
              <w:t>Temporal windows and aggregation</w:t>
            </w:r>
          </w:p>
        </w:tc>
        <w:tc>
          <w:tcPr>
            <w:tcW w:type="dxa" w:w="5040"/>
          </w:tcPr>
          <w:p>
            <w:r>
              <w:t>docs/en/temporal_logic.md</w:t>
            </w:r>
          </w:p>
        </w:tc>
      </w:tr>
      <w:tr>
        <w:tc>
          <w:tcPr>
            <w:tcW w:type="dxa" w:w="5040"/>
          </w:tcPr>
          <w:p>
            <w:r>
              <w:t>Quality controls and evidence report</w:t>
            </w:r>
          </w:p>
        </w:tc>
        <w:tc>
          <w:tcPr>
            <w:tcW w:type="dxa" w:w="5040"/>
          </w:tcPr>
          <w:p>
            <w:r>
              <w:t>docs/en/quality_controls.md</w:t>
            </w:r>
          </w:p>
        </w:tc>
      </w:tr>
      <w:tr>
        <w:tc>
          <w:tcPr>
            <w:tcW w:type="dxa" w:w="5040"/>
          </w:tcPr>
          <w:p>
            <w:r>
              <w:t>Testing and validation</w:t>
            </w:r>
          </w:p>
        </w:tc>
        <w:tc>
          <w:tcPr>
            <w:tcW w:type="dxa" w:w="5040"/>
          </w:tcPr>
          <w:p>
            <w:r>
              <w:t>docs/en/testing_validation.md</w:t>
            </w:r>
          </w:p>
        </w:tc>
      </w:tr>
      <w:tr>
        <w:tc>
          <w:tcPr>
            <w:tcW w:type="dxa" w:w="5040"/>
          </w:tcPr>
          <w:p>
            <w:r>
              <w:t>Troubleshooting</w:t>
            </w:r>
          </w:p>
        </w:tc>
        <w:tc>
          <w:tcPr>
            <w:tcW w:type="dxa" w:w="5040"/>
          </w:tcPr>
          <w:p>
            <w:r>
              <w:t>docs/en/troubleshooting.md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Shared codebase · Bilingual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CohortBuilderAria — English Technical Summary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CohortBuilderAria Technical Documentation — English Summary</dc:title>
  <dc:subject>English handover summary for CohortBuilderAria</dc:subject>
  <dc:creator>CohortBuilderAria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