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57DB" w:rsidRDefault="004B5618">
      <w:pPr>
        <w:spacing w:before="1440"/>
        <w:jc w:val="center"/>
        <w:rPr>
          <w:rFonts w:hint="eastAsia"/>
        </w:rPr>
      </w:pPr>
      <w:r>
        <w:rPr>
          <w:b/>
          <w:color w:val="162A8F"/>
          <w:sz w:val="60"/>
        </w:rPr>
        <w:t>CohortBuilderAria</w:t>
      </w:r>
    </w:p>
    <w:p w:rsidR="00A757DB" w:rsidRDefault="004B5618">
      <w:pPr>
        <w:jc w:val="center"/>
        <w:rPr>
          <w:rFonts w:hint="eastAsia"/>
          <w:color w:val="243FC4"/>
          <w:sz w:val="34"/>
        </w:rPr>
      </w:pPr>
      <w:r>
        <w:rPr>
          <w:color w:val="243FC4"/>
          <w:sz w:val="34"/>
        </w:rPr>
        <w:t xml:space="preserve">Documentation technique </w:t>
      </w:r>
      <w:proofErr w:type="gramStart"/>
      <w:r>
        <w:rPr>
          <w:color w:val="243FC4"/>
          <w:sz w:val="34"/>
        </w:rPr>
        <w:t>et</w:t>
      </w:r>
      <w:proofErr w:type="gramEnd"/>
      <w:r>
        <w:rPr>
          <w:color w:val="243FC4"/>
          <w:sz w:val="34"/>
        </w:rPr>
        <w:t xml:space="preserve"> guide de reprise</w:t>
      </w:r>
    </w:p>
    <w:p w:rsidR="00A757DB" w:rsidRPr="00D26D65" w:rsidRDefault="00822DF9" w:rsidP="00D26D65">
      <w:pPr>
        <w:jc w:val="center"/>
        <w:rPr>
          <w:rFonts w:hint="eastAsia"/>
          <w:sz w:val="22"/>
        </w:rPr>
      </w:pPr>
      <w:r w:rsidRPr="00822DF9">
        <w:rPr>
          <w:color w:val="243FC4"/>
          <w:sz w:val="22"/>
        </w:rPr>
        <w:t>KEMIHA Ziad</w:t>
      </w:r>
    </w:p>
    <w:p w:rsidR="00A757DB" w:rsidRDefault="004B5618">
      <w:pPr>
        <w:jc w:val="center"/>
        <w:rPr>
          <w:rFonts w:hint="eastAsia"/>
        </w:rPr>
      </w:pPr>
      <w:r>
        <w:rPr>
          <w:i/>
        </w:rPr>
        <w:t>Application Streamlit de construction de cohortes ARIA</w:t>
      </w:r>
    </w:p>
    <w:p w:rsidR="00A757DB" w:rsidRDefault="00A757DB">
      <w:pPr>
        <w:rPr>
          <w:rFonts w:hint="eastAsia"/>
        </w:rPr>
      </w:pPr>
    </w:p>
    <w:tbl>
      <w:tblPr>
        <w:tblStyle w:val="Grilledutableau"/>
        <w:tblW w:w="0" w:type="auto"/>
        <w:jc w:val="center"/>
        <w:tblLook w:val="04A0" w:firstRow="1" w:lastRow="0" w:firstColumn="1" w:lastColumn="0" w:noHBand="0" w:noVBand="1"/>
      </w:tblPr>
      <w:tblGrid>
        <w:gridCol w:w="4986"/>
        <w:gridCol w:w="4986"/>
      </w:tblGrid>
      <w:tr w:rsidR="00A757DB">
        <w:trPr>
          <w:jc w:val="center"/>
        </w:trPr>
        <w:tc>
          <w:tcPr>
            <w:tcW w:w="4986" w:type="dxa"/>
            <w:shd w:val="clear" w:color="auto" w:fill="243FC4"/>
            <w:vAlign w:val="center"/>
          </w:tcPr>
          <w:p w:rsidR="00A757DB" w:rsidRDefault="004B5618">
            <w:pPr>
              <w:rPr>
                <w:rFonts w:hint="eastAsia"/>
              </w:rPr>
            </w:pPr>
            <w:r>
              <w:rPr>
                <w:b/>
                <w:color w:val="FFFFFF"/>
                <w:sz w:val="18"/>
              </w:rPr>
              <w:t>Document</w:t>
            </w:r>
          </w:p>
        </w:tc>
        <w:tc>
          <w:tcPr>
            <w:tcW w:w="4986" w:type="dxa"/>
            <w:shd w:val="clear" w:color="auto" w:fill="243FC4"/>
            <w:vAlign w:val="center"/>
          </w:tcPr>
          <w:p w:rsidR="00A757DB" w:rsidRDefault="004B5618">
            <w:pPr>
              <w:rPr>
                <w:rFonts w:hint="eastAsia"/>
              </w:rPr>
            </w:pPr>
            <w:r>
              <w:rPr>
                <w:b/>
                <w:color w:val="FFFFFF"/>
                <w:sz w:val="18"/>
              </w:rPr>
              <w:t>Rôle</w:t>
            </w:r>
          </w:p>
        </w:tc>
      </w:tr>
      <w:tr w:rsidR="00A757DB">
        <w:trPr>
          <w:jc w:val="center"/>
        </w:trPr>
        <w:tc>
          <w:tcPr>
            <w:tcW w:w="4986" w:type="dxa"/>
            <w:vAlign w:val="center"/>
          </w:tcPr>
          <w:p w:rsidR="00A757DB" w:rsidRDefault="004B5618">
            <w:pPr>
              <w:rPr>
                <w:rFonts w:hint="eastAsia"/>
              </w:rPr>
            </w:pPr>
            <w:r>
              <w:rPr>
                <w:sz w:val="18"/>
              </w:rPr>
              <w:t>README.md</w:t>
            </w:r>
          </w:p>
        </w:tc>
        <w:tc>
          <w:tcPr>
            <w:tcW w:w="4986" w:type="dxa"/>
            <w:vAlign w:val="center"/>
          </w:tcPr>
          <w:p w:rsidR="00A757DB" w:rsidRDefault="004B5618">
            <w:pPr>
              <w:rPr>
                <w:rFonts w:hint="eastAsia"/>
              </w:rPr>
            </w:pPr>
            <w:r>
              <w:rPr>
                <w:sz w:val="18"/>
              </w:rPr>
              <w:t>Accès immédiat et lancement</w:t>
            </w:r>
          </w:p>
        </w:tc>
      </w:tr>
      <w:tr w:rsidR="00A757DB">
        <w:trPr>
          <w:jc w:val="center"/>
        </w:trPr>
        <w:tc>
          <w:tcPr>
            <w:tcW w:w="4986" w:type="dxa"/>
            <w:shd w:val="clear" w:color="auto" w:fill="F4F7FC"/>
            <w:vAlign w:val="center"/>
          </w:tcPr>
          <w:p w:rsidR="00A757DB" w:rsidRDefault="004B5618">
            <w:pPr>
              <w:rPr>
                <w:rFonts w:hint="eastAsia"/>
              </w:rPr>
            </w:pPr>
            <w:r>
              <w:rPr>
                <w:sz w:val="18"/>
              </w:rPr>
              <w:t>docs/*.md</w:t>
            </w:r>
          </w:p>
        </w:tc>
        <w:tc>
          <w:tcPr>
            <w:tcW w:w="4986" w:type="dxa"/>
            <w:shd w:val="clear" w:color="auto" w:fill="F4F7FC"/>
            <w:vAlign w:val="center"/>
          </w:tcPr>
          <w:p w:rsidR="00A757DB" w:rsidRDefault="004B5618">
            <w:pPr>
              <w:rPr>
                <w:rFonts w:hint="eastAsia"/>
              </w:rPr>
            </w:pPr>
            <w:r>
              <w:rPr>
                <w:sz w:val="18"/>
              </w:rPr>
              <w:t>Documentation détaillée par thème</w:t>
            </w:r>
          </w:p>
        </w:tc>
      </w:tr>
      <w:tr w:rsidR="00A757DB">
        <w:trPr>
          <w:jc w:val="center"/>
        </w:trPr>
        <w:tc>
          <w:tcPr>
            <w:tcW w:w="4986" w:type="dxa"/>
            <w:vAlign w:val="center"/>
          </w:tcPr>
          <w:p w:rsidR="00A757DB" w:rsidRDefault="004B5618">
            <w:pPr>
              <w:rPr>
                <w:rFonts w:hint="eastAsia"/>
              </w:rPr>
            </w:pPr>
            <w:r>
              <w:rPr>
                <w:sz w:val="18"/>
              </w:rPr>
              <w:t>Ce document</w:t>
            </w:r>
          </w:p>
        </w:tc>
        <w:tc>
          <w:tcPr>
            <w:tcW w:w="4986" w:type="dxa"/>
            <w:vAlign w:val="center"/>
          </w:tcPr>
          <w:p w:rsidR="00A757DB" w:rsidRDefault="004B5618">
            <w:pPr>
              <w:rPr>
                <w:rFonts w:hint="eastAsia"/>
              </w:rPr>
            </w:pPr>
            <w:r>
              <w:rPr>
                <w:sz w:val="18"/>
              </w:rPr>
              <w:t>Synthèse technique de livraison</w:t>
            </w:r>
          </w:p>
        </w:tc>
      </w:tr>
    </w:tbl>
    <w:p w:rsidR="00A757DB" w:rsidRDefault="00A757DB">
      <w:pPr>
        <w:rPr>
          <w:rFonts w:hint="eastAsia"/>
        </w:rPr>
      </w:pPr>
    </w:p>
    <w:p w:rsidR="00A757DB" w:rsidRDefault="004B5618">
      <w:pPr>
        <w:rPr>
          <w:rFonts w:hint="eastAsia"/>
        </w:rPr>
      </w:pPr>
      <w:r>
        <w:br w:type="page"/>
      </w:r>
      <w:bookmarkStart w:id="0" w:name="_GoBack"/>
      <w:bookmarkEnd w:id="0"/>
    </w:p>
    <w:p w:rsidR="00A757DB" w:rsidRDefault="004B5618">
      <w:pPr>
        <w:pStyle w:val="Titre1"/>
      </w:pPr>
      <w:r>
        <w:lastRenderedPageBreak/>
        <w:t>1. Objet du projet</w:t>
      </w:r>
    </w:p>
    <w:p w:rsidR="00A757DB" w:rsidRDefault="004B5618">
      <w:pPr>
        <w:rPr>
          <w:rFonts w:hint="eastAsia"/>
        </w:rPr>
      </w:pPr>
      <w:r>
        <w:t>CohortBuilderAria construit des cohortes de radiothérapie à partir de sources ARIA, transforme les observations datées en variables structurées par temporalité et génère un export patient accompagné d’éléments de traçabilité.</w:t>
      </w:r>
    </w:p>
    <w:p w:rsidR="00A757DB" w:rsidRDefault="004B5618">
      <w:pPr>
        <w:pStyle w:val="Listepuces"/>
        <w:rPr>
          <w:rFonts w:hint="eastAsia"/>
        </w:rPr>
      </w:pPr>
      <w:r>
        <w:t>Extraction SQL intégrée ou lecture de fichiers existants.</w:t>
      </w:r>
    </w:p>
    <w:p w:rsidR="00A757DB" w:rsidRDefault="004B5618">
      <w:pPr>
        <w:pStyle w:val="Listepuces"/>
        <w:rPr>
          <w:rFonts w:hint="eastAsia"/>
        </w:rPr>
      </w:pPr>
      <w:r>
        <w:t>Filtrage CIM10 et critère de dose non nulle.</w:t>
      </w:r>
    </w:p>
    <w:p w:rsidR="00A757DB" w:rsidRDefault="004B5618">
      <w:pPr>
        <w:pStyle w:val="Listepuces"/>
        <w:rPr>
          <w:rFonts w:hint="eastAsia"/>
        </w:rPr>
      </w:pPr>
      <w:r>
        <w:t>Intégration optionnelle des traitements ETHOS.</w:t>
      </w:r>
    </w:p>
    <w:p w:rsidR="00A757DB" w:rsidRDefault="004B5618">
      <w:pPr>
        <w:pStyle w:val="Listepuces"/>
        <w:rPr>
          <w:rFonts w:hint="eastAsia"/>
        </w:rPr>
      </w:pPr>
      <w:r>
        <w:t>Sélection des variables de formulaire et renommage des colonnes.</w:t>
      </w:r>
    </w:p>
    <w:p w:rsidR="00A757DB" w:rsidRDefault="004B5618">
      <w:pPr>
        <w:pStyle w:val="Listepuces"/>
        <w:rPr>
          <w:rFonts w:hint="eastAsia"/>
        </w:rPr>
      </w:pPr>
      <w:r>
        <w:t>Gestion des phases cumulée, avant RT, aiguë et tardive.</w:t>
      </w:r>
    </w:p>
    <w:p w:rsidR="00A757DB" w:rsidRDefault="004B5618">
      <w:pPr>
        <w:pStyle w:val="Listepuces"/>
        <w:rPr>
          <w:rFonts w:hint="eastAsia"/>
        </w:rPr>
      </w:pPr>
      <w:r>
        <w:t>Exports Excel, CSV, rapport de preuve et profil JSON.</w:t>
      </w:r>
    </w:p>
    <w:p w:rsidR="00A757DB" w:rsidRDefault="004B5618">
      <w:pPr>
        <w:pStyle w:val="Titre1"/>
      </w:pPr>
      <w:r>
        <w:t>2. Lancement</w:t>
      </w:r>
    </w:p>
    <w:p w:rsidR="00A757DB" w:rsidRDefault="004B5618">
      <w:pPr>
        <w:rPr>
          <w:rFonts w:hint="eastAsia"/>
        </w:rPr>
      </w:pPr>
      <w:r>
        <w:t>Depuis PowerShell, dans le dossier du projet :</w:t>
      </w:r>
    </w:p>
    <w:p w:rsidR="00A757DB" w:rsidRDefault="004B5618">
      <w:pPr>
        <w:pStyle w:val="CodeBlock"/>
        <w:shd w:val="clear" w:color="auto" w:fill="F2F4F8"/>
        <w:ind w:left="283" w:right="283"/>
      </w:pPr>
      <w:r>
        <w:t>cd "C:\chemin\vers\CohortBuilderAria"</w:t>
      </w:r>
      <w:r>
        <w:br/>
        <w:t>python -m pip install -r requirements.txt</w:t>
      </w:r>
      <w:r>
        <w:br/>
        <w:t>python -m streamlit run app2.py</w:t>
      </w:r>
    </w:p>
    <w:p w:rsidR="00A757DB" w:rsidRDefault="004B5618">
      <w:pPr>
        <w:rPr>
          <w:rFonts w:hint="eastAsia"/>
        </w:rPr>
      </w:pPr>
      <w:r>
        <w:t>La configuration SQL est chargée depuis `.streamlit/secrets.toml`. Le pilote ODBC, le serveur et la base sont définis localement sur le poste d’exécution.</w:t>
      </w:r>
    </w:p>
    <w:p w:rsidR="00A757DB" w:rsidRDefault="004B5618">
      <w:pPr>
        <w:pStyle w:val="Titre1"/>
      </w:pPr>
      <w:r>
        <w:t>3. Parcours utilisateur</w:t>
      </w:r>
    </w:p>
    <w:tbl>
      <w:tblPr>
        <w:tblStyle w:val="Grilledutableau"/>
        <w:tblW w:w="0" w:type="auto"/>
        <w:jc w:val="center"/>
        <w:tblLook w:val="04A0" w:firstRow="1" w:lastRow="0" w:firstColumn="1" w:lastColumn="0" w:noHBand="0" w:noVBand="1"/>
      </w:tblPr>
      <w:tblGrid>
        <w:gridCol w:w="4986"/>
        <w:gridCol w:w="4986"/>
      </w:tblGrid>
      <w:tr w:rsidR="00A757DB">
        <w:trPr>
          <w:jc w:val="center"/>
        </w:trPr>
        <w:tc>
          <w:tcPr>
            <w:tcW w:w="4986" w:type="dxa"/>
            <w:shd w:val="clear" w:color="auto" w:fill="243FC4"/>
            <w:vAlign w:val="center"/>
          </w:tcPr>
          <w:p w:rsidR="00A757DB" w:rsidRDefault="004B5618">
            <w:pPr>
              <w:rPr>
                <w:rFonts w:hint="eastAsia"/>
              </w:rPr>
            </w:pPr>
            <w:r>
              <w:rPr>
                <w:b/>
                <w:color w:val="FFFFFF"/>
                <w:sz w:val="18"/>
              </w:rPr>
              <w:t>Étape</w:t>
            </w:r>
          </w:p>
        </w:tc>
        <w:tc>
          <w:tcPr>
            <w:tcW w:w="4986" w:type="dxa"/>
            <w:shd w:val="clear" w:color="auto" w:fill="243FC4"/>
            <w:vAlign w:val="center"/>
          </w:tcPr>
          <w:p w:rsidR="00A757DB" w:rsidRDefault="004B5618">
            <w:pPr>
              <w:rPr>
                <w:rFonts w:hint="eastAsia"/>
              </w:rPr>
            </w:pPr>
            <w:r>
              <w:rPr>
                <w:b/>
                <w:color w:val="FFFFFF"/>
                <w:sz w:val="18"/>
              </w:rPr>
              <w:t>Action</w:t>
            </w:r>
          </w:p>
        </w:tc>
      </w:tr>
      <w:tr w:rsidR="00A757DB">
        <w:trPr>
          <w:jc w:val="center"/>
        </w:trPr>
        <w:tc>
          <w:tcPr>
            <w:tcW w:w="4986" w:type="dxa"/>
            <w:vAlign w:val="center"/>
          </w:tcPr>
          <w:p w:rsidR="00A757DB" w:rsidRDefault="004B5618">
            <w:pPr>
              <w:rPr>
                <w:rFonts w:hint="eastAsia"/>
              </w:rPr>
            </w:pPr>
            <w:r>
              <w:rPr>
                <w:sz w:val="18"/>
              </w:rPr>
              <w:t>Import</w:t>
            </w:r>
          </w:p>
        </w:tc>
        <w:tc>
          <w:tcPr>
            <w:tcW w:w="4986" w:type="dxa"/>
            <w:vAlign w:val="center"/>
          </w:tcPr>
          <w:p w:rsidR="00A757DB" w:rsidRDefault="004B5618">
            <w:pPr>
              <w:rPr>
                <w:rFonts w:hint="eastAsia"/>
              </w:rPr>
            </w:pPr>
            <w:r>
              <w:rPr>
                <w:sz w:val="18"/>
              </w:rPr>
              <w:t>Exécuter les requêtes SQL ou charger les fichiers existants.</w:t>
            </w:r>
          </w:p>
        </w:tc>
      </w:tr>
      <w:tr w:rsidR="00A757DB">
        <w:trPr>
          <w:jc w:val="center"/>
        </w:trPr>
        <w:tc>
          <w:tcPr>
            <w:tcW w:w="4986" w:type="dxa"/>
            <w:shd w:val="clear" w:color="auto" w:fill="F4F7FC"/>
            <w:vAlign w:val="center"/>
          </w:tcPr>
          <w:p w:rsidR="00A757DB" w:rsidRDefault="004B5618">
            <w:pPr>
              <w:rPr>
                <w:rFonts w:hint="eastAsia"/>
              </w:rPr>
            </w:pPr>
            <w:r>
              <w:rPr>
                <w:sz w:val="18"/>
              </w:rPr>
              <w:t>Cohorte</w:t>
            </w:r>
          </w:p>
        </w:tc>
        <w:tc>
          <w:tcPr>
            <w:tcW w:w="4986" w:type="dxa"/>
            <w:shd w:val="clear" w:color="auto" w:fill="F4F7FC"/>
            <w:vAlign w:val="center"/>
          </w:tcPr>
          <w:p w:rsidR="00A757DB" w:rsidRDefault="004B5618">
            <w:pPr>
              <w:rPr>
                <w:rFonts w:hint="eastAsia"/>
              </w:rPr>
            </w:pPr>
            <w:r>
              <w:rPr>
                <w:sz w:val="18"/>
              </w:rPr>
              <w:t>Saisir les CIM10 et appliquer les critères de traitement.</w:t>
            </w:r>
          </w:p>
        </w:tc>
      </w:tr>
      <w:tr w:rsidR="00A757DB">
        <w:trPr>
          <w:jc w:val="center"/>
        </w:trPr>
        <w:tc>
          <w:tcPr>
            <w:tcW w:w="4986" w:type="dxa"/>
            <w:vAlign w:val="center"/>
          </w:tcPr>
          <w:p w:rsidR="00A757DB" w:rsidRDefault="004B5618">
            <w:pPr>
              <w:rPr>
                <w:rFonts w:hint="eastAsia"/>
              </w:rPr>
            </w:pPr>
            <w:r>
              <w:rPr>
                <w:sz w:val="18"/>
              </w:rPr>
              <w:t>Variables</w:t>
            </w:r>
          </w:p>
        </w:tc>
        <w:tc>
          <w:tcPr>
            <w:tcW w:w="4986" w:type="dxa"/>
            <w:vAlign w:val="center"/>
          </w:tcPr>
          <w:p w:rsidR="00A757DB" w:rsidRDefault="004B5618">
            <w:pPr>
              <w:rPr>
                <w:rFonts w:hint="eastAsia"/>
              </w:rPr>
            </w:pPr>
            <w:r>
              <w:rPr>
                <w:sz w:val="18"/>
              </w:rPr>
              <w:t>Choisir les colonnes traitement et formulaire.</w:t>
            </w:r>
          </w:p>
        </w:tc>
      </w:tr>
      <w:tr w:rsidR="00A757DB">
        <w:trPr>
          <w:jc w:val="center"/>
        </w:trPr>
        <w:tc>
          <w:tcPr>
            <w:tcW w:w="4986" w:type="dxa"/>
            <w:shd w:val="clear" w:color="auto" w:fill="F4F7FC"/>
            <w:vAlign w:val="center"/>
          </w:tcPr>
          <w:p w:rsidR="00A757DB" w:rsidRDefault="004B5618">
            <w:pPr>
              <w:rPr>
                <w:rFonts w:hint="eastAsia"/>
              </w:rPr>
            </w:pPr>
            <w:r>
              <w:rPr>
                <w:sz w:val="18"/>
              </w:rPr>
              <w:t>Temporalités</w:t>
            </w:r>
          </w:p>
        </w:tc>
        <w:tc>
          <w:tcPr>
            <w:tcW w:w="4986" w:type="dxa"/>
            <w:shd w:val="clear" w:color="auto" w:fill="F4F7FC"/>
            <w:vAlign w:val="center"/>
          </w:tcPr>
          <w:p w:rsidR="00A757DB" w:rsidRDefault="004B5618">
            <w:pPr>
              <w:rPr>
                <w:rFonts w:hint="eastAsia"/>
              </w:rPr>
            </w:pPr>
            <w:r>
              <w:rPr>
                <w:sz w:val="18"/>
              </w:rPr>
              <w:t>Activer les phases et régler les fenêtres.</w:t>
            </w:r>
          </w:p>
        </w:tc>
      </w:tr>
      <w:tr w:rsidR="00A757DB">
        <w:trPr>
          <w:jc w:val="center"/>
        </w:trPr>
        <w:tc>
          <w:tcPr>
            <w:tcW w:w="4986" w:type="dxa"/>
            <w:vAlign w:val="center"/>
          </w:tcPr>
          <w:p w:rsidR="00A757DB" w:rsidRDefault="004B5618">
            <w:pPr>
              <w:rPr>
                <w:rFonts w:hint="eastAsia"/>
              </w:rPr>
            </w:pPr>
            <w:r>
              <w:rPr>
                <w:sz w:val="18"/>
              </w:rPr>
              <w:t>Construction</w:t>
            </w:r>
          </w:p>
        </w:tc>
        <w:tc>
          <w:tcPr>
            <w:tcW w:w="4986" w:type="dxa"/>
            <w:vAlign w:val="center"/>
          </w:tcPr>
          <w:p w:rsidR="00A757DB" w:rsidRDefault="004B5618">
            <w:pPr>
              <w:rPr>
                <w:rFonts w:hint="eastAsia"/>
              </w:rPr>
            </w:pPr>
            <w:r>
              <w:rPr>
                <w:sz w:val="18"/>
              </w:rPr>
              <w:t>Calculer l’export et le rapport de preuve.</w:t>
            </w:r>
          </w:p>
        </w:tc>
      </w:tr>
      <w:tr w:rsidR="00A757DB">
        <w:trPr>
          <w:jc w:val="center"/>
        </w:trPr>
        <w:tc>
          <w:tcPr>
            <w:tcW w:w="4986" w:type="dxa"/>
            <w:shd w:val="clear" w:color="auto" w:fill="F4F7FC"/>
            <w:vAlign w:val="center"/>
          </w:tcPr>
          <w:p w:rsidR="00A757DB" w:rsidRDefault="004B5618">
            <w:pPr>
              <w:rPr>
                <w:rFonts w:hint="eastAsia"/>
              </w:rPr>
            </w:pPr>
            <w:r>
              <w:rPr>
                <w:sz w:val="18"/>
              </w:rPr>
              <w:t>Résultats</w:t>
            </w:r>
          </w:p>
        </w:tc>
        <w:tc>
          <w:tcPr>
            <w:tcW w:w="4986" w:type="dxa"/>
            <w:shd w:val="clear" w:color="auto" w:fill="F4F7FC"/>
            <w:vAlign w:val="center"/>
          </w:tcPr>
          <w:p w:rsidR="00A757DB" w:rsidRDefault="004B5618">
            <w:pPr>
              <w:rPr>
                <w:rFonts w:hint="eastAsia"/>
              </w:rPr>
            </w:pPr>
            <w:r>
              <w:rPr>
                <w:sz w:val="18"/>
              </w:rPr>
              <w:t>Télécharger Excel, CSV, rapport et profil JSON.</w:t>
            </w:r>
          </w:p>
        </w:tc>
      </w:tr>
    </w:tbl>
    <w:p w:rsidR="00A757DB" w:rsidRDefault="00A757DB">
      <w:pPr>
        <w:rPr>
          <w:rFonts w:hint="eastAsia"/>
        </w:rPr>
      </w:pPr>
    </w:p>
    <w:p w:rsidR="00A757DB" w:rsidRDefault="004B5618">
      <w:pPr>
        <w:pStyle w:val="Titre1"/>
      </w:pPr>
      <w:r>
        <w:t>4. Sources de données</w:t>
      </w:r>
    </w:p>
    <w:tbl>
      <w:tblPr>
        <w:tblStyle w:val="Grilledutableau"/>
        <w:tblW w:w="0" w:type="auto"/>
        <w:jc w:val="center"/>
        <w:tblLook w:val="04A0" w:firstRow="1" w:lastRow="0" w:firstColumn="1" w:lastColumn="0" w:noHBand="0" w:noVBand="1"/>
      </w:tblPr>
      <w:tblGrid>
        <w:gridCol w:w="3324"/>
        <w:gridCol w:w="3324"/>
        <w:gridCol w:w="3324"/>
      </w:tblGrid>
      <w:tr w:rsidR="00A757DB">
        <w:trPr>
          <w:jc w:val="center"/>
        </w:trPr>
        <w:tc>
          <w:tcPr>
            <w:tcW w:w="3324" w:type="dxa"/>
            <w:shd w:val="clear" w:color="auto" w:fill="243FC4"/>
            <w:vAlign w:val="center"/>
          </w:tcPr>
          <w:p w:rsidR="00A757DB" w:rsidRDefault="004B5618">
            <w:pPr>
              <w:rPr>
                <w:rFonts w:hint="eastAsia"/>
              </w:rPr>
            </w:pPr>
            <w:r>
              <w:rPr>
                <w:b/>
                <w:color w:val="FFFFFF"/>
                <w:sz w:val="18"/>
              </w:rPr>
              <w:t>Source</w:t>
            </w:r>
          </w:p>
        </w:tc>
        <w:tc>
          <w:tcPr>
            <w:tcW w:w="3324" w:type="dxa"/>
            <w:shd w:val="clear" w:color="auto" w:fill="243FC4"/>
            <w:vAlign w:val="center"/>
          </w:tcPr>
          <w:p w:rsidR="00A757DB" w:rsidRDefault="004B5618">
            <w:pPr>
              <w:rPr>
                <w:rFonts w:hint="eastAsia"/>
              </w:rPr>
            </w:pPr>
            <w:r>
              <w:rPr>
                <w:b/>
                <w:color w:val="FFFFFF"/>
                <w:sz w:val="18"/>
              </w:rPr>
              <w:t>Rôle</w:t>
            </w:r>
          </w:p>
        </w:tc>
        <w:tc>
          <w:tcPr>
            <w:tcW w:w="3324" w:type="dxa"/>
            <w:shd w:val="clear" w:color="auto" w:fill="243FC4"/>
            <w:vAlign w:val="center"/>
          </w:tcPr>
          <w:p w:rsidR="00A757DB" w:rsidRDefault="004B5618">
            <w:pPr>
              <w:rPr>
                <w:rFonts w:hint="eastAsia"/>
              </w:rPr>
            </w:pPr>
            <w:r>
              <w:rPr>
                <w:b/>
                <w:color w:val="FFFFFF"/>
                <w:sz w:val="18"/>
              </w:rPr>
              <w:t>Éléments structurants</w:t>
            </w:r>
          </w:p>
        </w:tc>
      </w:tr>
      <w:tr w:rsidR="00A757DB">
        <w:trPr>
          <w:jc w:val="center"/>
        </w:trPr>
        <w:tc>
          <w:tcPr>
            <w:tcW w:w="3324" w:type="dxa"/>
            <w:vAlign w:val="center"/>
          </w:tcPr>
          <w:p w:rsidR="00A757DB" w:rsidRDefault="004B5618">
            <w:pPr>
              <w:rPr>
                <w:rFonts w:hint="eastAsia"/>
              </w:rPr>
            </w:pPr>
            <w:r>
              <w:rPr>
                <w:sz w:val="18"/>
              </w:rPr>
              <w:t>traitement_patient</w:t>
            </w:r>
          </w:p>
        </w:tc>
        <w:tc>
          <w:tcPr>
            <w:tcW w:w="3324" w:type="dxa"/>
            <w:vAlign w:val="center"/>
          </w:tcPr>
          <w:p w:rsidR="00A757DB" w:rsidRDefault="004B5618">
            <w:pPr>
              <w:rPr>
                <w:rFonts w:hint="eastAsia"/>
              </w:rPr>
            </w:pPr>
            <w:r>
              <w:rPr>
                <w:sz w:val="18"/>
              </w:rPr>
              <w:t>Définition de la cohorte et informations de traitement</w:t>
            </w:r>
          </w:p>
        </w:tc>
        <w:tc>
          <w:tcPr>
            <w:tcW w:w="3324" w:type="dxa"/>
            <w:vAlign w:val="center"/>
          </w:tcPr>
          <w:p w:rsidR="00A757DB" w:rsidRDefault="004B5618">
            <w:pPr>
              <w:rPr>
                <w:rFonts w:hint="eastAsia"/>
              </w:rPr>
            </w:pPr>
            <w:r>
              <w:rPr>
                <w:sz w:val="18"/>
              </w:rPr>
              <w:t>Identifiants, CIM10, dates, dose, fractions</w:t>
            </w:r>
          </w:p>
        </w:tc>
      </w:tr>
      <w:tr w:rsidR="00A757DB">
        <w:trPr>
          <w:jc w:val="center"/>
        </w:trPr>
        <w:tc>
          <w:tcPr>
            <w:tcW w:w="3324" w:type="dxa"/>
            <w:shd w:val="clear" w:color="auto" w:fill="F4F7FC"/>
            <w:vAlign w:val="center"/>
          </w:tcPr>
          <w:p w:rsidR="00A757DB" w:rsidRDefault="004B5618">
            <w:pPr>
              <w:rPr>
                <w:rFonts w:hint="eastAsia"/>
              </w:rPr>
            </w:pPr>
            <w:r>
              <w:rPr>
                <w:sz w:val="18"/>
              </w:rPr>
              <w:t>formulaire_patient</w:t>
            </w:r>
          </w:p>
        </w:tc>
        <w:tc>
          <w:tcPr>
            <w:tcW w:w="3324" w:type="dxa"/>
            <w:shd w:val="clear" w:color="auto" w:fill="F4F7FC"/>
            <w:vAlign w:val="center"/>
          </w:tcPr>
          <w:p w:rsidR="00A757DB" w:rsidRDefault="004B5618">
            <w:pPr>
              <w:rPr>
                <w:rFonts w:hint="eastAsia"/>
              </w:rPr>
            </w:pPr>
            <w:r>
              <w:rPr>
                <w:sz w:val="18"/>
              </w:rPr>
              <w:t>Observations cliniques datées</w:t>
            </w:r>
          </w:p>
        </w:tc>
        <w:tc>
          <w:tcPr>
            <w:tcW w:w="3324" w:type="dxa"/>
            <w:shd w:val="clear" w:color="auto" w:fill="F4F7FC"/>
            <w:vAlign w:val="center"/>
          </w:tcPr>
          <w:p w:rsidR="00A757DB" w:rsidRDefault="004B5618">
            <w:pPr>
              <w:rPr>
                <w:rFonts w:hint="eastAsia"/>
              </w:rPr>
            </w:pPr>
            <w:r>
              <w:rPr>
                <w:sz w:val="18"/>
              </w:rPr>
              <w:t>pt_id, date_event, variables de formulaire</w:t>
            </w:r>
          </w:p>
        </w:tc>
      </w:tr>
      <w:tr w:rsidR="00A757DB">
        <w:trPr>
          <w:jc w:val="center"/>
        </w:trPr>
        <w:tc>
          <w:tcPr>
            <w:tcW w:w="3324" w:type="dxa"/>
            <w:vAlign w:val="center"/>
          </w:tcPr>
          <w:p w:rsidR="00A757DB" w:rsidRDefault="004B5618">
            <w:pPr>
              <w:rPr>
                <w:rFonts w:hint="eastAsia"/>
              </w:rPr>
            </w:pPr>
            <w:r>
              <w:rPr>
                <w:sz w:val="18"/>
              </w:rPr>
              <w:t>ethos_patient</w:t>
            </w:r>
          </w:p>
        </w:tc>
        <w:tc>
          <w:tcPr>
            <w:tcW w:w="3324" w:type="dxa"/>
            <w:vAlign w:val="center"/>
          </w:tcPr>
          <w:p w:rsidR="00A757DB" w:rsidRDefault="004B5618">
            <w:pPr>
              <w:rPr>
                <w:rFonts w:hint="eastAsia"/>
              </w:rPr>
            </w:pPr>
            <w:r>
              <w:rPr>
                <w:sz w:val="18"/>
              </w:rPr>
              <w:t>Complément optionnel des traitements ETHOS</w:t>
            </w:r>
          </w:p>
        </w:tc>
        <w:tc>
          <w:tcPr>
            <w:tcW w:w="3324" w:type="dxa"/>
            <w:vAlign w:val="center"/>
          </w:tcPr>
          <w:p w:rsidR="00A757DB" w:rsidRDefault="004B5618">
            <w:pPr>
              <w:rPr>
                <w:rFonts w:hint="eastAsia"/>
              </w:rPr>
            </w:pPr>
            <w:r>
              <w:rPr>
                <w:sz w:val="18"/>
              </w:rPr>
              <w:t>Dates et dose réalisée</w:t>
            </w:r>
          </w:p>
        </w:tc>
      </w:tr>
      <w:tr w:rsidR="00A757DB">
        <w:trPr>
          <w:jc w:val="center"/>
        </w:trPr>
        <w:tc>
          <w:tcPr>
            <w:tcW w:w="3324" w:type="dxa"/>
            <w:shd w:val="clear" w:color="auto" w:fill="F4F7FC"/>
            <w:vAlign w:val="center"/>
          </w:tcPr>
          <w:p w:rsidR="00A757DB" w:rsidRDefault="004B5618">
            <w:pPr>
              <w:rPr>
                <w:rFonts w:hint="eastAsia"/>
              </w:rPr>
            </w:pPr>
            <w:r>
              <w:rPr>
                <w:sz w:val="18"/>
              </w:rPr>
              <w:t>mapping</w:t>
            </w:r>
          </w:p>
        </w:tc>
        <w:tc>
          <w:tcPr>
            <w:tcW w:w="3324" w:type="dxa"/>
            <w:shd w:val="clear" w:color="auto" w:fill="F4F7FC"/>
            <w:vAlign w:val="center"/>
          </w:tcPr>
          <w:p w:rsidR="00A757DB" w:rsidRDefault="004B5618">
            <w:pPr>
              <w:rPr>
                <w:rFonts w:hint="eastAsia"/>
              </w:rPr>
            </w:pPr>
            <w:r>
              <w:rPr>
                <w:sz w:val="18"/>
              </w:rPr>
              <w:t>Aide à la sélection par localisation/CIM10</w:t>
            </w:r>
          </w:p>
        </w:tc>
        <w:tc>
          <w:tcPr>
            <w:tcW w:w="3324" w:type="dxa"/>
            <w:shd w:val="clear" w:color="auto" w:fill="F4F7FC"/>
            <w:vAlign w:val="center"/>
          </w:tcPr>
          <w:p w:rsidR="00A757DB" w:rsidRDefault="004B5618">
            <w:pPr>
              <w:rPr>
                <w:rFonts w:hint="eastAsia"/>
              </w:rPr>
            </w:pPr>
            <w:r>
              <w:rPr>
                <w:sz w:val="18"/>
              </w:rPr>
              <w:t>Code, description, groupe</w:t>
            </w:r>
          </w:p>
        </w:tc>
      </w:tr>
      <w:tr w:rsidR="00A757DB">
        <w:trPr>
          <w:jc w:val="center"/>
        </w:trPr>
        <w:tc>
          <w:tcPr>
            <w:tcW w:w="3324" w:type="dxa"/>
            <w:vAlign w:val="center"/>
          </w:tcPr>
          <w:p w:rsidR="00A757DB" w:rsidRDefault="004B5618">
            <w:pPr>
              <w:rPr>
                <w:rFonts w:hint="eastAsia"/>
              </w:rPr>
            </w:pPr>
            <w:r>
              <w:rPr>
                <w:sz w:val="18"/>
              </w:rPr>
              <w:t>profil JSON</w:t>
            </w:r>
          </w:p>
        </w:tc>
        <w:tc>
          <w:tcPr>
            <w:tcW w:w="3324" w:type="dxa"/>
            <w:vAlign w:val="center"/>
          </w:tcPr>
          <w:p w:rsidR="00A757DB" w:rsidRDefault="004B5618">
            <w:pPr>
              <w:rPr>
                <w:rFonts w:hint="eastAsia"/>
              </w:rPr>
            </w:pPr>
            <w:r>
              <w:rPr>
                <w:sz w:val="18"/>
              </w:rPr>
              <w:t>Réutilisation d’une configuration</w:t>
            </w:r>
          </w:p>
        </w:tc>
        <w:tc>
          <w:tcPr>
            <w:tcW w:w="3324" w:type="dxa"/>
            <w:vAlign w:val="center"/>
          </w:tcPr>
          <w:p w:rsidR="00A757DB" w:rsidRDefault="004B5618">
            <w:pPr>
              <w:rPr>
                <w:rFonts w:hint="eastAsia"/>
              </w:rPr>
            </w:pPr>
            <w:r>
              <w:rPr>
                <w:sz w:val="18"/>
              </w:rPr>
              <w:t>Paramètres et variables</w:t>
            </w:r>
          </w:p>
        </w:tc>
      </w:tr>
    </w:tbl>
    <w:p w:rsidR="00A757DB" w:rsidRDefault="00A757DB">
      <w:pPr>
        <w:rPr>
          <w:rFonts w:hint="eastAsia"/>
        </w:rPr>
      </w:pPr>
    </w:p>
    <w:p w:rsidR="00A757DB" w:rsidRDefault="004B5618">
      <w:pPr>
        <w:pStyle w:val="Titre1"/>
      </w:pPr>
      <w:r>
        <w:t>5. Architecture</w:t>
      </w:r>
    </w:p>
    <w:p w:rsidR="00A757DB" w:rsidRDefault="004B5618">
      <w:pPr>
        <w:rPr>
          <w:rFonts w:hint="eastAsia"/>
        </w:rPr>
      </w:pPr>
      <w:r>
        <w:t>`app2.py` orchestre l’interface. Les fonctions métier sont réparties dans `utils/` afin de séparer la présentation, les accès aux données et les transformations.</w:t>
      </w:r>
    </w:p>
    <w:tbl>
      <w:tblPr>
        <w:tblStyle w:val="Grilledutableau"/>
        <w:tblW w:w="0" w:type="auto"/>
        <w:jc w:val="center"/>
        <w:tblLook w:val="04A0" w:firstRow="1" w:lastRow="0" w:firstColumn="1" w:lastColumn="0" w:noHBand="0" w:noVBand="1"/>
      </w:tblPr>
      <w:tblGrid>
        <w:gridCol w:w="4986"/>
        <w:gridCol w:w="4986"/>
      </w:tblGrid>
      <w:tr w:rsidR="00A757DB">
        <w:trPr>
          <w:jc w:val="center"/>
        </w:trPr>
        <w:tc>
          <w:tcPr>
            <w:tcW w:w="4986" w:type="dxa"/>
            <w:shd w:val="clear" w:color="auto" w:fill="243FC4"/>
            <w:vAlign w:val="center"/>
          </w:tcPr>
          <w:p w:rsidR="00A757DB" w:rsidRDefault="004B5618">
            <w:pPr>
              <w:rPr>
                <w:rFonts w:hint="eastAsia"/>
              </w:rPr>
            </w:pPr>
            <w:r>
              <w:rPr>
                <w:b/>
                <w:color w:val="FFFFFF"/>
                <w:sz w:val="18"/>
              </w:rPr>
              <w:t>Module</w:t>
            </w:r>
          </w:p>
        </w:tc>
        <w:tc>
          <w:tcPr>
            <w:tcW w:w="4986" w:type="dxa"/>
            <w:shd w:val="clear" w:color="auto" w:fill="243FC4"/>
            <w:vAlign w:val="center"/>
          </w:tcPr>
          <w:p w:rsidR="00A757DB" w:rsidRDefault="004B5618">
            <w:pPr>
              <w:rPr>
                <w:rFonts w:hint="eastAsia"/>
              </w:rPr>
            </w:pPr>
            <w:r>
              <w:rPr>
                <w:b/>
                <w:color w:val="FFFFFF"/>
                <w:sz w:val="18"/>
              </w:rPr>
              <w:t>Responsabilité</w:t>
            </w:r>
          </w:p>
        </w:tc>
      </w:tr>
      <w:tr w:rsidR="00A757DB">
        <w:trPr>
          <w:jc w:val="center"/>
        </w:trPr>
        <w:tc>
          <w:tcPr>
            <w:tcW w:w="4986" w:type="dxa"/>
            <w:vAlign w:val="center"/>
          </w:tcPr>
          <w:p w:rsidR="00A757DB" w:rsidRDefault="004B5618">
            <w:pPr>
              <w:rPr>
                <w:rFonts w:hint="eastAsia"/>
              </w:rPr>
            </w:pPr>
            <w:r>
              <w:rPr>
                <w:sz w:val="18"/>
              </w:rPr>
              <w:t>sql_extract.py</w:t>
            </w:r>
          </w:p>
        </w:tc>
        <w:tc>
          <w:tcPr>
            <w:tcW w:w="4986" w:type="dxa"/>
            <w:vAlign w:val="center"/>
          </w:tcPr>
          <w:p w:rsidR="00A757DB" w:rsidRDefault="004B5618">
            <w:pPr>
              <w:rPr>
                <w:rFonts w:hint="eastAsia"/>
              </w:rPr>
            </w:pPr>
            <w:r>
              <w:rPr>
                <w:sz w:val="18"/>
              </w:rPr>
              <w:t>Connexion SQL, exécution des scripts, génération des extractions</w:t>
            </w:r>
          </w:p>
        </w:tc>
      </w:tr>
      <w:tr w:rsidR="00A757DB">
        <w:trPr>
          <w:jc w:val="center"/>
        </w:trPr>
        <w:tc>
          <w:tcPr>
            <w:tcW w:w="4986" w:type="dxa"/>
            <w:shd w:val="clear" w:color="auto" w:fill="F4F7FC"/>
            <w:vAlign w:val="center"/>
          </w:tcPr>
          <w:p w:rsidR="00A757DB" w:rsidRDefault="004B5618">
            <w:pPr>
              <w:rPr>
                <w:rFonts w:hint="eastAsia"/>
              </w:rPr>
            </w:pPr>
            <w:r>
              <w:rPr>
                <w:sz w:val="18"/>
              </w:rPr>
              <w:t>load.py</w:t>
            </w:r>
          </w:p>
        </w:tc>
        <w:tc>
          <w:tcPr>
            <w:tcW w:w="4986" w:type="dxa"/>
            <w:shd w:val="clear" w:color="auto" w:fill="F4F7FC"/>
            <w:vAlign w:val="center"/>
          </w:tcPr>
          <w:p w:rsidR="00A757DB" w:rsidRDefault="004B5618">
            <w:pPr>
              <w:rPr>
                <w:rFonts w:hint="eastAsia"/>
              </w:rPr>
            </w:pPr>
            <w:r>
              <w:rPr>
                <w:sz w:val="18"/>
              </w:rPr>
              <w:t>Lecture CSV/ZIP/Excel et traitement en streaming</w:t>
            </w:r>
          </w:p>
        </w:tc>
      </w:tr>
      <w:tr w:rsidR="00A757DB">
        <w:trPr>
          <w:jc w:val="center"/>
        </w:trPr>
        <w:tc>
          <w:tcPr>
            <w:tcW w:w="4986" w:type="dxa"/>
            <w:vAlign w:val="center"/>
          </w:tcPr>
          <w:p w:rsidR="00A757DB" w:rsidRDefault="004B5618">
            <w:pPr>
              <w:rPr>
                <w:rFonts w:hint="eastAsia"/>
              </w:rPr>
            </w:pPr>
            <w:r>
              <w:rPr>
                <w:sz w:val="18"/>
              </w:rPr>
              <w:lastRenderedPageBreak/>
              <w:t>clean.py</w:t>
            </w:r>
          </w:p>
        </w:tc>
        <w:tc>
          <w:tcPr>
            <w:tcW w:w="4986" w:type="dxa"/>
            <w:vAlign w:val="center"/>
          </w:tcPr>
          <w:p w:rsidR="00A757DB" w:rsidRDefault="004B5618">
            <w:pPr>
              <w:rPr>
                <w:rFonts w:hint="eastAsia"/>
              </w:rPr>
            </w:pPr>
            <w:r>
              <w:rPr>
                <w:sz w:val="18"/>
              </w:rPr>
              <w:t>Normalisation des identifiants et nettoyage contrôlé</w:t>
            </w:r>
          </w:p>
        </w:tc>
      </w:tr>
      <w:tr w:rsidR="00A757DB">
        <w:trPr>
          <w:jc w:val="center"/>
        </w:trPr>
        <w:tc>
          <w:tcPr>
            <w:tcW w:w="4986" w:type="dxa"/>
            <w:shd w:val="clear" w:color="auto" w:fill="F4F7FC"/>
            <w:vAlign w:val="center"/>
          </w:tcPr>
          <w:p w:rsidR="00A757DB" w:rsidRDefault="004B5618">
            <w:pPr>
              <w:rPr>
                <w:rFonts w:hint="eastAsia"/>
              </w:rPr>
            </w:pPr>
            <w:r>
              <w:rPr>
                <w:sz w:val="18"/>
              </w:rPr>
              <w:t>cohort.py</w:t>
            </w:r>
          </w:p>
        </w:tc>
        <w:tc>
          <w:tcPr>
            <w:tcW w:w="4986" w:type="dxa"/>
            <w:shd w:val="clear" w:color="auto" w:fill="F4F7FC"/>
            <w:vAlign w:val="center"/>
          </w:tcPr>
          <w:p w:rsidR="00A757DB" w:rsidRDefault="004B5618">
            <w:pPr>
              <w:rPr>
                <w:rFonts w:hint="eastAsia"/>
              </w:rPr>
            </w:pPr>
            <w:r>
              <w:rPr>
                <w:sz w:val="18"/>
              </w:rPr>
              <w:t>Résolution des colonnes, filtrage et base patient</w:t>
            </w:r>
          </w:p>
        </w:tc>
      </w:tr>
      <w:tr w:rsidR="00A757DB">
        <w:trPr>
          <w:jc w:val="center"/>
        </w:trPr>
        <w:tc>
          <w:tcPr>
            <w:tcW w:w="4986" w:type="dxa"/>
            <w:vAlign w:val="center"/>
          </w:tcPr>
          <w:p w:rsidR="00A757DB" w:rsidRDefault="004B5618">
            <w:pPr>
              <w:rPr>
                <w:rFonts w:hint="eastAsia"/>
              </w:rPr>
            </w:pPr>
            <w:r>
              <w:rPr>
                <w:sz w:val="18"/>
              </w:rPr>
              <w:t>temporal.py</w:t>
            </w:r>
          </w:p>
        </w:tc>
        <w:tc>
          <w:tcPr>
            <w:tcW w:w="4986" w:type="dxa"/>
            <w:vAlign w:val="center"/>
          </w:tcPr>
          <w:p w:rsidR="00A757DB" w:rsidRDefault="004B5618">
            <w:pPr>
              <w:rPr>
                <w:rFonts w:hint="eastAsia"/>
              </w:rPr>
            </w:pPr>
            <w:r>
              <w:rPr>
                <w:sz w:val="18"/>
              </w:rPr>
              <w:t>Fenêtres temporelles, décodage et agrégation</w:t>
            </w:r>
          </w:p>
        </w:tc>
      </w:tr>
      <w:tr w:rsidR="00A757DB">
        <w:trPr>
          <w:jc w:val="center"/>
        </w:trPr>
        <w:tc>
          <w:tcPr>
            <w:tcW w:w="4986" w:type="dxa"/>
            <w:shd w:val="clear" w:color="auto" w:fill="F4F7FC"/>
            <w:vAlign w:val="center"/>
          </w:tcPr>
          <w:p w:rsidR="00A757DB" w:rsidRDefault="004B5618">
            <w:pPr>
              <w:rPr>
                <w:rFonts w:hint="eastAsia"/>
              </w:rPr>
            </w:pPr>
            <w:r>
              <w:rPr>
                <w:sz w:val="18"/>
              </w:rPr>
              <w:t>quality.py</w:t>
            </w:r>
          </w:p>
        </w:tc>
        <w:tc>
          <w:tcPr>
            <w:tcW w:w="4986" w:type="dxa"/>
            <w:shd w:val="clear" w:color="auto" w:fill="F4F7FC"/>
            <w:vAlign w:val="center"/>
          </w:tcPr>
          <w:p w:rsidR="00A757DB" w:rsidRDefault="004B5618">
            <w:pPr>
              <w:rPr>
                <w:rFonts w:hint="eastAsia"/>
              </w:rPr>
            </w:pPr>
            <w:r>
              <w:rPr>
                <w:sz w:val="18"/>
              </w:rPr>
              <w:t>Contrôles et description du pipeline</w:t>
            </w:r>
          </w:p>
        </w:tc>
      </w:tr>
      <w:tr w:rsidR="00A757DB">
        <w:trPr>
          <w:jc w:val="center"/>
        </w:trPr>
        <w:tc>
          <w:tcPr>
            <w:tcW w:w="4986" w:type="dxa"/>
            <w:vAlign w:val="center"/>
          </w:tcPr>
          <w:p w:rsidR="00A757DB" w:rsidRDefault="004B5618">
            <w:pPr>
              <w:rPr>
                <w:rFonts w:hint="eastAsia"/>
              </w:rPr>
            </w:pPr>
            <w:r>
              <w:rPr>
                <w:sz w:val="18"/>
              </w:rPr>
              <w:t>export.py</w:t>
            </w:r>
          </w:p>
        </w:tc>
        <w:tc>
          <w:tcPr>
            <w:tcW w:w="4986" w:type="dxa"/>
            <w:vAlign w:val="center"/>
          </w:tcPr>
          <w:p w:rsidR="00A757DB" w:rsidRDefault="004B5618">
            <w:pPr>
              <w:rPr>
                <w:rFonts w:hint="eastAsia"/>
              </w:rPr>
            </w:pPr>
            <w:r>
              <w:rPr>
                <w:sz w:val="18"/>
              </w:rPr>
              <w:t>Exports finaux et rapport de preuve</w:t>
            </w:r>
          </w:p>
        </w:tc>
      </w:tr>
      <w:tr w:rsidR="00A757DB">
        <w:trPr>
          <w:jc w:val="center"/>
        </w:trPr>
        <w:tc>
          <w:tcPr>
            <w:tcW w:w="4986" w:type="dxa"/>
            <w:shd w:val="clear" w:color="auto" w:fill="F4F7FC"/>
            <w:vAlign w:val="center"/>
          </w:tcPr>
          <w:p w:rsidR="00A757DB" w:rsidRDefault="004B5618">
            <w:pPr>
              <w:rPr>
                <w:rFonts w:hint="eastAsia"/>
              </w:rPr>
            </w:pPr>
            <w:r>
              <w:rPr>
                <w:sz w:val="18"/>
              </w:rPr>
              <w:t>profile.py</w:t>
            </w:r>
          </w:p>
        </w:tc>
        <w:tc>
          <w:tcPr>
            <w:tcW w:w="4986" w:type="dxa"/>
            <w:shd w:val="clear" w:color="auto" w:fill="F4F7FC"/>
            <w:vAlign w:val="center"/>
          </w:tcPr>
          <w:p w:rsidR="00A757DB" w:rsidRDefault="004B5618">
            <w:pPr>
              <w:rPr>
                <w:rFonts w:hint="eastAsia"/>
              </w:rPr>
            </w:pPr>
            <w:r>
              <w:rPr>
                <w:sz w:val="18"/>
              </w:rPr>
              <w:t>Lecture et génération des profils JSON</w:t>
            </w:r>
          </w:p>
        </w:tc>
      </w:tr>
    </w:tbl>
    <w:p w:rsidR="00A757DB" w:rsidRDefault="00A757DB">
      <w:pPr>
        <w:rPr>
          <w:rFonts w:hint="eastAsia"/>
        </w:rPr>
      </w:pPr>
    </w:p>
    <w:p w:rsidR="00A757DB" w:rsidRDefault="004B5618">
      <w:pPr>
        <w:pStyle w:val="Titre1"/>
      </w:pPr>
      <w:r>
        <w:t>6. Construction de la cohorte</w:t>
      </w:r>
    </w:p>
    <w:p w:rsidR="00A757DB" w:rsidRDefault="004B5618">
      <w:pPr>
        <w:rPr>
          <w:rFonts w:hint="eastAsia"/>
        </w:rPr>
      </w:pPr>
      <w:r>
        <w:t>L’application résout les variantes de noms de colonnes vers six rôles : identifiant patient, CIM10, dose, nombre de fractions, date de début et date de fin. Les CIM10 multiples présents dans une cellule sont analysés séparément. Une dose multi-valeurs est considérée comme non nulle dès qu’au moins une valeur numérique est positive.</w:t>
      </w:r>
    </w:p>
    <w:p w:rsidR="00A757DB" w:rsidRDefault="004B5618">
      <w:pPr>
        <w:rPr>
          <w:rFonts w:hint="eastAsia"/>
        </w:rPr>
      </w:pPr>
      <w:r>
        <w:t>La base patient est ensuite agrégée à une ligne par clé de jointure. `startD` correspond à la première date de traitement retenue et `endD` à la dernière.</w:t>
      </w:r>
    </w:p>
    <w:p w:rsidR="00A757DB" w:rsidRDefault="004B5618">
      <w:pPr>
        <w:pStyle w:val="Titre1"/>
      </w:pPr>
      <w:r>
        <w:t>7. Temporalités et agrégation</w:t>
      </w:r>
    </w:p>
    <w:p w:rsidR="00A757DB" w:rsidRDefault="004B5618">
      <w:pPr>
        <w:rPr>
          <w:rFonts w:hint="eastAsia"/>
        </w:rPr>
      </w:pPr>
      <w:r>
        <w:t>Les observations de formulaire sont converties en format long, rapprochées de la base patient et réparties selon leur date par rapport à `startD` ou `endD`.</w:t>
      </w:r>
    </w:p>
    <w:tbl>
      <w:tblPr>
        <w:tblStyle w:val="Grilledutableau"/>
        <w:tblW w:w="0" w:type="auto"/>
        <w:jc w:val="center"/>
        <w:tblLook w:val="04A0" w:firstRow="1" w:lastRow="0" w:firstColumn="1" w:lastColumn="0" w:noHBand="0" w:noVBand="1"/>
      </w:tblPr>
      <w:tblGrid>
        <w:gridCol w:w="4986"/>
        <w:gridCol w:w="4986"/>
      </w:tblGrid>
      <w:tr w:rsidR="00A757DB">
        <w:trPr>
          <w:jc w:val="center"/>
        </w:trPr>
        <w:tc>
          <w:tcPr>
            <w:tcW w:w="4986" w:type="dxa"/>
            <w:shd w:val="clear" w:color="auto" w:fill="243FC4"/>
            <w:vAlign w:val="center"/>
          </w:tcPr>
          <w:p w:rsidR="00A757DB" w:rsidRDefault="004B5618">
            <w:pPr>
              <w:rPr>
                <w:rFonts w:hint="eastAsia"/>
              </w:rPr>
            </w:pPr>
            <w:r>
              <w:rPr>
                <w:b/>
                <w:color w:val="FFFFFF"/>
                <w:sz w:val="18"/>
              </w:rPr>
              <w:t>Phase</w:t>
            </w:r>
          </w:p>
        </w:tc>
        <w:tc>
          <w:tcPr>
            <w:tcW w:w="4986" w:type="dxa"/>
            <w:shd w:val="clear" w:color="auto" w:fill="243FC4"/>
            <w:vAlign w:val="center"/>
          </w:tcPr>
          <w:p w:rsidR="00A757DB" w:rsidRDefault="004B5618">
            <w:pPr>
              <w:rPr>
                <w:rFonts w:hint="eastAsia"/>
              </w:rPr>
            </w:pPr>
            <w:r>
              <w:rPr>
                <w:b/>
                <w:color w:val="FFFFFF"/>
                <w:sz w:val="18"/>
              </w:rPr>
              <w:t>Principe</w:t>
            </w:r>
          </w:p>
        </w:tc>
      </w:tr>
      <w:tr w:rsidR="00A757DB">
        <w:trPr>
          <w:jc w:val="center"/>
        </w:trPr>
        <w:tc>
          <w:tcPr>
            <w:tcW w:w="4986" w:type="dxa"/>
            <w:vAlign w:val="center"/>
          </w:tcPr>
          <w:p w:rsidR="00A757DB" w:rsidRDefault="004B5618">
            <w:pPr>
              <w:rPr>
                <w:rFonts w:hint="eastAsia"/>
              </w:rPr>
            </w:pPr>
            <w:r>
              <w:rPr>
                <w:sz w:val="18"/>
              </w:rPr>
              <w:t>Cumul</w:t>
            </w:r>
          </w:p>
        </w:tc>
        <w:tc>
          <w:tcPr>
            <w:tcW w:w="4986" w:type="dxa"/>
            <w:vAlign w:val="center"/>
          </w:tcPr>
          <w:p w:rsidR="00A757DB" w:rsidRDefault="004B5618">
            <w:pPr>
              <w:rPr>
                <w:rFonts w:hint="eastAsia"/>
              </w:rPr>
            </w:pPr>
            <w:r>
              <w:rPr>
                <w:sz w:val="18"/>
              </w:rPr>
              <w:t>Toutes les observations, dans l’ordre chronologique.</w:t>
            </w:r>
          </w:p>
        </w:tc>
      </w:tr>
      <w:tr w:rsidR="00A757DB">
        <w:trPr>
          <w:jc w:val="center"/>
        </w:trPr>
        <w:tc>
          <w:tcPr>
            <w:tcW w:w="4986" w:type="dxa"/>
            <w:shd w:val="clear" w:color="auto" w:fill="F4F7FC"/>
            <w:vAlign w:val="center"/>
          </w:tcPr>
          <w:p w:rsidR="00A757DB" w:rsidRDefault="004B5618">
            <w:pPr>
              <w:rPr>
                <w:rFonts w:hint="eastAsia"/>
              </w:rPr>
            </w:pPr>
            <w:r>
              <w:rPr>
                <w:sz w:val="18"/>
              </w:rPr>
              <w:t>Avant RT</w:t>
            </w:r>
          </w:p>
        </w:tc>
        <w:tc>
          <w:tcPr>
            <w:tcW w:w="4986" w:type="dxa"/>
            <w:shd w:val="clear" w:color="auto" w:fill="F4F7FC"/>
            <w:vAlign w:val="center"/>
          </w:tcPr>
          <w:p w:rsidR="00A757DB" w:rsidRDefault="004B5618">
            <w:pPr>
              <w:rPr>
                <w:rFonts w:hint="eastAsia"/>
              </w:rPr>
            </w:pPr>
            <w:r>
              <w:rPr>
                <w:sz w:val="18"/>
              </w:rPr>
              <w:t>Observations antérieures à startD, par cumul et semaines.</w:t>
            </w:r>
          </w:p>
        </w:tc>
      </w:tr>
      <w:tr w:rsidR="00A757DB">
        <w:trPr>
          <w:jc w:val="center"/>
        </w:trPr>
        <w:tc>
          <w:tcPr>
            <w:tcW w:w="4986" w:type="dxa"/>
            <w:vAlign w:val="center"/>
          </w:tcPr>
          <w:p w:rsidR="00A757DB" w:rsidRDefault="004B5618">
            <w:pPr>
              <w:rPr>
                <w:rFonts w:hint="eastAsia"/>
              </w:rPr>
            </w:pPr>
            <w:r>
              <w:rPr>
                <w:sz w:val="18"/>
              </w:rPr>
              <w:t>Aigu</w:t>
            </w:r>
          </w:p>
        </w:tc>
        <w:tc>
          <w:tcPr>
            <w:tcW w:w="4986" w:type="dxa"/>
            <w:vAlign w:val="center"/>
          </w:tcPr>
          <w:p w:rsidR="00A757DB" w:rsidRDefault="004B5618">
            <w:pPr>
              <w:rPr>
                <w:rFonts w:hint="eastAsia"/>
              </w:rPr>
            </w:pPr>
            <w:r>
              <w:rPr>
                <w:sz w:val="18"/>
              </w:rPr>
              <w:t>Observations pendant le traitement, par semaines.</w:t>
            </w:r>
          </w:p>
        </w:tc>
      </w:tr>
      <w:tr w:rsidR="00A757DB">
        <w:trPr>
          <w:jc w:val="center"/>
        </w:trPr>
        <w:tc>
          <w:tcPr>
            <w:tcW w:w="4986" w:type="dxa"/>
            <w:shd w:val="clear" w:color="auto" w:fill="F4F7FC"/>
            <w:vAlign w:val="center"/>
          </w:tcPr>
          <w:p w:rsidR="00A757DB" w:rsidRDefault="004B5618">
            <w:pPr>
              <w:rPr>
                <w:rFonts w:hint="eastAsia"/>
              </w:rPr>
            </w:pPr>
            <w:r>
              <w:rPr>
                <w:sz w:val="18"/>
              </w:rPr>
              <w:t>Tardif</w:t>
            </w:r>
          </w:p>
        </w:tc>
        <w:tc>
          <w:tcPr>
            <w:tcW w:w="4986" w:type="dxa"/>
            <w:shd w:val="clear" w:color="auto" w:fill="F4F7FC"/>
            <w:vAlign w:val="center"/>
          </w:tcPr>
          <w:p w:rsidR="00A757DB" w:rsidRDefault="004B5618">
            <w:pPr>
              <w:rPr>
                <w:rFonts w:hint="eastAsia"/>
              </w:rPr>
            </w:pPr>
            <w:r>
              <w:rPr>
                <w:sz w:val="18"/>
              </w:rPr>
              <w:t>Observations après endD, par semaines et intervalles mensuels.</w:t>
            </w:r>
          </w:p>
        </w:tc>
      </w:tr>
    </w:tbl>
    <w:p w:rsidR="00A757DB" w:rsidRDefault="00A757DB">
      <w:pPr>
        <w:rPr>
          <w:rFonts w:hint="eastAsia"/>
        </w:rPr>
      </w:pPr>
    </w:p>
    <w:p w:rsidR="00A757DB" w:rsidRDefault="004B5618">
      <w:pPr>
        <w:rPr>
          <w:rFonts w:hint="eastAsia"/>
        </w:rPr>
      </w:pPr>
      <w:r>
        <w:t>Pour une fenêtre non cumulative, la première date est retenue. Pour plusieurs valeurs le même jour, les valeurs numériques sont résolues par le maximum, les codes binaires par OU logique et les valeurs textuelles par la dernière valeur non vide.</w:t>
      </w:r>
    </w:p>
    <w:p w:rsidR="00A757DB" w:rsidRDefault="004B5618">
      <w:pPr>
        <w:pStyle w:val="Titre1"/>
      </w:pPr>
      <w:r>
        <w:t>8. Profils JSON</w:t>
      </w:r>
    </w:p>
    <w:p w:rsidR="00A757DB" w:rsidRDefault="004B5618">
      <w:pPr>
        <w:rPr>
          <w:rFonts w:hint="eastAsia"/>
        </w:rPr>
      </w:pPr>
      <w:r>
        <w:t>Le profil mémorise les paramètres généraux, les variables incluses, leurs noms d’export, les phases temporelles et les règles de décodage. Le rapprochement avec un nouveau formulaire tolère les variations d’accents, d’espaces, de ponctuation et certains défauts d’encodage.</w:t>
      </w:r>
    </w:p>
    <w:p w:rsidR="00A757DB" w:rsidRDefault="004B5618">
      <w:pPr>
        <w:pStyle w:val="Titre1"/>
      </w:pPr>
      <w:r>
        <w:t>9. Contrôle qualité</w:t>
      </w:r>
    </w:p>
    <w:p w:rsidR="00A757DB" w:rsidRDefault="004B5618">
      <w:pPr>
        <w:rPr>
          <w:rFonts w:hint="eastAsia"/>
        </w:rPr>
      </w:pPr>
      <w:r>
        <w:t>Le rapport de preuve documente les paramètres appliqués, le nombre de patients, le rapprochement entre sources, les dates disponibles, les doublons, les valeurs multiples de traitement, les colonnes générées et les colonnes entièrement vides.</w:t>
      </w:r>
    </w:p>
    <w:tbl>
      <w:tblPr>
        <w:tblStyle w:val="Grilledutableau"/>
        <w:tblW w:w="0" w:type="auto"/>
        <w:jc w:val="center"/>
        <w:tblLook w:val="04A0" w:firstRow="1" w:lastRow="0" w:firstColumn="1" w:lastColumn="0" w:noHBand="0" w:noVBand="1"/>
      </w:tblPr>
      <w:tblGrid>
        <w:gridCol w:w="4986"/>
        <w:gridCol w:w="4986"/>
      </w:tblGrid>
      <w:tr w:rsidR="00A757DB">
        <w:trPr>
          <w:jc w:val="center"/>
        </w:trPr>
        <w:tc>
          <w:tcPr>
            <w:tcW w:w="4986" w:type="dxa"/>
            <w:shd w:val="clear" w:color="auto" w:fill="243FC4"/>
            <w:vAlign w:val="center"/>
          </w:tcPr>
          <w:p w:rsidR="00A757DB" w:rsidRDefault="004B5618">
            <w:pPr>
              <w:rPr>
                <w:rFonts w:hint="eastAsia"/>
              </w:rPr>
            </w:pPr>
            <w:r>
              <w:rPr>
                <w:b/>
                <w:color w:val="FFFFFF"/>
                <w:sz w:val="18"/>
              </w:rPr>
              <w:t>Statut</w:t>
            </w:r>
          </w:p>
        </w:tc>
        <w:tc>
          <w:tcPr>
            <w:tcW w:w="4986" w:type="dxa"/>
            <w:shd w:val="clear" w:color="auto" w:fill="243FC4"/>
            <w:vAlign w:val="center"/>
          </w:tcPr>
          <w:p w:rsidR="00A757DB" w:rsidRDefault="004B5618">
            <w:pPr>
              <w:rPr>
                <w:rFonts w:hint="eastAsia"/>
              </w:rPr>
            </w:pPr>
            <w:r>
              <w:rPr>
                <w:b/>
                <w:color w:val="FFFFFF"/>
                <w:sz w:val="18"/>
              </w:rPr>
              <w:t>Interprétation</w:t>
            </w:r>
          </w:p>
        </w:tc>
      </w:tr>
      <w:tr w:rsidR="00A757DB">
        <w:trPr>
          <w:jc w:val="center"/>
        </w:trPr>
        <w:tc>
          <w:tcPr>
            <w:tcW w:w="4986" w:type="dxa"/>
            <w:vAlign w:val="center"/>
          </w:tcPr>
          <w:p w:rsidR="00A757DB" w:rsidRDefault="004B5618">
            <w:pPr>
              <w:rPr>
                <w:rFonts w:hint="eastAsia"/>
              </w:rPr>
            </w:pPr>
            <w:r>
              <w:rPr>
                <w:sz w:val="18"/>
              </w:rPr>
              <w:t>OK</w:t>
            </w:r>
          </w:p>
        </w:tc>
        <w:tc>
          <w:tcPr>
            <w:tcW w:w="4986" w:type="dxa"/>
            <w:vAlign w:val="center"/>
          </w:tcPr>
          <w:p w:rsidR="00A757DB" w:rsidRDefault="004B5618">
            <w:pPr>
              <w:rPr>
                <w:rFonts w:hint="eastAsia"/>
              </w:rPr>
            </w:pPr>
            <w:r>
              <w:rPr>
                <w:sz w:val="18"/>
              </w:rPr>
              <w:t>Contrôle conforme au critère défini.</w:t>
            </w:r>
          </w:p>
        </w:tc>
      </w:tr>
      <w:tr w:rsidR="00A757DB">
        <w:trPr>
          <w:jc w:val="center"/>
        </w:trPr>
        <w:tc>
          <w:tcPr>
            <w:tcW w:w="4986" w:type="dxa"/>
            <w:shd w:val="clear" w:color="auto" w:fill="F4F7FC"/>
            <w:vAlign w:val="center"/>
          </w:tcPr>
          <w:p w:rsidR="00A757DB" w:rsidRDefault="004B5618">
            <w:pPr>
              <w:rPr>
                <w:rFonts w:hint="eastAsia"/>
              </w:rPr>
            </w:pPr>
            <w:r>
              <w:rPr>
                <w:sz w:val="18"/>
              </w:rPr>
              <w:t>Info</w:t>
            </w:r>
          </w:p>
        </w:tc>
        <w:tc>
          <w:tcPr>
            <w:tcW w:w="4986" w:type="dxa"/>
            <w:shd w:val="clear" w:color="auto" w:fill="F4F7FC"/>
            <w:vAlign w:val="center"/>
          </w:tcPr>
          <w:p w:rsidR="00A757DB" w:rsidRDefault="004B5618">
            <w:pPr>
              <w:rPr>
                <w:rFonts w:hint="eastAsia"/>
              </w:rPr>
            </w:pPr>
            <w:r>
              <w:rPr>
                <w:sz w:val="18"/>
              </w:rPr>
              <w:t>Élément descriptif sans anomalie bloquante.</w:t>
            </w:r>
          </w:p>
        </w:tc>
      </w:tr>
      <w:tr w:rsidR="00A757DB">
        <w:trPr>
          <w:jc w:val="center"/>
        </w:trPr>
        <w:tc>
          <w:tcPr>
            <w:tcW w:w="4986" w:type="dxa"/>
            <w:vAlign w:val="center"/>
          </w:tcPr>
          <w:p w:rsidR="00A757DB" w:rsidRDefault="004B5618">
            <w:pPr>
              <w:rPr>
                <w:rFonts w:hint="eastAsia"/>
              </w:rPr>
            </w:pPr>
            <w:r>
              <w:rPr>
                <w:sz w:val="18"/>
              </w:rPr>
              <w:t>A vérifier</w:t>
            </w:r>
          </w:p>
        </w:tc>
        <w:tc>
          <w:tcPr>
            <w:tcW w:w="4986" w:type="dxa"/>
            <w:vAlign w:val="center"/>
          </w:tcPr>
          <w:p w:rsidR="00A757DB" w:rsidRDefault="004B5618">
            <w:pPr>
              <w:rPr>
                <w:rFonts w:hint="eastAsia"/>
              </w:rPr>
            </w:pPr>
            <w:r>
              <w:rPr>
                <w:sz w:val="18"/>
              </w:rPr>
              <w:t>Situation nécessitant une lecture du détail correspondant.</w:t>
            </w:r>
          </w:p>
        </w:tc>
      </w:tr>
    </w:tbl>
    <w:p w:rsidR="00A757DB" w:rsidRDefault="00A757DB">
      <w:pPr>
        <w:rPr>
          <w:rFonts w:hint="eastAsia"/>
        </w:rPr>
      </w:pPr>
    </w:p>
    <w:p w:rsidR="00A757DB" w:rsidRDefault="004B5618">
      <w:pPr>
        <w:pStyle w:val="Titre1"/>
      </w:pPr>
      <w:r>
        <w:t>10. Validation d’une version</w:t>
      </w:r>
    </w:p>
    <w:p w:rsidR="00A757DB" w:rsidRDefault="004B5618">
      <w:pPr>
        <w:pStyle w:val="Listepuces"/>
        <w:rPr>
          <w:rFonts w:hint="eastAsia"/>
        </w:rPr>
      </w:pPr>
      <w:r>
        <w:t>Vérifier le lancement et l’accès aux six onglets.</w:t>
      </w:r>
    </w:p>
    <w:p w:rsidR="00A757DB" w:rsidRDefault="004B5618">
      <w:pPr>
        <w:pStyle w:val="Listepuces"/>
        <w:rPr>
          <w:rFonts w:hint="eastAsia"/>
        </w:rPr>
      </w:pPr>
      <w:r>
        <w:lastRenderedPageBreak/>
        <w:t>Tester les deux modes d’import.</w:t>
      </w:r>
    </w:p>
    <w:p w:rsidR="00A757DB" w:rsidRDefault="004B5618">
      <w:pPr>
        <w:pStyle w:val="Listepuces"/>
        <w:rPr>
          <w:rFonts w:hint="eastAsia"/>
        </w:rPr>
      </w:pPr>
      <w:r>
        <w:t>Contrôler un CIM10 simple et un CIM10 multiple.</w:t>
      </w:r>
    </w:p>
    <w:p w:rsidR="00A757DB" w:rsidRDefault="004B5618">
      <w:pPr>
        <w:pStyle w:val="Listepuces"/>
        <w:rPr>
          <w:rFonts w:hint="eastAsia"/>
        </w:rPr>
      </w:pPr>
      <w:r>
        <w:t>Tester les dates aux limites des fenêtres temporelles.</w:t>
      </w:r>
    </w:p>
    <w:p w:rsidR="00A757DB" w:rsidRDefault="004B5618">
      <w:pPr>
        <w:pStyle w:val="Listepuces"/>
        <w:rPr>
          <w:rFonts w:hint="eastAsia"/>
        </w:rPr>
      </w:pPr>
      <w:r>
        <w:t>Vérifier la conservation des codes binaires et leur décodage.</w:t>
      </w:r>
    </w:p>
    <w:p w:rsidR="00A757DB" w:rsidRDefault="004B5618">
      <w:pPr>
        <w:pStyle w:val="Listepuces"/>
        <w:rPr>
          <w:rFonts w:hint="eastAsia"/>
        </w:rPr>
      </w:pPr>
      <w:r>
        <w:t>Comparer le nombre de patients et les colonnes produites aux résultats attendus.</w:t>
      </w:r>
    </w:p>
    <w:p w:rsidR="00A757DB" w:rsidRDefault="004B5618">
      <w:pPr>
        <w:pStyle w:val="Listepuces"/>
        <w:rPr>
          <w:rFonts w:hint="eastAsia"/>
        </w:rPr>
      </w:pPr>
      <w:r>
        <w:t>Ouvrir les fichiers Excel et contrôler le rapport de preuve.</w:t>
      </w:r>
    </w:p>
    <w:p w:rsidR="00A757DB" w:rsidRDefault="004B5618">
      <w:pPr>
        <w:pStyle w:val="Titre1"/>
      </w:pPr>
      <w:r>
        <w:t>11. Documentation de référence</w:t>
      </w:r>
    </w:p>
    <w:tbl>
      <w:tblPr>
        <w:tblStyle w:val="Grilledutableau"/>
        <w:tblW w:w="0" w:type="auto"/>
        <w:jc w:val="center"/>
        <w:tblLook w:val="04A0" w:firstRow="1" w:lastRow="0" w:firstColumn="1" w:lastColumn="0" w:noHBand="0" w:noVBand="1"/>
      </w:tblPr>
      <w:tblGrid>
        <w:gridCol w:w="4986"/>
        <w:gridCol w:w="4986"/>
      </w:tblGrid>
      <w:tr w:rsidR="00A757DB">
        <w:trPr>
          <w:jc w:val="center"/>
        </w:trPr>
        <w:tc>
          <w:tcPr>
            <w:tcW w:w="4986" w:type="dxa"/>
            <w:shd w:val="clear" w:color="auto" w:fill="243FC4"/>
            <w:vAlign w:val="center"/>
          </w:tcPr>
          <w:p w:rsidR="00A757DB" w:rsidRDefault="004B5618">
            <w:pPr>
              <w:rPr>
                <w:rFonts w:hint="eastAsia"/>
              </w:rPr>
            </w:pPr>
            <w:r>
              <w:rPr>
                <w:b/>
                <w:color w:val="FFFFFF"/>
                <w:sz w:val="18"/>
              </w:rPr>
              <w:t>Document</w:t>
            </w:r>
          </w:p>
        </w:tc>
        <w:tc>
          <w:tcPr>
            <w:tcW w:w="4986" w:type="dxa"/>
            <w:shd w:val="clear" w:color="auto" w:fill="243FC4"/>
            <w:vAlign w:val="center"/>
          </w:tcPr>
          <w:p w:rsidR="00A757DB" w:rsidRDefault="004B5618">
            <w:pPr>
              <w:rPr>
                <w:rFonts w:hint="eastAsia"/>
              </w:rPr>
            </w:pPr>
            <w:r>
              <w:rPr>
                <w:b/>
                <w:color w:val="FFFFFF"/>
                <w:sz w:val="18"/>
              </w:rPr>
              <w:t>Contenu</w:t>
            </w:r>
          </w:p>
        </w:tc>
      </w:tr>
      <w:tr w:rsidR="00A757DB">
        <w:trPr>
          <w:jc w:val="center"/>
        </w:trPr>
        <w:tc>
          <w:tcPr>
            <w:tcW w:w="4986" w:type="dxa"/>
            <w:vAlign w:val="center"/>
          </w:tcPr>
          <w:p w:rsidR="00A757DB" w:rsidRDefault="004B5618">
            <w:pPr>
              <w:rPr>
                <w:rFonts w:hint="eastAsia"/>
              </w:rPr>
            </w:pPr>
            <w:r>
              <w:rPr>
                <w:sz w:val="18"/>
              </w:rPr>
              <w:t>installation.md</w:t>
            </w:r>
          </w:p>
        </w:tc>
        <w:tc>
          <w:tcPr>
            <w:tcW w:w="4986" w:type="dxa"/>
            <w:vAlign w:val="center"/>
          </w:tcPr>
          <w:p w:rsidR="00A757DB" w:rsidRDefault="004B5618">
            <w:pPr>
              <w:rPr>
                <w:rFonts w:hint="eastAsia"/>
              </w:rPr>
            </w:pPr>
            <w:r>
              <w:rPr>
                <w:sz w:val="18"/>
              </w:rPr>
              <w:t>Prérequis, configuration SQL et lancement</w:t>
            </w:r>
          </w:p>
        </w:tc>
      </w:tr>
      <w:tr w:rsidR="00A757DB">
        <w:trPr>
          <w:jc w:val="center"/>
        </w:trPr>
        <w:tc>
          <w:tcPr>
            <w:tcW w:w="4986" w:type="dxa"/>
            <w:shd w:val="clear" w:color="auto" w:fill="F4F7FC"/>
            <w:vAlign w:val="center"/>
          </w:tcPr>
          <w:p w:rsidR="00A757DB" w:rsidRDefault="004B5618">
            <w:pPr>
              <w:rPr>
                <w:rFonts w:hint="eastAsia"/>
              </w:rPr>
            </w:pPr>
            <w:r>
              <w:rPr>
                <w:sz w:val="18"/>
              </w:rPr>
              <w:t>guide_utilisateur.md</w:t>
            </w:r>
          </w:p>
        </w:tc>
        <w:tc>
          <w:tcPr>
            <w:tcW w:w="4986" w:type="dxa"/>
            <w:shd w:val="clear" w:color="auto" w:fill="F4F7FC"/>
            <w:vAlign w:val="center"/>
          </w:tcPr>
          <w:p w:rsidR="00A757DB" w:rsidRDefault="004B5618">
            <w:pPr>
              <w:rPr>
                <w:rFonts w:hint="eastAsia"/>
              </w:rPr>
            </w:pPr>
            <w:r>
              <w:rPr>
                <w:sz w:val="18"/>
              </w:rPr>
              <w:t>Procédure complète dans l’interface</w:t>
            </w:r>
          </w:p>
        </w:tc>
      </w:tr>
      <w:tr w:rsidR="00A757DB">
        <w:trPr>
          <w:jc w:val="center"/>
        </w:trPr>
        <w:tc>
          <w:tcPr>
            <w:tcW w:w="4986" w:type="dxa"/>
            <w:vAlign w:val="center"/>
          </w:tcPr>
          <w:p w:rsidR="00A757DB" w:rsidRDefault="004B5618">
            <w:pPr>
              <w:rPr>
                <w:rFonts w:hint="eastAsia"/>
              </w:rPr>
            </w:pPr>
            <w:r>
              <w:rPr>
                <w:sz w:val="18"/>
              </w:rPr>
              <w:t>architecture.md</w:t>
            </w:r>
          </w:p>
        </w:tc>
        <w:tc>
          <w:tcPr>
            <w:tcW w:w="4986" w:type="dxa"/>
            <w:vAlign w:val="center"/>
          </w:tcPr>
          <w:p w:rsidR="00A757DB" w:rsidRDefault="004B5618">
            <w:pPr>
              <w:rPr>
                <w:rFonts w:hint="eastAsia"/>
              </w:rPr>
            </w:pPr>
            <w:r>
              <w:rPr>
                <w:sz w:val="18"/>
              </w:rPr>
              <w:t>Modules et flux interne</w:t>
            </w:r>
          </w:p>
        </w:tc>
      </w:tr>
      <w:tr w:rsidR="00A757DB">
        <w:trPr>
          <w:jc w:val="center"/>
        </w:trPr>
        <w:tc>
          <w:tcPr>
            <w:tcW w:w="4986" w:type="dxa"/>
            <w:shd w:val="clear" w:color="auto" w:fill="F4F7FC"/>
            <w:vAlign w:val="center"/>
          </w:tcPr>
          <w:p w:rsidR="00A757DB" w:rsidRDefault="004B5618">
            <w:pPr>
              <w:rPr>
                <w:rFonts w:hint="eastAsia"/>
              </w:rPr>
            </w:pPr>
            <w:r>
              <w:rPr>
                <w:sz w:val="18"/>
              </w:rPr>
              <w:t>donnees_entree.md</w:t>
            </w:r>
          </w:p>
        </w:tc>
        <w:tc>
          <w:tcPr>
            <w:tcW w:w="4986" w:type="dxa"/>
            <w:shd w:val="clear" w:color="auto" w:fill="F4F7FC"/>
            <w:vAlign w:val="center"/>
          </w:tcPr>
          <w:p w:rsidR="00A757DB" w:rsidRDefault="004B5618">
            <w:pPr>
              <w:rPr>
                <w:rFonts w:hint="eastAsia"/>
              </w:rPr>
            </w:pPr>
            <w:r>
              <w:rPr>
                <w:sz w:val="18"/>
              </w:rPr>
              <w:t>Sources, formats, colonnes et sorties</w:t>
            </w:r>
          </w:p>
        </w:tc>
      </w:tr>
      <w:tr w:rsidR="00A757DB">
        <w:trPr>
          <w:jc w:val="center"/>
        </w:trPr>
        <w:tc>
          <w:tcPr>
            <w:tcW w:w="4986" w:type="dxa"/>
            <w:vAlign w:val="center"/>
          </w:tcPr>
          <w:p w:rsidR="00A757DB" w:rsidRDefault="004B5618">
            <w:pPr>
              <w:rPr>
                <w:rFonts w:hint="eastAsia"/>
              </w:rPr>
            </w:pPr>
            <w:r>
              <w:rPr>
                <w:sz w:val="18"/>
              </w:rPr>
              <w:t>profils_json.md</w:t>
            </w:r>
          </w:p>
        </w:tc>
        <w:tc>
          <w:tcPr>
            <w:tcW w:w="4986" w:type="dxa"/>
            <w:vAlign w:val="center"/>
          </w:tcPr>
          <w:p w:rsidR="00A757DB" w:rsidRDefault="004B5618">
            <w:pPr>
              <w:rPr>
                <w:rFonts w:hint="eastAsia"/>
              </w:rPr>
            </w:pPr>
            <w:r>
              <w:rPr>
                <w:sz w:val="18"/>
              </w:rPr>
              <w:t>Structure et décodages</w:t>
            </w:r>
          </w:p>
        </w:tc>
      </w:tr>
      <w:tr w:rsidR="00A757DB">
        <w:trPr>
          <w:jc w:val="center"/>
        </w:trPr>
        <w:tc>
          <w:tcPr>
            <w:tcW w:w="4986" w:type="dxa"/>
            <w:shd w:val="clear" w:color="auto" w:fill="F4F7FC"/>
            <w:vAlign w:val="center"/>
          </w:tcPr>
          <w:p w:rsidR="00A757DB" w:rsidRDefault="004B5618">
            <w:pPr>
              <w:rPr>
                <w:rFonts w:hint="eastAsia"/>
              </w:rPr>
            </w:pPr>
            <w:r>
              <w:rPr>
                <w:sz w:val="18"/>
              </w:rPr>
              <w:t>temporalites.md</w:t>
            </w:r>
          </w:p>
        </w:tc>
        <w:tc>
          <w:tcPr>
            <w:tcW w:w="4986" w:type="dxa"/>
            <w:shd w:val="clear" w:color="auto" w:fill="F4F7FC"/>
            <w:vAlign w:val="center"/>
          </w:tcPr>
          <w:p w:rsidR="00A757DB" w:rsidRDefault="004B5618">
            <w:pPr>
              <w:rPr>
                <w:rFonts w:hint="eastAsia"/>
              </w:rPr>
            </w:pPr>
            <w:r>
              <w:rPr>
                <w:sz w:val="18"/>
              </w:rPr>
              <w:t>Fenêtres et règles d’agrégation</w:t>
            </w:r>
          </w:p>
        </w:tc>
      </w:tr>
      <w:tr w:rsidR="00A757DB">
        <w:trPr>
          <w:jc w:val="center"/>
        </w:trPr>
        <w:tc>
          <w:tcPr>
            <w:tcW w:w="4986" w:type="dxa"/>
            <w:vAlign w:val="center"/>
          </w:tcPr>
          <w:p w:rsidR="00A757DB" w:rsidRDefault="004B5618">
            <w:pPr>
              <w:rPr>
                <w:rFonts w:hint="eastAsia"/>
              </w:rPr>
            </w:pPr>
            <w:r>
              <w:rPr>
                <w:sz w:val="18"/>
              </w:rPr>
              <w:t>controles_qualite.md</w:t>
            </w:r>
          </w:p>
        </w:tc>
        <w:tc>
          <w:tcPr>
            <w:tcW w:w="4986" w:type="dxa"/>
            <w:vAlign w:val="center"/>
          </w:tcPr>
          <w:p w:rsidR="00A757DB" w:rsidRDefault="004B5618">
            <w:pPr>
              <w:rPr>
                <w:rFonts w:hint="eastAsia"/>
              </w:rPr>
            </w:pPr>
            <w:r>
              <w:rPr>
                <w:sz w:val="18"/>
              </w:rPr>
              <w:t>Rapport de preuve et interprétation</w:t>
            </w:r>
          </w:p>
        </w:tc>
      </w:tr>
      <w:tr w:rsidR="00A757DB">
        <w:trPr>
          <w:jc w:val="center"/>
        </w:trPr>
        <w:tc>
          <w:tcPr>
            <w:tcW w:w="4986" w:type="dxa"/>
            <w:shd w:val="clear" w:color="auto" w:fill="F4F7FC"/>
            <w:vAlign w:val="center"/>
          </w:tcPr>
          <w:p w:rsidR="00A757DB" w:rsidRDefault="004B5618">
            <w:pPr>
              <w:rPr>
                <w:rFonts w:hint="eastAsia"/>
              </w:rPr>
            </w:pPr>
            <w:r>
              <w:rPr>
                <w:sz w:val="18"/>
              </w:rPr>
              <w:t>tests_validation.md</w:t>
            </w:r>
          </w:p>
        </w:tc>
        <w:tc>
          <w:tcPr>
            <w:tcW w:w="4986" w:type="dxa"/>
            <w:shd w:val="clear" w:color="auto" w:fill="F4F7FC"/>
            <w:vAlign w:val="center"/>
          </w:tcPr>
          <w:p w:rsidR="00A757DB" w:rsidRDefault="004B5618">
            <w:pPr>
              <w:rPr>
                <w:rFonts w:hint="eastAsia"/>
              </w:rPr>
            </w:pPr>
            <w:r>
              <w:rPr>
                <w:sz w:val="18"/>
              </w:rPr>
              <w:t>Scénarios de validation</w:t>
            </w:r>
          </w:p>
        </w:tc>
      </w:tr>
      <w:tr w:rsidR="00A757DB">
        <w:trPr>
          <w:jc w:val="center"/>
        </w:trPr>
        <w:tc>
          <w:tcPr>
            <w:tcW w:w="4986" w:type="dxa"/>
            <w:vAlign w:val="center"/>
          </w:tcPr>
          <w:p w:rsidR="00A757DB" w:rsidRDefault="004B5618">
            <w:pPr>
              <w:rPr>
                <w:rFonts w:hint="eastAsia"/>
              </w:rPr>
            </w:pPr>
            <w:r>
              <w:rPr>
                <w:sz w:val="18"/>
              </w:rPr>
              <w:t>depannage.md</w:t>
            </w:r>
          </w:p>
        </w:tc>
        <w:tc>
          <w:tcPr>
            <w:tcW w:w="4986" w:type="dxa"/>
            <w:vAlign w:val="center"/>
          </w:tcPr>
          <w:p w:rsidR="00A757DB" w:rsidRDefault="004B5618">
            <w:pPr>
              <w:rPr>
                <w:rFonts w:hint="eastAsia"/>
              </w:rPr>
            </w:pPr>
            <w:r>
              <w:rPr>
                <w:sz w:val="18"/>
              </w:rPr>
              <w:t>Résolution des erreurs courantes</w:t>
            </w:r>
          </w:p>
        </w:tc>
      </w:tr>
    </w:tbl>
    <w:p w:rsidR="00A757DB" w:rsidRDefault="00A757DB">
      <w:pPr>
        <w:rPr>
          <w:rFonts w:hint="eastAsia"/>
        </w:rPr>
      </w:pPr>
    </w:p>
    <w:sectPr w:rsidR="00A757DB" w:rsidSect="00034616">
      <w:headerReference w:type="default" r:id="rId8"/>
      <w:footerReference w:type="default" r:id="rId9"/>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132A" w:rsidRDefault="00A3132A">
      <w:pPr>
        <w:spacing w:after="0" w:line="240" w:lineRule="auto"/>
        <w:rPr>
          <w:rFonts w:hint="eastAsia"/>
        </w:rPr>
      </w:pPr>
      <w:r>
        <w:separator/>
      </w:r>
    </w:p>
  </w:endnote>
  <w:endnote w:type="continuationSeparator" w:id="0">
    <w:p w:rsidR="00A3132A" w:rsidRDefault="00A3132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57DB" w:rsidRDefault="004B5618">
    <w:pPr>
      <w:pStyle w:val="Pieddepage"/>
      <w:jc w:val="center"/>
      <w:rPr>
        <w:rFonts w:hint="eastAsia"/>
      </w:rPr>
    </w:pPr>
    <w:r>
      <w:rPr>
        <w:color w:val="5A6982"/>
        <w:sz w:val="16"/>
      </w:rPr>
      <w:t>Documentation de livraison</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132A" w:rsidRDefault="00A3132A">
      <w:pPr>
        <w:spacing w:after="0" w:line="240" w:lineRule="auto"/>
        <w:rPr>
          <w:rFonts w:hint="eastAsia"/>
        </w:rPr>
      </w:pPr>
      <w:r>
        <w:separator/>
      </w:r>
    </w:p>
  </w:footnote>
  <w:footnote w:type="continuationSeparator" w:id="0">
    <w:p w:rsidR="00A3132A" w:rsidRDefault="00A3132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57DB" w:rsidRDefault="004B5618">
    <w:pPr>
      <w:pStyle w:val="En-tte"/>
      <w:jc w:val="right"/>
      <w:rPr>
        <w:rFonts w:hint="eastAsia"/>
      </w:rPr>
    </w:pPr>
    <w:r>
      <w:rPr>
        <w:color w:val="5A6982"/>
        <w:sz w:val="16"/>
      </w:rPr>
      <w:t>CohortBuilderAria — Documentation technique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B5618"/>
    <w:rsid w:val="00822DF9"/>
    <w:rsid w:val="00A3132A"/>
    <w:rsid w:val="00A757DB"/>
    <w:rsid w:val="00AA1D8D"/>
    <w:rsid w:val="00B47730"/>
    <w:rsid w:val="00CB0664"/>
    <w:rsid w:val="00D26D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036D1"/>
  <w14:defaultImageDpi w14:val="300"/>
  <w15:docId w15:val="{523DB859-A4FA-4291-81A0-AA3460029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62A8F"/>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43FC4"/>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2A8F"/>
      <w:spacing w:val="5"/>
      <w:kern w:val="28"/>
      <w:sz w:val="5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5B9C54-653D-48FC-805B-28599ECEF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866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KEMIHA Ziad</cp:lastModifiedBy>
  <cp:revision>5</cp:revision>
  <dcterms:created xsi:type="dcterms:W3CDTF">2013-12-23T23:15:00Z</dcterms:created>
  <dcterms:modified xsi:type="dcterms:W3CDTF">2026-07-30T08:18:00Z</dcterms:modified>
  <cp:category/>
</cp:coreProperties>
</file>