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Shortlist</w:t>
      </w:r>
    </w:p>
    <w:p>
      <w:r>
        <w:rPr>
          <w:color w:val="595959"/>
          <w:sz w:val="18"/>
        </w:rPr>
        <w:t>Consultant Gastroenterologist — generated 2026-09-03</w:t>
      </w:r>
    </w:p>
    <w:p>
      <w:r>
        <w:rPr>
          <w:color w:val="595959"/>
          <w:sz w:val="18"/>
        </w:rPr>
        <w:t>Scored 0 posting(s); 0 of 17 source(s) were attempted, 0 returned data, 0 failed. Shortlist threshold: score ≥ 55.</w:t>
      </w:r>
    </w:p>
    <w:p/>
    <w:p>
      <w:r>
        <w:rPr>
          <w:b/>
        </w:rPr>
        <w:t>No source returned any postings in this run. An empty shortlist here means the scan could not read any employer — it does NOT mean there are no vacancies. See the Run status sheet in the accompanying workbook for the failure against each source.</w:t>
      </w:r>
    </w:p>
    <w:p/>
    <w:p>
      <w:r>
        <w:t>Nothing met the shortlist threshold in this run.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