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D8" w:rsidRPr="008346D8" w:rsidRDefault="008346D8" w:rsidP="008346D8">
      <w:proofErr w:type="spellStart"/>
      <w:r w:rsidRPr="008346D8">
        <w:t>Uebungsgruppe</w:t>
      </w:r>
      <w:proofErr w:type="spellEnd"/>
      <w:r w:rsidRPr="008346D8">
        <w:t xml:space="preserve"> G04-C Henner Niehaus, Jonas Stadler, Eva </w:t>
      </w:r>
      <w:proofErr w:type="spellStart"/>
      <w:r w:rsidRPr="008346D8">
        <w:t>Poell</w:t>
      </w:r>
      <w:proofErr w:type="spellEnd"/>
    </w:p>
    <w:p w:rsidR="008346D8" w:rsidRDefault="008346D8" w:rsidP="003B2AC5">
      <w:pPr>
        <w:pStyle w:val="KeinLeerraum"/>
        <w:rPr>
          <w:rFonts w:ascii="URWPalladioL-Bold" w:hAnsi="URWPalladioL-Bold" w:cs="URWPalladioL-Bold"/>
          <w:b/>
          <w:bCs/>
        </w:rPr>
      </w:pPr>
    </w:p>
    <w:p w:rsidR="003B2AC5" w:rsidRDefault="003B2AC5" w:rsidP="003B2AC5">
      <w:pPr>
        <w:pStyle w:val="KeinLeerraum"/>
      </w:pPr>
      <w:r>
        <w:rPr>
          <w:rFonts w:ascii="URWPalladioL-Bold" w:hAnsi="URWPalladioL-Bold" w:cs="URWPalladioL-Bold"/>
          <w:b/>
          <w:bCs/>
        </w:rPr>
        <w:t xml:space="preserve">Aufgabe 8: </w:t>
      </w:r>
      <w:r>
        <w:t>(2</w:t>
      </w:r>
      <w:bookmarkStart w:id="0" w:name="_GoBack"/>
      <w:bookmarkEnd w:id="0"/>
      <w:r>
        <w:t xml:space="preserve">+1+2=5 Punkte) Eine </w:t>
      </w:r>
      <w:r>
        <w:rPr>
          <w:rFonts w:ascii="URWPalladioL-Ital" w:hAnsi="URWPalladioL-Ital" w:cs="URWPalladioL-Ital"/>
        </w:rPr>
        <w:t>Double</w:t>
      </w:r>
      <w:r>
        <w:rPr>
          <w:rFonts w:ascii="URWPalladioL-Ital" w:hAnsi="URWPalladioL-Ital" w:cs="URWPalladioL-Ital"/>
        </w:rPr>
        <w:t xml:space="preserve">-ended </w:t>
      </w:r>
      <w:r>
        <w:rPr>
          <w:rFonts w:ascii="URWPalladioL-Ital" w:hAnsi="URWPalladioL-Ital" w:cs="URWPalladioL-Ital"/>
        </w:rPr>
        <w:t>Queue</w:t>
      </w:r>
      <w:r>
        <w:rPr>
          <w:rFonts w:ascii="URWPalladioL-Ital" w:hAnsi="URWPalladioL-Ital" w:cs="URWPalladioL-Ital"/>
        </w:rPr>
        <w:t xml:space="preserve"> </w:t>
      </w:r>
      <w:r>
        <w:t>(</w:t>
      </w:r>
      <w:r>
        <w:rPr>
          <w:rFonts w:ascii="URWPalladioL-Ital" w:hAnsi="URWPalladioL-Ital" w:cs="URWPalladioL-Ital"/>
        </w:rPr>
        <w:t>Deque</w:t>
      </w:r>
      <w:r>
        <w:t>) kombiniert die Eigenschaften einer FIFO</w:t>
      </w:r>
      <w:r>
        <w:t>-</w:t>
      </w:r>
      <w:r>
        <w:t>Queue</w:t>
      </w:r>
      <w:r>
        <w:t xml:space="preserve"> </w:t>
      </w:r>
      <w:r>
        <w:t xml:space="preserve">und einer LIFO-Queue: man kann an beiden Enden </w:t>
      </w:r>
      <w:r>
        <w:t>der Warteschlange Elemente anfügen</w:t>
      </w:r>
      <w:r>
        <w:t xml:space="preserve"> und</w:t>
      </w:r>
      <w:r>
        <w:t xml:space="preserve"> l</w:t>
      </w:r>
      <w:r>
        <w:t>oschen.</w:t>
      </w:r>
    </w:p>
    <w:p w:rsidR="003B2AC5" w:rsidRDefault="003B2AC5" w:rsidP="003B2AC5">
      <w:pPr>
        <w:pStyle w:val="KeinLeerraum"/>
      </w:pPr>
    </w:p>
    <w:p w:rsidR="003B2AC5" w:rsidRDefault="003B2AC5" w:rsidP="003B2AC5">
      <w:pPr>
        <w:pStyle w:val="KeinLeerraum"/>
        <w:ind w:left="708"/>
      </w:pPr>
      <w:r>
        <w:t>(a) Geben Sie die Signatur für</w:t>
      </w:r>
      <w:r>
        <w:t xml:space="preserve"> den ADT </w:t>
      </w:r>
      <w:r>
        <w:rPr>
          <w:rFonts w:ascii="CMTT10" w:hAnsi="CMTT10" w:cs="CMTT10"/>
        </w:rPr>
        <w:t xml:space="preserve">Deque </w:t>
      </w:r>
      <w:r>
        <w:t>an. (Semantikgleichungen sind hier nicht gefordert.)</w:t>
      </w:r>
    </w:p>
    <w:p w:rsidR="003B2AC5" w:rsidRDefault="003B2AC5" w:rsidP="003B2AC5">
      <w:pPr>
        <w:pStyle w:val="KeinLeerraum"/>
        <w:ind w:firstLine="708"/>
      </w:pPr>
      <w:r>
        <w:t>(b) Geben Sie eine Jav</w:t>
      </w:r>
      <w:r>
        <w:t>a-Schnittstellen-Definition für</w:t>
      </w:r>
      <w:r>
        <w:t xml:space="preserve"> Realisierungen des ADT </w:t>
      </w:r>
      <w:r>
        <w:rPr>
          <w:rFonts w:ascii="CMTT10" w:hAnsi="CMTT10" w:cs="CMTT10"/>
        </w:rPr>
        <w:t xml:space="preserve">Deque </w:t>
      </w:r>
      <w:r>
        <w:t>an.</w:t>
      </w:r>
    </w:p>
    <w:p w:rsidR="003E3921" w:rsidRDefault="003B2AC5" w:rsidP="003B2AC5">
      <w:pPr>
        <w:pStyle w:val="KeinLeerraum"/>
        <w:ind w:firstLine="708"/>
      </w:pPr>
      <w:r>
        <w:t xml:space="preserve">(c) Implementieren Sie eine Klasse </w:t>
      </w:r>
      <w:r>
        <w:rPr>
          <w:rFonts w:ascii="CMTT10" w:hAnsi="CMTT10" w:cs="CMTT10"/>
        </w:rPr>
        <w:t>Doppelwarteschlange</w:t>
      </w:r>
      <w:r>
        <w:t xml:space="preserve">, die den ADT </w:t>
      </w:r>
      <w:r>
        <w:rPr>
          <w:rFonts w:ascii="CMTT10" w:hAnsi="CMTT10" w:cs="CMTT10"/>
        </w:rPr>
        <w:t xml:space="preserve">Deque </w:t>
      </w:r>
      <w:r>
        <w:t>realisiert.</w:t>
      </w:r>
    </w:p>
    <w:p w:rsidR="00001C97" w:rsidRDefault="00001C97" w:rsidP="00001C97">
      <w:pPr>
        <w:pStyle w:val="KeinLeerraum"/>
      </w:pPr>
    </w:p>
    <w:p w:rsidR="00001C97" w:rsidRDefault="00001C97" w:rsidP="00001C97">
      <w:pPr>
        <w:pStyle w:val="KeinLeerraum"/>
      </w:pPr>
    </w:p>
    <w:p w:rsidR="0047614C" w:rsidRDefault="0047614C" w:rsidP="00001C97">
      <w:pPr>
        <w:pStyle w:val="KeinLeerraum"/>
      </w:pP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a)</w:t>
      </w: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 xml:space="preserve">Datentyp: </w:t>
      </w:r>
      <w:r>
        <w:rPr>
          <w:rFonts w:ascii="URWPalladioL-Ital" w:hAnsi="URWPalladioL-Ital" w:cs="URWPalladioL-Ital"/>
        </w:rPr>
        <w:t>Double</w:t>
      </w:r>
      <w:r>
        <w:rPr>
          <w:rFonts w:ascii="URWPalladioL-Ital" w:hAnsi="URWPalladioL-Ital" w:cs="URWPalladioL-Ital"/>
        </w:rPr>
        <w:t>Ended</w:t>
      </w:r>
      <w:r>
        <w:rPr>
          <w:rFonts w:ascii="URWPalladioL-Ital" w:hAnsi="URWPalladioL-Ital" w:cs="URWPalladioL-Ital"/>
        </w:rPr>
        <w:t>Queue</w:t>
      </w:r>
      <w:r>
        <w:rPr>
          <w:rFonts w:ascii="URWPalladioL-Ital" w:hAnsi="URWPalladioL-Ital" w:cs="URWPalladioL-Ital"/>
        </w:rPr>
        <w:t xml:space="preserve"> Parameter T benutzt {B}</w:t>
      </w:r>
    </w:p>
    <w:tbl>
      <w:tblPr>
        <w:tblStyle w:val="Tabellenras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3087"/>
        <w:gridCol w:w="426"/>
        <w:gridCol w:w="3260"/>
        <w:gridCol w:w="1559"/>
      </w:tblGrid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Create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</w:pP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Konstruktor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proofErr w:type="spellStart"/>
            <w:r>
              <w:t>EnqueFront</w:t>
            </w:r>
            <w:proofErr w:type="spellEnd"/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</w:pPr>
            <w:r>
              <w:rPr>
                <w:rFonts w:ascii="URWPalladioL-Ital" w:hAnsi="URWPalladioL-Ital" w:cs="URWPalladioL-Ital"/>
              </w:rPr>
              <w:t>DoubleEndedQueue</w:t>
            </w:r>
            <w:r>
              <w:rPr>
                <w:rFonts w:ascii="URWPalladioL-Ital" w:hAnsi="URWPalladioL-Ital" w:cs="URWPalladioL-Ital"/>
              </w:rPr>
              <w:t xml:space="preserve"> X T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Hinzufügen Anfang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proofErr w:type="spellStart"/>
            <w:r>
              <w:t>Enque</w:t>
            </w:r>
            <w:r w:rsidR="00957116">
              <w:t>Back</w:t>
            </w:r>
            <w:proofErr w:type="spellEnd"/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  <w:r>
              <w:rPr>
                <w:rFonts w:ascii="URWPalladioL-Ital" w:hAnsi="URWPalladioL-Ital" w:cs="URWPalladioL-Ital"/>
              </w:rPr>
              <w:t xml:space="preserve"> X T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Hinzufügen Ende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proofErr w:type="spellStart"/>
            <w:r>
              <w:t>DequeFront</w:t>
            </w:r>
            <w:proofErr w:type="spellEnd"/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Entfernen Anfang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proofErr w:type="spellStart"/>
            <w:r>
              <w:t>Deque</w:t>
            </w:r>
            <w:r w:rsidR="00957116">
              <w:t>Back</w:t>
            </w:r>
            <w:proofErr w:type="spellEnd"/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Entfernen Ende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proofErr w:type="spellStart"/>
            <w:r>
              <w:t>FrontFront</w:t>
            </w:r>
            <w:proofErr w:type="spellEnd"/>
          </w:p>
        </w:tc>
        <w:tc>
          <w:tcPr>
            <w:tcW w:w="3087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T</w:t>
            </w:r>
          </w:p>
        </w:tc>
        <w:tc>
          <w:tcPr>
            <w:tcW w:w="1559" w:type="dxa"/>
          </w:tcPr>
          <w:p w:rsidR="0047614C" w:rsidRDefault="00957116" w:rsidP="0047614C">
            <w:pPr>
              <w:pStyle w:val="KeinLeerraum"/>
            </w:pPr>
            <w:r>
              <w:t>Ansehen Anfang</w:t>
            </w:r>
          </w:p>
        </w:tc>
      </w:tr>
      <w:tr w:rsidR="00957116" w:rsidTr="00A54C51">
        <w:tc>
          <w:tcPr>
            <w:tcW w:w="1444" w:type="dxa"/>
          </w:tcPr>
          <w:p w:rsidR="00957116" w:rsidRDefault="00957116" w:rsidP="0047614C">
            <w:pPr>
              <w:pStyle w:val="KeinLeerraum"/>
            </w:pPr>
            <w:proofErr w:type="spellStart"/>
            <w:r>
              <w:t>FrontBack</w:t>
            </w:r>
            <w:proofErr w:type="spellEnd"/>
          </w:p>
        </w:tc>
        <w:tc>
          <w:tcPr>
            <w:tcW w:w="3087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 w:rsidRPr="00957116"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957116" w:rsidRDefault="00957116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T</w:t>
            </w:r>
          </w:p>
        </w:tc>
        <w:tc>
          <w:tcPr>
            <w:tcW w:w="1559" w:type="dxa"/>
          </w:tcPr>
          <w:p w:rsidR="00957116" w:rsidRDefault="00957116" w:rsidP="0047614C">
            <w:pPr>
              <w:pStyle w:val="KeinLeerraum"/>
            </w:pPr>
            <w:r>
              <w:t>Ansehen Ende</w:t>
            </w:r>
          </w:p>
        </w:tc>
      </w:tr>
      <w:tr w:rsidR="00957116" w:rsidTr="00A54C51">
        <w:tc>
          <w:tcPr>
            <w:tcW w:w="1444" w:type="dxa"/>
          </w:tcPr>
          <w:p w:rsidR="00957116" w:rsidRDefault="00957116" w:rsidP="0047614C">
            <w:pPr>
              <w:pStyle w:val="KeinLeerraum"/>
            </w:pPr>
            <w:proofErr w:type="spellStart"/>
            <w:r>
              <w:t>isEmpty</w:t>
            </w:r>
            <w:proofErr w:type="spellEnd"/>
            <w:r>
              <w:t>?</w:t>
            </w:r>
          </w:p>
        </w:tc>
        <w:tc>
          <w:tcPr>
            <w:tcW w:w="3087" w:type="dxa"/>
          </w:tcPr>
          <w:p w:rsidR="00957116" w:rsidRP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957116" w:rsidRDefault="00957116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B</w:t>
            </w:r>
          </w:p>
        </w:tc>
        <w:tc>
          <w:tcPr>
            <w:tcW w:w="1559" w:type="dxa"/>
          </w:tcPr>
          <w:p w:rsidR="00957116" w:rsidRDefault="00957116" w:rsidP="0047614C">
            <w:pPr>
              <w:pStyle w:val="KeinLeerraum"/>
            </w:pPr>
            <w:r>
              <w:t>Zum Abfangen von Fehlern</w:t>
            </w:r>
          </w:p>
        </w:tc>
      </w:tr>
    </w:tbl>
    <w:p w:rsidR="0047614C" w:rsidRDefault="0047614C" w:rsidP="00001C97">
      <w:pPr>
        <w:pStyle w:val="KeinLeerraum"/>
      </w:pPr>
    </w:p>
    <w:p w:rsidR="00957116" w:rsidRDefault="00957116" w:rsidP="00001C97">
      <w:pPr>
        <w:pStyle w:val="KeinLeerraum"/>
      </w:pPr>
      <w:r>
        <w:t>Ende Datentyp</w:t>
      </w:r>
    </w:p>
    <w:p w:rsidR="00A85B87" w:rsidRDefault="00A85B87" w:rsidP="00001C97">
      <w:pPr>
        <w:pStyle w:val="KeinLeerraum"/>
      </w:pPr>
    </w:p>
    <w:p w:rsidR="00A85B87" w:rsidRDefault="00A85B87" w:rsidP="00001C97">
      <w:pPr>
        <w:pStyle w:val="KeinLeerraum"/>
      </w:pPr>
    </w:p>
    <w:p w:rsidR="00A85B87" w:rsidRPr="003B2AC5" w:rsidRDefault="00A85B87" w:rsidP="00001C97">
      <w:pPr>
        <w:pStyle w:val="KeinLeerraum"/>
      </w:pPr>
      <w:r>
        <w:t xml:space="preserve">b) Siehe Implementierung. Datei: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DoubleEndQueue</w:t>
      </w:r>
      <w:r>
        <w:rPr>
          <w:rFonts w:ascii="Courier New" w:hAnsi="Courier New" w:cs="Courier New"/>
          <w:color w:val="000000"/>
          <w:sz w:val="20"/>
          <w:szCs w:val="20"/>
        </w:rPr>
        <w:t>.Java</w:t>
      </w:r>
      <w:proofErr w:type="spellEnd"/>
    </w:p>
    <w:sectPr w:rsidR="00A85B87" w:rsidRPr="003B2A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143A6"/>
    <w:multiLevelType w:val="hybridMultilevel"/>
    <w:tmpl w:val="DB24A864"/>
    <w:lvl w:ilvl="0" w:tplc="A6BCF4F4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C5"/>
    <w:rsid w:val="00001C97"/>
    <w:rsid w:val="003B2AC5"/>
    <w:rsid w:val="003E3921"/>
    <w:rsid w:val="0047614C"/>
    <w:rsid w:val="008346D8"/>
    <w:rsid w:val="00957116"/>
    <w:rsid w:val="00A54C51"/>
    <w:rsid w:val="00A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34C95-45C4-49DE-9409-E4787A7E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B2AC5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76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Stadler</dc:creator>
  <cp:keywords/>
  <dc:description/>
  <cp:lastModifiedBy>Jonas Stadler</cp:lastModifiedBy>
  <cp:revision>5</cp:revision>
  <cp:lastPrinted>2013-04-21T13:00:00Z</cp:lastPrinted>
  <dcterms:created xsi:type="dcterms:W3CDTF">2013-04-21T09:46:00Z</dcterms:created>
  <dcterms:modified xsi:type="dcterms:W3CDTF">2013-04-21T14:43:00Z</dcterms:modified>
</cp:coreProperties>
</file>