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ZY-Path User Acceptance Testing</w:t>
      </w:r>
    </w:p>
    <w:p>
      <w:r>
        <w:t>Participant instrument and observer record · no responses entered</w:t>
      </w:r>
    </w:p>
    <w:p>
      <w:pPr>
        <w:pStyle w:val="Heading1"/>
      </w:pPr>
      <w:r>
        <w:t>Participant briefing</w:t>
      </w:r>
    </w:p>
    <w:p>
      <w:r>
        <w:t>Purpose: assess usability for educational/research workflows, not diagnostic accuracy. Participation is voluntary. Stop or decline optional questions at any time. Use authorised, de-identified sample files only.</w:t>
      </w:r>
    </w:p>
    <w:p>
      <w:r>
        <w:t>Participant ID: __________    Date: __________</w:t>
      </w:r>
    </w:p>
    <w:p>
      <w:r>
        <w:t>Consent to participate: Yes / No    Anonymised quotation: Yes / No</w:t>
      </w:r>
    </w:p>
    <w:p>
      <w:r>
        <w:t>Recording permission (if requested): Yes / No / Not requested</w:t>
      </w:r>
    </w:p>
    <w:p>
      <w:pPr>
        <w:pStyle w:val="Heading1"/>
      </w:pPr>
      <w:r>
        <w:t>Background</w:t>
      </w:r>
    </w:p>
    <w:p>
      <w:r>
        <w:t>Role: ____________________</w:t>
      </w:r>
    </w:p>
    <w:p>
      <w:r>
        <w:t>Pathology experience: None / Occasional / Regular</w:t>
      </w:r>
    </w:p>
    <w:p>
      <w:r>
        <w:t>Programming/AI experience: None / Basic / Intermediate–advanced</w:t>
      </w:r>
    </w:p>
    <w:p>
      <w:r>
        <w:t>Prior pathology-tool use: Yes / No; optional tool: ____________________</w:t>
      </w:r>
    </w:p>
    <w:p>
      <w:r>
        <w:t>Device and display scale: ____________________</w:t>
      </w:r>
    </w:p>
    <w:p>
      <w:pPr>
        <w:pStyle w:val="Heading1"/>
      </w:pPr>
      <w:r>
        <w:t>Task instructions</w:t>
      </w:r>
    </w:p>
    <w:p>
      <w:r>
        <w:t>Attempt the tasks with the prepared image/model files. You may ask for help; the observer records assistance separately.</w:t>
      </w:r>
    </w:p>
    <w:p>
      <w:r>
        <w:t>The tasks evaluate navigation and interpretation of output types. A model prediction is not the answer key for a clinical diagnosis.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vAlign w:val="center"/>
            <w:shd w:fill="263F5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>Task</w:t>
            </w:r>
          </w:p>
        </w:tc>
        <w:tc>
          <w:tcPr>
            <w:tcW w:type="dxa" w:w="3099"/>
            <w:vAlign w:val="center"/>
            <w:shd w:fill="263F5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>Participant instruction</w:t>
            </w:r>
          </w:p>
        </w:tc>
        <w:tc>
          <w:tcPr>
            <w:tcW w:type="dxa" w:w="3099"/>
            <w:vAlign w:val="center"/>
            <w:shd w:fill="263F5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>Observer success criterion</w:t>
            </w:r>
          </w:p>
        </w:tc>
      </w:tr>
      <w:tr>
        <w:trPr>
          <w:cantSplit/>
        </w:trPr>
        <w:tc>
          <w:tcPr>
            <w:tcW w:type="dxa" w:w="309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T01</w:t>
            </w:r>
          </w:p>
        </w:tc>
        <w:tc>
          <w:tcPr>
            <w:tcW w:type="dxa" w:w="309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Load the supplied image and run Single image with the approved model</w:t>
            </w:r>
          </w:p>
        </w:tc>
        <w:tc>
          <w:tcPr>
            <w:tcW w:type="dxa" w:w="309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Correct image/model/mode and completed output identified without coding</w:t>
            </w:r>
          </w:p>
        </w:tc>
      </w:tr>
      <w:tr>
        <w:trPr>
          <w:cantSplit/>
        </w:trPr>
        <w:tc>
          <w:tcPr>
            <w:tcW w:type="dxa" w:w="3099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T02</w:t>
            </w:r>
          </w:p>
        </w:tc>
        <w:tc>
          <w:tcPr>
            <w:tcW w:type="dxa" w:w="3099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Select Tiled analysis, set the specified source width/height and run</w:t>
            </w:r>
          </w:p>
        </w:tc>
        <w:tc>
          <w:tcPr>
            <w:tcW w:type="dxa" w:w="3099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Correct explicit mode and source dimensions are used</w:t>
            </w:r>
          </w:p>
        </w:tc>
      </w:tr>
      <w:tr>
        <w:trPr>
          <w:cantSplit/>
        </w:trPr>
        <w:tc>
          <w:tcPr>
            <w:tcW w:type="dxa" w:w="309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T03</w:t>
            </w:r>
          </w:p>
        </w:tc>
        <w:tc>
          <w:tcPr>
            <w:tcW w:type="dxa" w:w="309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Find a tile's class/confidence and explain coverage</w:t>
            </w:r>
          </w:p>
        </w:tc>
        <w:tc>
          <w:tcPr>
            <w:tcW w:type="dxa" w:w="309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Identifies actual tile detail; states coverage is a crop-class area estimate, not pixel ground truth</w:t>
            </w:r>
          </w:p>
        </w:tc>
      </w:tr>
      <w:tr>
        <w:trPr>
          <w:cantSplit/>
        </w:trPr>
        <w:tc>
          <w:tcPr>
            <w:tcW w:type="dxa" w:w="3099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T04</w:t>
            </w:r>
          </w:p>
        </w:tc>
        <w:tc>
          <w:tcPr>
            <w:tcW w:type="dxa" w:w="3099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Compare a selected region with the original and use Fit/zoom</w:t>
            </w:r>
          </w:p>
        </w:tc>
        <w:tc>
          <w:tcPr>
            <w:tcW w:type="dxa" w:w="3099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Same source region remains aligned; participant can return to Fit</w:t>
            </w:r>
          </w:p>
        </w:tc>
      </w:tr>
      <w:tr>
        <w:trPr>
          <w:cantSplit/>
        </w:trPr>
        <w:tc>
          <w:tcPr>
            <w:tcW w:type="dxa" w:w="309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T05</w:t>
            </w:r>
          </w:p>
        </w:tc>
        <w:tc>
          <w:tcPr>
            <w:tcW w:type="dxa" w:w="309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Inspect the supplied segmentation result</w:t>
            </w:r>
          </w:p>
        </w:tc>
        <w:tc>
          <w:tcPr>
            <w:tcW w:type="dxa" w:w="309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Distinguishes segmentation labels and pixel coverage from classification tiles</w:t>
            </w:r>
          </w:p>
        </w:tc>
      </w:tr>
      <w:tr>
        <w:trPr>
          <w:cantSplit/>
        </w:trPr>
        <w:tc>
          <w:tcPr>
            <w:tcW w:type="dxa" w:w="3099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T06</w:t>
            </w:r>
          </w:p>
        </w:tc>
        <w:tc>
          <w:tcPr>
            <w:tcW w:type="dxa" w:w="3099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Search/date-filter history and restore the nominated record</w:t>
            </w:r>
          </w:p>
        </w:tc>
        <w:tc>
          <w:tcPr>
            <w:tcW w:type="dxa" w:w="3099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Correct stored record shown without initiating inference</w:t>
            </w:r>
          </w:p>
        </w:tc>
      </w:tr>
      <w:tr>
        <w:trPr>
          <w:cantSplit/>
        </w:trPr>
        <w:tc>
          <w:tcPr>
            <w:tcW w:type="dxa" w:w="309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T07</w:t>
            </w:r>
          </w:p>
        </w:tc>
        <w:tc>
          <w:tcPr>
            <w:tcW w:type="dxa" w:w="309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Change a current preference, then rerun the stored record</w:t>
            </w:r>
          </w:p>
        </w:tc>
        <w:tc>
          <w:tcPr>
            <w:tcW w:type="dxa" w:w="309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Recorded model/mode/parameters used; new record distinguished from restored one</w:t>
            </w:r>
          </w:p>
        </w:tc>
      </w:tr>
      <w:tr>
        <w:trPr>
          <w:cantSplit/>
        </w:trPr>
        <w:tc>
          <w:tcPr>
            <w:tcW w:type="dxa" w:w="3099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T08</w:t>
            </w:r>
          </w:p>
        </w:tc>
        <w:tc>
          <w:tcPr>
            <w:tcW w:type="dxa" w:w="3099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Export the nominated completed result</w:t>
            </w:r>
          </w:p>
        </w:tc>
        <w:tc>
          <w:tcPr>
            <w:tcW w:type="dxa" w:w="3099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Correct PNG/PDF and actual task/model metadata identified</w:t>
            </w:r>
          </w:p>
        </w:tc>
      </w:tr>
      <w:tr>
        <w:trPr>
          <w:cantSplit/>
        </w:trPr>
        <w:tc>
          <w:tcPr>
            <w:tcW w:type="dxa" w:w="309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T09</w:t>
            </w:r>
          </w:p>
        </w:tc>
        <w:tc>
          <w:tcPr>
            <w:tcW w:type="dxa" w:w="309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Start the supplied workload and cancel it</w:t>
            </w:r>
          </w:p>
        </w:tc>
        <w:tc>
          <w:tcPr>
            <w:tcW w:type="dxa" w:w="309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Recognises request/acknowledgement; no partial completed record saved</w:t>
            </w:r>
          </w:p>
        </w:tc>
      </w:tr>
      <w:tr>
        <w:trPr>
          <w:cantSplit/>
        </w:trPr>
        <w:tc>
          <w:tcPr>
            <w:tcW w:type="dxa" w:w="3099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T10</w:t>
            </w:r>
          </w:p>
        </w:tc>
        <w:tc>
          <w:tcPr>
            <w:tcW w:type="dxa" w:w="3099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Save a supplied validated default and restore the built-in default</w:t>
            </w:r>
          </w:p>
        </w:tc>
        <w:tc>
          <w:tcPr>
            <w:tcW w:type="dxa" w:w="3099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Correct task's preference changes; other task/history remain unaffected</w:t>
            </w:r>
          </w:p>
        </w:tc>
      </w:tr>
    </w:tbl>
    <w:p>
      <w:pPr>
        <w:pStyle w:val="Heading1"/>
      </w:pPr>
      <w:r>
        <w:t>Observer record</w:t>
      </w:r>
    </w:p>
    <w:p>
      <w:r>
        <w:t>For each task record elapsed seconds, independent / assisted / unsuccessful / not attempted / blocked, assistance count, critical error and notes. Keep participant identifiers anonymous.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cantSplit/>
          <w:tblHeader/>
        </w:trPr>
        <w:tc>
          <w:tcPr>
            <w:tcW w:type="dxa" w:w="1860"/>
            <w:vAlign w:val="center"/>
            <w:shd w:fill="263F5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>Task</w:t>
            </w:r>
          </w:p>
        </w:tc>
        <w:tc>
          <w:tcPr>
            <w:tcW w:type="dxa" w:w="1860"/>
            <w:vAlign w:val="center"/>
            <w:shd w:fill="263F5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860"/>
            <w:vAlign w:val="center"/>
            <w:shd w:fill="263F5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>Seconds</w:t>
            </w:r>
          </w:p>
        </w:tc>
        <w:tc>
          <w:tcPr>
            <w:tcW w:type="dxa" w:w="1860"/>
            <w:vAlign w:val="center"/>
            <w:shd w:fill="263F5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>Assistance</w:t>
            </w:r>
          </w:p>
        </w:tc>
        <w:tc>
          <w:tcPr>
            <w:tcW w:type="dxa" w:w="1860"/>
            <w:vAlign w:val="center"/>
            <w:shd w:fill="263F5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>Notes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T01</w:t>
            </w:r>
          </w:p>
        </w:tc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</w:tr>
      <w:tr>
        <w:trPr>
          <w:cantSplit/>
        </w:trPr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T02</w:t>
            </w:r>
          </w:p>
        </w:tc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T03</w:t>
            </w:r>
          </w:p>
        </w:tc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</w:tr>
      <w:tr>
        <w:trPr>
          <w:cantSplit/>
        </w:trPr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T04</w:t>
            </w:r>
          </w:p>
        </w:tc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T05</w:t>
            </w:r>
          </w:p>
        </w:tc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</w:tr>
      <w:tr>
        <w:trPr>
          <w:cantSplit/>
        </w:trPr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T06</w:t>
            </w:r>
          </w:p>
        </w:tc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T07</w:t>
            </w:r>
          </w:p>
        </w:tc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</w:tr>
      <w:tr>
        <w:trPr>
          <w:cantSplit/>
        </w:trPr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T08</w:t>
            </w:r>
          </w:p>
        </w:tc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T09</w:t>
            </w:r>
          </w:p>
        </w:tc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</w:tr>
      <w:tr>
        <w:trPr>
          <w:cantSplit/>
        </w:trPr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  <w:r>
              <w:rPr>
                <w:rFonts w:ascii="Arial" w:hAnsi="Arial" w:eastAsia="Noto Sans CJK SC"/>
                <w:b w:val="0"/>
                <w:color w:val="192735"/>
                <w:sz w:val="19"/>
              </w:rPr>
              <w:t>T10</w:t>
            </w:r>
          </w:p>
        </w:tc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  <w:tc>
          <w:tcPr>
            <w:tcW w:type="dxa" w:w="1860"/>
            <w:vAlign w:val="center"/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line="269" w:lineRule="auto" w:before="0" w:after="60"/>
              <w:jc w:val="left"/>
            </w:pPr>
          </w:p>
        </w:tc>
      </w:tr>
    </w:tbl>
    <w:p>
      <w:pPr>
        <w:pStyle w:val="Heading1"/>
      </w:pPr>
      <w:r>
        <w:t>System Usability Scale</w:t>
      </w:r>
    </w:p>
    <w:p>
      <w:r>
        <w:t>Rate each item: 1 Strongly disagree · 2 Disagree · 3 Neutral · 4 Agree · 5 Strongly agree. Standard SUS wording/order is retained (Brooke, 1996).</w:t>
      </w:r>
    </w:p>
    <w:p>
      <w:r>
        <w:t>1. I think that I would like to use this system frequently.    Response: ___</w:t>
      </w:r>
    </w:p>
    <w:p>
      <w:r>
        <w:t>2. I found the system unnecessarily complex.    Response: ___</w:t>
      </w:r>
    </w:p>
    <w:p>
      <w:r>
        <w:t>3. I thought the system was easy to use.    Response: ___</w:t>
      </w:r>
    </w:p>
    <w:p>
      <w:r>
        <w:t>4. I think that I would need the support of a technical person to be able to use this system.    Response: ___</w:t>
      </w:r>
    </w:p>
    <w:p>
      <w:r>
        <w:t>5. I found the various functions in this system were well integrated.    Response: ___</w:t>
      </w:r>
    </w:p>
    <w:p>
      <w:r>
        <w:t>6. I thought there was too much inconsistency in this system.    Response: ___</w:t>
      </w:r>
    </w:p>
    <w:p>
      <w:r>
        <w:t>7. I would imagine that most people would learn to use this system very quickly.    Response: ___</w:t>
      </w:r>
    </w:p>
    <w:p>
      <w:r>
        <w:t>8. I found the system very cumbersome to use.    Response: ___</w:t>
      </w:r>
    </w:p>
    <w:p>
      <w:r>
        <w:t>9. I felt very confident using the system.    Response: ___</w:t>
      </w:r>
    </w:p>
    <w:p>
      <w:r>
        <w:t>10. I needed to learn a lot of things before I could get going with this system.    Response: ___</w:t>
      </w:r>
    </w:p>
    <w:p>
      <w:pPr>
        <w:pStyle w:val="Heading1"/>
      </w:pPr>
      <w:r>
        <w:t>Feature ratings</w:t>
      </w:r>
    </w:p>
    <w:p>
      <w:r>
        <w:t>For features you used, rate clarity/ease from 1 Very difficult/unclear to 5 Very easy/clear. Choose Not used where appropriate. These items are separate from SUS.</w:t>
      </w:r>
    </w:p>
    <w:p>
      <w:r>
        <w:t>Model selection    1 / 2 / 3 / 4 / 5 / Not used</w:t>
      </w:r>
    </w:p>
    <w:p>
      <w:r>
        <w:t>Mode tile settings    1 / 2 / 3 / 4 / 5 / Not used</w:t>
      </w:r>
    </w:p>
    <w:p>
      <w:r>
        <w:t>Legend statistics    1 / 2 / 3 / 4 / 5 / Not used</w:t>
      </w:r>
    </w:p>
    <w:p>
      <w:r>
        <w:t>Tile details    1 / 2 / 3 / 4 / 5 / Not used</w:t>
      </w:r>
    </w:p>
    <w:p>
      <w:r>
        <w:t>Comparison linked    1 / 2 / 3 / 4 / 5 / Not used</w:t>
      </w:r>
    </w:p>
    <w:p>
      <w:r>
        <w:t>Segmentation    1 / 2 / 3 / 4 / 5 / Not used</w:t>
      </w:r>
    </w:p>
    <w:p>
      <w:r>
        <w:t>History rerun    1 / 2 / 3 / 4 / 5 / Not used</w:t>
      </w:r>
    </w:p>
    <w:p>
      <w:r>
        <w:t>Export    1 / 2 / 3 / 4 / 5 / Not used</w:t>
      </w:r>
    </w:p>
    <w:p>
      <w:r>
        <w:t>Cancel progress    1 / 2 / 3 / 4 / 5 / Not used</w:t>
      </w:r>
    </w:p>
    <w:p>
      <w:r>
        <w:t>Settings help    1 / 2 / 3 / 4 / 5 / Not used</w:t>
      </w:r>
    </w:p>
    <w:p>
      <w:pPr>
        <w:pStyle w:val="Heading1"/>
      </w:pPr>
      <w:r>
        <w:t>Open feedback</w:t>
      </w:r>
    </w:p>
    <w:p>
      <w:r>
        <w:t>Which part was easiest?</w:t>
        <w:br/>
        <w:t>________________________________________________________</w:t>
      </w:r>
    </w:p>
    <w:p>
      <w:r>
        <w:t>Which part was confusing?</w:t>
        <w:br/>
        <w:t>________________________________________________________</w:t>
      </w:r>
    </w:p>
    <w:p>
      <w:r>
        <w:t>Was a statistic or colour meaning unclear?</w:t>
        <w:br/>
        <w:t>________________________________________________________</w:t>
      </w:r>
    </w:p>
    <w:p>
      <w:r>
        <w:t>Could you recover from an error or cancel safely?</w:t>
        <w:br/>
        <w:t>________________________________________________________</w:t>
      </w:r>
    </w:p>
    <w:p>
      <w:r>
        <w:t>What would you change first?</w:t>
        <w:br/>
        <w:t>________________________________________________________</w:t>
      </w:r>
    </w:p>
    <w:p>
      <w:r>
        <w:t>Would you use the system for the stated educational/research task? Yes / Maybe / No; why?</w:t>
        <w:br/>
        <w:t>________________________________________________________</w:t>
      </w:r>
    </w:p>
    <w:p>
      <w:r>
        <w:t>Reference: Brooke, J. (1996). SUS: A “quick and dirty” usability scale. In Usability Evaluation in Industry, pp. 189–194.</w:t>
      </w:r>
    </w:p>
    <w:sectPr w:rsidR="00FC693F" w:rsidRPr="0006063C" w:rsidSect="00034616">
      <w:pgSz w:w="11906" w:h="16838"/>
      <w:pgMar w:top="1440" w:right="1304" w:bottom="144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2026-10-17T14:21:52Z</dcterms:created>
  <dcterms:modified xsi:type="dcterms:W3CDTF">2026-10-17T14:21:52Z</dcterms:modified>
  <cp:category/>
</cp:coreProperties>
</file>