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her guidance throughout this capstone project, for providing the reference classification training code, and for providing the segmentation model and inference notebook. I conducted the classification training and evaluation and developed the desktop application, including model integration, result inspection, history, export and the associated interaction workflows.</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ZY-Path is a local PyQt5 desktop application for model-aware histopathology classification, combining Single image and Tiled analysis modes, spatial inspection, SQLite history, recorded rerun and export, with a separate supervisor-provided segmentation integration. On 7,180 CRC-VAL-HE-7K patches, the classifier achieved 90.68% accuracy and 88.59% macro-F1 through both the recorded OpenCV/Albumentations pipeline and the application’s default Pillow Single image core, with agreement on all predicted labels. The complete native Windows automated suite passed all 370 tests; UAT, segmentation accuracy, systematic performance measurement and clean-machine deployment remain to be evaluated.</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ix</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7</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8</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8</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8</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8</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9</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9</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10</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11</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11</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11</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12</w:t>
      </w:r>
      <w:r>
        <w:fldChar w:fldCharType="end"/>
      </w:r>
    </w:p>
    <w:p>
      <w:pPr>
        <w:pStyle w:val="TOC3"/>
        <w:tabs>
          <w:tab w:pos="8986" w:val="right" w:leader="dot"/>
        </w:tabs>
      </w:pPr>
      <w:r>
        <w:t>2.3.1 QuPath</w:t>
        <w:tab/>
      </w:r>
      <w:r>
        <w:fldChar w:fldCharType="begin"/>
      </w:r>
      <w:r>
        <w:instrText xml:space="preserve">PAGEREF head_24 \h</w:instrText>
      </w:r>
      <w:r>
        <w:fldChar w:fldCharType="separate"/>
      </w:r>
      <w:r>
        <w:t>12</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12</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13</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13</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13</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14</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15</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15</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16</w:t>
      </w:r>
      <w:r>
        <w:fldChar w:fldCharType="end"/>
      </w:r>
    </w:p>
    <w:p>
      <w:pPr>
        <w:pStyle w:val="TOC2"/>
        <w:tabs>
          <w:tab w:pos="8986" w:val="right" w:leader="dot"/>
        </w:tabs>
      </w:pPr>
      <w:r>
        <w:t>2.8 Summary</w:t>
        <w:tab/>
      </w:r>
      <w:r>
        <w:fldChar w:fldCharType="begin"/>
      </w:r>
      <w:r>
        <w:instrText xml:space="preserve">PAGEREF head_33 \h</w:instrText>
      </w:r>
      <w:r>
        <w:fldChar w:fldCharType="separate"/>
      </w:r>
      <w:r>
        <w:t>17</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18</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18</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20</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20</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21</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22</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23</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23</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23</w:t>
      </w:r>
      <w:r>
        <w:fldChar w:fldCharType="end"/>
      </w:r>
    </w:p>
    <w:p>
      <w:pPr>
        <w:pStyle w:val="TOC3"/>
        <w:tabs>
          <w:tab w:pos="8986" w:val="right" w:leader="dot"/>
        </w:tabs>
      </w:pPr>
      <w:r>
        <w:t>3.3.2 Classification training and model configuration</w:t>
        <w:tab/>
      </w:r>
      <w:r>
        <w:fldChar w:fldCharType="begin"/>
      </w:r>
      <w:r>
        <w:instrText xml:space="preserve">PAGEREF head_43 \h</w:instrText>
      </w:r>
      <w:r>
        <w:fldChar w:fldCharType="separate"/>
      </w:r>
      <w:r>
        <w:t>24</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25</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25</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26</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27</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29</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29</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31</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31</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31</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32</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33</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33</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34</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34</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35</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36</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39</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40</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40</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40</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41</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41</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42</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42</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45</w:t>
      </w:r>
      <w:r>
        <w:fldChar w:fldCharType="end"/>
      </w:r>
    </w:p>
    <w:p>
      <w:pPr>
        <w:pStyle w:val="TOC2"/>
        <w:tabs>
          <w:tab w:pos="8986" w:val="right" w:leader="dot"/>
        </w:tabs>
      </w:pPr>
      <w:r>
        <w:t>3.8 Summary</w:t>
        <w:tab/>
      </w:r>
      <w:r>
        <w:fldChar w:fldCharType="begin"/>
      </w:r>
      <w:r>
        <w:instrText xml:space="preserve">PAGEREF head_69 \h</w:instrText>
      </w:r>
      <w:r>
        <w:fldChar w:fldCharType="separate"/>
      </w:r>
      <w:r>
        <w:t>46</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47</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47</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47</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47</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48</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49</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50</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50</w:t>
      </w:r>
      <w:r>
        <w:fldChar w:fldCharType="end"/>
      </w:r>
    </w:p>
    <w:p>
      <w:pPr>
        <w:pStyle w:val="TOC3"/>
        <w:tabs>
          <w:tab w:pos="8986" w:val="right" w:leader="dot"/>
        </w:tabs>
      </w:pPr>
      <w:r>
        <w:t>4.2.6 Classification training and test results</w:t>
        <w:tab/>
      </w:r>
      <w:r>
        <w:fldChar w:fldCharType="begin"/>
      </w:r>
      <w:r>
        <w:instrText xml:space="preserve">PAGEREF new_4_3_4_Classification_training_and_test \h</w:instrText>
      </w:r>
      <w:r>
        <w:fldChar w:fldCharType="separate"/>
      </w:r>
      <w:r>
        <w:t>52</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57</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57</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59</w:t>
      </w:r>
      <w:r>
        <w:fldChar w:fldCharType="end"/>
      </w:r>
    </w:p>
    <w:p>
      <w:pPr>
        <w:pStyle w:val="TOC3"/>
        <w:tabs>
          <w:tab w:pos="8986" w:val="right" w:leader="dot"/>
        </w:tabs>
      </w:pPr>
      <w:r>
        <w:t>4.3.3 Windows startup and window-state observations</w:t>
        <w:tab/>
      </w:r>
      <w:r>
        <w:fldChar w:fldCharType="begin"/>
      </w:r>
      <w:r>
        <w:instrText xml:space="preserve">PAGEREF head_81 \h</w:instrText>
      </w:r>
      <w:r>
        <w:fldChar w:fldCharType="separate"/>
      </w:r>
      <w:r>
        <w:t>61</w:t>
      </w:r>
      <w:r>
        <w:fldChar w:fldCharType="end"/>
      </w:r>
    </w:p>
    <w:p>
      <w:pPr>
        <w:pStyle w:val="TOC3"/>
        <w:tabs>
          <w:tab w:pos="8986" w:val="right" w:leader="dot"/>
        </w:tabs>
      </w:pPr>
      <w:r>
        <w:t>4.3.4 Runtime and deployment verification status</w:t>
        <w:tab/>
      </w:r>
      <w:r>
        <w:fldChar w:fldCharType="begin"/>
      </w:r>
      <w:r>
        <w:instrText xml:space="preserve">PAGEREF new_4_3_5_Runtime_and_deployment_verificat \h</w:instrText>
      </w:r>
      <w:r>
        <w:fldChar w:fldCharType="separate"/>
      </w:r>
      <w:r>
        <w:t>62</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62</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62</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63</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64</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65</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65</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65</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65</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67</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67</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68</w:t>
      </w:r>
      <w:r>
        <w:fldChar w:fldCharType="end"/>
      </w:r>
    </w:p>
    <w:p>
      <w:pPr>
        <w:pStyle w:val="TOC2"/>
        <w:tabs>
          <w:tab w:pos="8986" w:val="right" w:leader="dot"/>
        </w:tabs>
      </w:pPr>
      <w:r>
        <w:t>4.6 Summary</w:t>
        <w:tab/>
      </w:r>
      <w:r>
        <w:fldChar w:fldCharType="begin"/>
      </w:r>
      <w:r>
        <w:instrText xml:space="preserve">PAGEREF head_93 \h</w:instrText>
      </w:r>
      <w:r>
        <w:fldChar w:fldCharType="separate"/>
      </w:r>
      <w:r>
        <w:t>69</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70</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70</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71</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71</w:t>
      </w:r>
      <w:r>
        <w:fldChar w:fldCharType="end"/>
      </w:r>
    </w:p>
    <w:p>
      <w:pPr>
        <w:pStyle w:val="TOC2"/>
        <w:tabs>
          <w:tab w:pos="8986" w:val="right" w:leader="dot"/>
        </w:tabs>
      </w:pPr>
      <w:r>
        <w:t>5.4 Summary</w:t>
        <w:tab/>
      </w:r>
      <w:r>
        <w:fldChar w:fldCharType="begin"/>
      </w:r>
      <w:r>
        <w:instrText xml:space="preserve">PAGEREF head_98 \h</w:instrText>
      </w:r>
      <w:r>
        <w:fldChar w:fldCharType="separate"/>
      </w:r>
      <w:r>
        <w:t>72</w:t>
      </w:r>
      <w:r>
        <w:fldChar w:fldCharType="end"/>
      </w:r>
    </w:p>
    <w:p>
      <w:pPr>
        <w:pStyle w:val="TOC1"/>
        <w:tabs>
          <w:tab w:pos="8986" w:val="right" w:leader="dot"/>
        </w:tabs>
      </w:pPr>
      <w:r>
        <w:t>References</w:t>
        <w:tab/>
      </w:r>
      <w:r>
        <w:fldChar w:fldCharType="begin"/>
      </w:r>
      <w:r>
        <w:instrText xml:space="preserve">PAGEREF head_99 \h</w:instrText>
      </w:r>
      <w:r>
        <w:fldChar w:fldCharType="separate"/>
      </w:r>
      <w:r>
        <w:t>73</w:t>
      </w:r>
      <w:r>
        <w:fldChar w:fldCharType="end"/>
      </w:r>
    </w:p>
    <w:p>
      <w:pPr>
        <w:pStyle w:val="TOC2"/>
        <w:tabs>
          <w:tab w:pos="8986" w:val="right" w:leader="dot"/>
        </w:tabs>
      </w:pPr>
      <w:r>
        <w:t>I. Peer-Reviewed Journal Articles</w:t>
        <w:tab/>
      </w:r>
      <w:r>
        <w:fldChar w:fldCharType="begin"/>
      </w:r>
      <w:r>
        <w:instrText xml:space="preserve">PAGEREF ref_group_1 \h</w:instrText>
      </w:r>
      <w:r>
        <w:fldChar w:fldCharType="separate"/>
      </w:r>
      <w:r>
        <w:t>73</w:t>
      </w:r>
      <w:r>
        <w:fldChar w:fldCharType="end"/>
      </w:r>
    </w:p>
    <w:p>
      <w:pPr>
        <w:pStyle w:val="TOC2"/>
        <w:tabs>
          <w:tab w:pos="8986" w:val="right" w:leader="dot"/>
        </w:tabs>
      </w:pPr>
      <w:r>
        <w:t>II. Peer-Reviewed Conference Papers</w:t>
        <w:tab/>
      </w:r>
      <w:r>
        <w:fldChar w:fldCharType="begin"/>
      </w:r>
      <w:r>
        <w:instrText xml:space="preserve">PAGEREF ref_group_2 \h</w:instrText>
      </w:r>
      <w:r>
        <w:fldChar w:fldCharType="separate"/>
      </w:r>
      <w:r>
        <w:t>73</w:t>
      </w:r>
      <w:r>
        <w:fldChar w:fldCharType="end"/>
      </w:r>
    </w:p>
    <w:p>
      <w:pPr>
        <w:pStyle w:val="TOC2"/>
        <w:tabs>
          <w:tab w:pos="8986" w:val="right" w:leader="dot"/>
        </w:tabs>
      </w:pPr>
      <w:r>
        <w:t>III. Books and Book Chapters</w:t>
        <w:tab/>
      </w:r>
      <w:r>
        <w:fldChar w:fldCharType="begin"/>
      </w:r>
      <w:r>
        <w:instrText xml:space="preserve">PAGEREF ref_group_3 \h</w:instrText>
      </w:r>
      <w:r>
        <w:fldChar w:fldCharType="separate"/>
      </w:r>
      <w:r>
        <w:t>74</w:t>
      </w:r>
      <w:r>
        <w:fldChar w:fldCharType="end"/>
      </w:r>
    </w:p>
    <w:p>
      <w:pPr>
        <w:pStyle w:val="TOC2"/>
        <w:tabs>
          <w:tab w:pos="8986" w:val="right" w:leader="dot"/>
        </w:tabs>
      </w:pPr>
      <w:r>
        <w:t>IV. Magazine and Technical Articles</w:t>
        <w:tab/>
      </w:r>
      <w:r>
        <w:fldChar w:fldCharType="begin"/>
      </w:r>
      <w:r>
        <w:instrText xml:space="preserve">PAGEREF ref_group_4 \h</w:instrText>
      </w:r>
      <w:r>
        <w:fldChar w:fldCharType="separate"/>
      </w:r>
      <w:r>
        <w:t>74</w:t>
      </w:r>
      <w:r>
        <w:fldChar w:fldCharType="end"/>
      </w:r>
    </w:p>
    <w:p>
      <w:pPr>
        <w:pStyle w:val="TOC2"/>
        <w:tabs>
          <w:tab w:pos="8986" w:val="right" w:leader="dot"/>
        </w:tabs>
      </w:pPr>
      <w:r>
        <w:t>V. Standards, Documentation, and Online Resources</w:t>
        <w:tab/>
      </w:r>
      <w:r>
        <w:fldChar w:fldCharType="begin"/>
      </w:r>
      <w:r>
        <w:instrText xml:space="preserve">PAGEREF ref_group_5 \h</w:instrText>
      </w:r>
      <w:r>
        <w:fldChar w:fldCharType="separate"/>
      </w:r>
      <w:r>
        <w:t>74</w:t>
      </w:r>
      <w:r>
        <w:fldChar w:fldCharType="end"/>
      </w:r>
    </w:p>
    <w:p>
      <w:pPr>
        <w:pStyle w:val="TOC1"/>
        <w:tabs>
          <w:tab w:pos="8986" w:val="right" w:leader="dot"/>
        </w:tabs>
      </w:pPr>
      <w:r>
        <w:t>Appendices</w:t>
        <w:tab/>
      </w:r>
      <w:r>
        <w:fldChar w:fldCharType="begin"/>
      </w:r>
      <w:r>
        <w:instrText xml:space="preserve">PAGEREF head_100 \h</w:instrText>
      </w:r>
      <w:r>
        <w:fldChar w:fldCharType="separate"/>
      </w:r>
      <w:r>
        <w:t>76</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76</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76</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81</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82</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83</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83</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83</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83</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85</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85</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85</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86</w:t>
      </w:r>
      <w:r>
        <w:fldChar w:fldCharType="end"/>
      </w:r>
    </w:p>
    <w:p>
      <w:pPr>
        <w:pStyle w:val="TOC3"/>
        <w:tabs>
          <w:tab w:pos="8986" w:val="right" w:leader="dot"/>
        </w:tabs>
      </w:pPr>
      <w:r>
        <w:t>C.1 Source baseline</w:t>
        <w:tab/>
      </w:r>
      <w:r>
        <w:fldChar w:fldCharType="begin"/>
      </w:r>
      <w:r>
        <w:instrText xml:space="preserve">PAGEREF head_113 \h</w:instrText>
      </w:r>
      <w:r>
        <w:fldChar w:fldCharType="separate"/>
      </w:r>
      <w:r>
        <w:t>86</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88</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88</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88</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89</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90</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90</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90</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91</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Representative H&amp;E colorectal tissue image (evidence pending; replace this reserved area with the actual authorised capture).</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10</w:t>
      </w:r>
      <w:r>
        <w:fldChar w:fldCharType="end"/>
      </w:r>
    </w:p>
    <w:p>
      <w:pPr>
        <w:pStyle w:val="TOC1"/>
        <w:tabs>
          <w:tab w:pos="8986" w:val="right" w:leader="dot"/>
        </w:tabs>
      </w:pPr>
      <w:r>
        <w:t>Figure 3.1. Implemented logical architecture and artifact flow. Source: author, based on the project’s Python modules.</w:t>
        <w:tab/>
      </w:r>
      <w:r>
        <w:fldChar w:fldCharType="begin"/>
      </w:r>
      <w:r>
        <w:instrText xml:space="preserve">PAGEREF cap_Figure_3_1 \h</w:instrText>
      </w:r>
      <w:r>
        <w:fldChar w:fldCharType="separate"/>
      </w:r>
      <w:r>
        <w:t>19</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32</w:t>
      </w:r>
      <w:r>
        <w:fldChar w:fldCharType="end"/>
      </w:r>
    </w:p>
    <w:p>
      <w:pPr>
        <w:pStyle w:val="TOC1"/>
        <w:tabs>
          <w:tab w:pos="8986" w:val="right" w:leader="dot"/>
        </w:tabs>
      </w:pPr>
      <w:r>
        <w:t>Figure 3.3. Use case diagram for the implemented local analysis workflow. File/model trust and clinical interpretation remain external responsibilities. Source: author, based on the implemented application.</w:t>
        <w:tab/>
      </w:r>
      <w:r>
        <w:fldChar w:fldCharType="begin"/>
      </w:r>
      <w:r>
        <w:instrText xml:space="preserve">PAGEREF cap_Figure_3_3 \h</w:instrText>
      </w:r>
      <w:r>
        <w:fldChar w:fldCharType="separate"/>
      </w:r>
      <w:r>
        <w:t>35</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 Source: author, based on the implemented application.</w:t>
        <w:tab/>
      </w:r>
      <w:r>
        <w:fldChar w:fldCharType="begin"/>
      </w:r>
      <w:r>
        <w:instrText xml:space="preserve">PAGEREF cap_Figure_3_4 \h</w:instrText>
      </w:r>
      <w:r>
        <w:fldChar w:fldCharType="separate"/>
      </w:r>
      <w:r>
        <w:t>36</w:t>
      </w:r>
      <w:r>
        <w:fldChar w:fldCharType="end"/>
      </w:r>
    </w:p>
    <w:p>
      <w:pPr>
        <w:pStyle w:val="TOC1"/>
        <w:tabs>
          <w:tab w:pos="8986" w:val="right" w:leader="dot"/>
        </w:tabs>
      </w:pPr>
      <w:r>
        <w:t>Figure 3.5. Implementation-level class diagram. Relationships represent principal ownership or dependency, not a generated inventory of every method. Source: author, based on the implemented application.</w:t>
        <w:tab/>
      </w:r>
      <w:r>
        <w:fldChar w:fldCharType="begin"/>
      </w:r>
      <w:r>
        <w:instrText xml:space="preserve">PAGEREF cap_Figure_3_5 \h</w:instrText>
      </w:r>
      <w:r>
        <w:fldChar w:fldCharType="separate"/>
      </w:r>
      <w:r>
        <w:t>38</w:t>
      </w:r>
      <w:r>
        <w:fldChar w:fldCharType="end"/>
      </w:r>
    </w:p>
    <w:p>
      <w:pPr>
        <w:pStyle w:val="TOC1"/>
        <w:tabs>
          <w:tab w:pos="8986" w:val="right" w:leader="dot"/>
        </w:tabs>
      </w:pPr>
      <w:r>
        <w:t>Figure 3.6. Activity diagram from parameter selection to completed persistence, with safe cancellation and error exits. Source: author, based on the implemented application.</w:t>
        <w:tab/>
      </w:r>
      <w:r>
        <w:fldChar w:fldCharType="begin"/>
      </w:r>
      <w:r>
        <w:instrText xml:space="preserve">PAGEREF cap_Figure_3_6 \h</w:instrText>
      </w:r>
      <w:r>
        <w:fldChar w:fldCharType="separate"/>
      </w:r>
      <w:r>
        <w:t>39</w:t>
      </w:r>
      <w:r>
        <w:fldChar w:fldCharType="end"/>
      </w:r>
    </w:p>
    <w:p>
      <w:pPr>
        <w:pStyle w:val="TOC1"/>
        <w:tabs>
          <w:tab w:pos="8986" w:val="right" w:leader="dot"/>
        </w:tabs>
      </w:pPr>
      <w:r>
        <w:t>Figure 4.1. Final Windows application overview (evidence pending; replace this reserved area with the actual authorised capture).</w:t>
        <w:tab/>
      </w:r>
      <w:r>
        <w:fldChar w:fldCharType="begin"/>
      </w:r>
      <w:r>
        <w:instrText xml:space="preserve">PAGEREF cap_Figure_4_1 \h</w:instrText>
      </w:r>
      <w:r>
        <w:fldChar w:fldCharType="separate"/>
      </w:r>
      <w:r>
        <w:t>48</w:t>
      </w:r>
      <w:r>
        <w:fldChar w:fldCharType="end"/>
      </w:r>
    </w:p>
    <w:p>
      <w:pPr>
        <w:pStyle w:val="TOC1"/>
        <w:tabs>
          <w:tab w:pos="8986" w:val="right" w:leader="dot"/>
        </w:tabs>
      </w:pPr>
      <w:r>
        <w:t>Figure 4.2. Tiled classification interface with source/result comparison and revised result toggles. Source: author’s Linux/offscreen-Qt development capture; synthetic fixture, not a model result.</w:t>
        <w:tab/>
      </w:r>
      <w:r>
        <w:fldChar w:fldCharType="begin"/>
      </w:r>
      <w:r>
        <w:instrText xml:space="preserve">PAGEREF cap_Figure_4_2 \h</w:instrText>
      </w:r>
      <w:r>
        <w:fldChar w:fldCharType="separate"/>
      </w:r>
      <w:r>
        <w:t>48</w:t>
      </w:r>
      <w:r>
        <w:fldChar w:fldCharType="end"/>
      </w:r>
    </w:p>
    <w:p>
      <w:pPr>
        <w:pStyle w:val="TOC1"/>
        <w:tabs>
          <w:tab w:pos="8986" w:val="right" w:leader="dot"/>
        </w:tabs>
      </w:pPr>
      <w:r>
        <w:t>Figure 4.3. Real-weight single-image and tiled classification evidence (evidence pending; replace this reserved area with the actual authorised capture).</w:t>
        <w:tab/>
      </w:r>
      <w:r>
        <w:fldChar w:fldCharType="begin"/>
      </w:r>
      <w:r>
        <w:instrText xml:space="preserve">PAGEREF cap_Figure_4_3 \h</w:instrText>
      </w:r>
      <w:r>
        <w:fldChar w:fldCharType="separate"/>
      </w:r>
      <w:r>
        <w:t>49</w:t>
      </w:r>
      <w:r>
        <w:fldChar w:fldCharType="end"/>
      </w:r>
    </w:p>
    <w:p>
      <w:pPr>
        <w:pStyle w:val="TOC1"/>
        <w:tabs>
          <w:tab w:pos="8986" w:val="right" w:leader="dot"/>
        </w:tabs>
      </w:pPr>
      <w:r>
        <w:t>Figure 4.4. Windows segmentation result and aligned comparison (evidence pending; replace this reserved area with the actual authorised capture).</w:t>
        <w:tab/>
      </w:r>
      <w:r>
        <w:fldChar w:fldCharType="begin"/>
      </w:r>
      <w:r>
        <w:instrText xml:space="preserve">PAGEREF cap_Figure_4_4 \h</w:instrText>
      </w:r>
      <w:r>
        <w:fldChar w:fldCharType="separate"/>
      </w:r>
      <w:r>
        <w:t>49</w:t>
      </w:r>
      <w:r>
        <w:fldChar w:fldCharType="end"/>
      </w:r>
    </w:p>
    <w:p>
      <w:pPr>
        <w:pStyle w:val="TOC1"/>
        <w:tabs>
          <w:tab w:pos="8986" w:val="right" w:leader="dot"/>
        </w:tabs>
      </w:pPr>
      <w:r>
        <w:t>Figure 4.5. History and recorded-parameter rerun (evidence pending; replace this reserved area with the actual authorised capture).</w:t>
        <w:tab/>
      </w:r>
      <w:r>
        <w:fldChar w:fldCharType="begin"/>
      </w:r>
      <w:r>
        <w:instrText xml:space="preserve">PAGEREF cap_Figure_4_5 \h</w:instrText>
      </w:r>
      <w:r>
        <w:fldChar w:fldCharType="separate"/>
      </w:r>
      <w:r>
        <w:t>50</w:t>
      </w:r>
      <w:r>
        <w:fldChar w:fldCharType="end"/>
      </w:r>
    </w:p>
    <w:p>
      <w:pPr>
        <w:pStyle w:val="TOC1"/>
        <w:tabs>
          <w:tab w:pos="8986" w:val="right" w:leader="dot"/>
        </w:tabs>
      </w:pPr>
      <w:r>
        <w:t>Figure 4.6. Exported report and companion artifacts (evidence pending; replace this reserved area with the actual authorised capture).</w:t>
        <w:tab/>
      </w:r>
      <w:r>
        <w:fldChar w:fldCharType="begin"/>
      </w:r>
      <w:r>
        <w:instrText xml:space="preserve">PAGEREF cap_Figure_4_6 \h</w:instrText>
      </w:r>
      <w:r>
        <w:fldChar w:fldCharType="separate"/>
      </w:r>
      <w:r>
        <w:t>50</w:t>
      </w:r>
      <w:r>
        <w:fldChar w:fldCharType="end"/>
      </w:r>
    </w:p>
    <w:p>
      <w:pPr>
        <w:pStyle w:val="TOC1"/>
        <w:tabs>
          <w:tab w:pos="8986" w:val="right" w:leader="dot"/>
        </w:tabs>
      </w:pPr>
      <w:r>
        <w:t>Figure 4.7. Implemented Guide &amp; Support page with persistent Contents navigation and numbered guidance. Source: author’s Linux/offscreen-Qt development capture; this is interface evidence.</w:t>
        <w:tab/>
      </w:r>
      <w:r>
        <w:fldChar w:fldCharType="begin"/>
      </w:r>
      <w:r>
        <w:instrText xml:space="preserve">PAGEREF cap_Figure_4_7 \h</w:instrText>
      </w:r>
      <w:r>
        <w:fldChar w:fldCharType="separate"/>
      </w:r>
      <w:r>
        <w:t>51</w:t>
      </w:r>
      <w:r>
        <w:fldChar w:fldCharType="end"/>
      </w:r>
    </w:p>
    <w:p>
      <w:pPr>
        <w:pStyle w:val="TOC1"/>
        <w:tabs>
          <w:tab w:pos="8986" w:val="right" w:leader="dot"/>
        </w:tabs>
      </w:pPr>
      <w:r>
        <w:t>Figure 4.8. English history-calendar popup with a simulated Chinese default locale. Source: author’s Linux/offscreen-Qt development capture; the selected date is test input.</w:t>
        <w:tab/>
      </w:r>
      <w:r>
        <w:fldChar w:fldCharType="begin"/>
      </w:r>
      <w:r>
        <w:instrText xml:space="preserve">PAGEREF cap_Figure_4_8 \h</w:instrText>
      </w:r>
      <w:r>
        <w:fldChar w:fldCharType="separate"/>
      </w:r>
      <w:r>
        <w:t>52</w:t>
      </w:r>
      <w:r>
        <w:fldChar w:fldCharType="end"/>
      </w:r>
    </w:p>
    <w:p>
      <w:pPr>
        <w:pStyle w:val="TOC1"/>
        <w:tabs>
          <w:tab w:pos="8986" w:val="right" w:leader="dot"/>
        </w:tabs>
      </w:pPr>
      <w:r>
        <w:t>Figure 4.9. Cancellation and per-task model defaults on Windows (evidence pending; replace this reserved area with the actual authorised capture).</w:t>
        <w:tab/>
      </w:r>
      <w:r>
        <w:fldChar w:fldCharType="begin"/>
      </w:r>
      <w:r>
        <w:instrText xml:space="preserve">PAGEREF cap_Figure_4_9 \h</w:instrText>
      </w:r>
      <w:r>
        <w:fldChar w:fldCharType="separate"/>
      </w:r>
      <w:r>
        <w:t>52</w:t>
      </w:r>
      <w:r>
        <w:fldChar w:fldCharType="end"/>
      </w:r>
    </w:p>
    <w:p>
      <w:pPr>
        <w:pStyle w:val="TOC1"/>
        <w:tabs>
          <w:tab w:pos="8986" w:val="right" w:leader="dot"/>
        </w:tabs>
      </w:pPr>
      <w:r>
        <w:t>Figure 4.10. Classification training and validation over 30 recorded epochs, with the selected epoch 26 marked. Source: author’s plot of experiments/crc-dn21-seed42-10ep/metrics.csv.</w:t>
        <w:tab/>
      </w:r>
      <w:r>
        <w:fldChar w:fldCharType="begin"/>
      </w:r>
      <w:r>
        <w:instrText xml:space="preserve">PAGEREF new_Figure_4_11__Classification_training_a \h</w:instrText>
      </w:r>
      <w:r>
        <w:fldChar w:fldCharType="separate"/>
      </w:r>
      <w:r>
        <w:t>53</w:t>
      </w:r>
      <w:r>
        <w:fldChar w:fldCharType="end"/>
      </w:r>
    </w:p>
    <w:p>
      <w:pPr>
        <w:pStyle w:val="TOC1"/>
        <w:tabs>
          <w:tab w:pos="8986" w:val="right" w:leader="dot"/>
        </w:tabs>
      </w:pPr>
      <w:r>
        <w:t>Figure 4.11. Nine-class confusion matrix for CRC-VAL-HE-7K. Source: the classification experiment’s saved matrix; the Windows default-Pillow predictions independently reproduce every count. Rows are true labels and columns predicted labels.</w:t>
        <w:tab/>
      </w:r>
      <w:r>
        <w:fldChar w:fldCharType="begin"/>
      </w:r>
      <w:r>
        <w:instrText xml:space="preserve">PAGEREF new_Figure_4_12__Nine_class_confusion_matr \h</w:instrText>
      </w:r>
      <w:r>
        <w:fldChar w:fldCharType="separate"/>
      </w:r>
      <w:r>
        <w:t>55</w:t>
      </w:r>
      <w:r>
        <w:fldChar w:fldCharType="end"/>
      </w:r>
    </w:p>
    <w:p>
      <w:pPr>
        <w:pStyle w:val="TOC1"/>
        <w:tabs>
          <w:tab w:pos="8986" w:val="right" w:leader="dot"/>
        </w:tabs>
      </w:pPr>
      <w:r>
        <w:t>Figure 4.12. Completed Windows pytest report, 19 October 2026. Source: the recorded full-suite log; selected text is reproduced with omissions marked.</w:t>
        <w:tab/>
      </w:r>
      <w:r>
        <w:fldChar w:fldCharType="begin"/>
      </w:r>
      <w:r>
        <w:instrText xml:space="preserve">PAGEREF cap_Figure_4_10 \h</w:instrText>
      </w:r>
      <w:r>
        <w:fldChar w:fldCharType="separate"/>
      </w:r>
      <w:r>
        <w:t>59</w:t>
      </w:r>
      <w:r>
        <w:fldChar w:fldCharType="end"/>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14</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20</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21</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27</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28</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30</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43</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45</w:t>
      </w:r>
      <w:r>
        <w:fldChar w:fldCharType="end"/>
      </w:r>
    </w:p>
    <w:p>
      <w:pPr>
        <w:pStyle w:val="TOC1"/>
        <w:tabs>
          <w:tab w:pos="8986" w:val="right" w:leader="dot"/>
        </w:tabs>
      </w:pPr>
      <w:r>
        <w:t>Table 4.1. Classification evaluation summary</w:t>
        <w:tab/>
      </w:r>
      <w:r>
        <w:fldChar w:fldCharType="begin"/>
      </w:r>
      <w:r>
        <w:instrText xml:space="preserve">PAGEREF new_Table_4_4__Classification_evaluation_s \h</w:instrText>
      </w:r>
      <w:r>
        <w:fldChar w:fldCharType="separate"/>
      </w:r>
      <w:r>
        <w:t>53</w:t>
      </w:r>
      <w:r>
        <w:fldChar w:fldCharType="end"/>
      </w:r>
    </w:p>
    <w:p>
      <w:pPr>
        <w:pStyle w:val="TOC1"/>
        <w:tabs>
          <w:tab w:pos="8986" w:val="right" w:leader="dot"/>
        </w:tabs>
      </w:pPr>
      <w:r>
        <w:t>Table 4.2. Class-wise classification performance on 7,180 test images</w:t>
        <w:tab/>
      </w:r>
      <w:r>
        <w:fldChar w:fldCharType="begin"/>
      </w:r>
      <w:r>
        <w:instrText xml:space="preserve">PAGEREF new_Table_4_5__Class_wise_classification_p \h</w:instrText>
      </w:r>
      <w:r>
        <w:fldChar w:fldCharType="separate"/>
      </w:r>
      <w:r>
        <w:t>54</w:t>
      </w:r>
      <w:r>
        <w:fldChar w:fldCharType="end"/>
      </w:r>
    </w:p>
    <w:p>
      <w:pPr>
        <w:pStyle w:val="TOC1"/>
        <w:tabs>
          <w:tab w:pos="8986" w:val="right" w:leader="dot"/>
        </w:tabs>
      </w:pPr>
      <w:r>
        <w:t>Table 4.3. Final Windows automated test result</w:t>
        <w:tab/>
      </w:r>
      <w:r>
        <w:fldChar w:fldCharType="begin"/>
      </w:r>
      <w:r>
        <w:instrText xml:space="preserve">PAGEREF cap_Table_4_1 \h</w:instrText>
      </w:r>
      <w:r>
        <w:fldChar w:fldCharType="separate"/>
      </w:r>
      <w:r>
        <w:t>57</w:t>
      </w:r>
      <w:r>
        <w:fldChar w:fldCharType="end"/>
      </w:r>
    </w:p>
    <w:p>
      <w:pPr>
        <w:pStyle w:val="TOC1"/>
        <w:tabs>
          <w:tab w:pos="8986" w:val="right" w:leader="dot"/>
        </w:tabs>
      </w:pPr>
      <w:r>
        <w:t>Table 4.4. Windows test host and actual CPU runtime on 19 October 2026</w:t>
        <w:tab/>
      </w:r>
      <w:r>
        <w:fldChar w:fldCharType="begin"/>
      </w:r>
      <w:r>
        <w:instrText xml:space="preserve">PAGEREF new_Table_4_2__Windows_test_host_and_actua \h</w:instrText>
      </w:r>
      <w:r>
        <w:fldChar w:fldCharType="separate"/>
      </w:r>
      <w:r>
        <w:t>58</w:t>
      </w:r>
      <w:r>
        <w:fldChar w:fldCharType="end"/>
      </w:r>
    </w:p>
    <w:p>
      <w:pPr>
        <w:pStyle w:val="TOC1"/>
        <w:tabs>
          <w:tab w:pos="8986" w:val="right" w:leader="dot"/>
        </w:tabs>
      </w:pPr>
      <w:r>
        <w:t>Table 4.5. Implementation challenges and verified resolutions</w:t>
        <w:tab/>
      </w:r>
      <w:r>
        <w:fldChar w:fldCharType="begin"/>
      </w:r>
      <w:r>
        <w:instrText xml:space="preserve">PAGEREF cap_Table_4_2 \h</w:instrText>
      </w:r>
      <w:r>
        <w:fldChar w:fldCharType="separate"/>
      </w:r>
      <w:r>
        <w:t>59</w:t>
      </w:r>
      <w:r>
        <w:fldChar w:fldCharType="end"/>
      </w:r>
    </w:p>
    <w:p>
      <w:pPr>
        <w:pStyle w:val="TOC1"/>
        <w:tabs>
          <w:tab w:pos="8986" w:val="right" w:leader="dot"/>
        </w:tabs>
      </w:pPr>
      <w:r>
        <w:t>Table 4.6. UAT participant profile — awaiting actual responses</w:t>
        <w:tab/>
      </w:r>
      <w:r>
        <w:fldChar w:fldCharType="begin"/>
      </w:r>
      <w:r>
        <w:instrText xml:space="preserve">PAGEREF cap_Table_4_3 \h</w:instrText>
      </w:r>
      <w:r>
        <w:fldChar w:fldCharType="separate"/>
      </w:r>
      <w:r>
        <w:t>62</w:t>
      </w:r>
      <w:r>
        <w:fldChar w:fldCharType="end"/>
      </w:r>
    </w:p>
    <w:p>
      <w:pPr>
        <w:pStyle w:val="TOC1"/>
        <w:tabs>
          <w:tab w:pos="8986" w:val="right" w:leader="dot"/>
        </w:tabs>
      </w:pPr>
      <w:r>
        <w:t>Table 4.7. UAT quantitative summary — awaiting valid data</w:t>
        <w:tab/>
      </w:r>
      <w:r>
        <w:fldChar w:fldCharType="begin"/>
      </w:r>
      <w:r>
        <w:instrText xml:space="preserve">PAGEREF cap_Table_4_4 \h</w:instrText>
      </w:r>
      <w:r>
        <w:fldChar w:fldCharType="separate"/>
      </w:r>
      <w:r>
        <w:t>63</w:t>
      </w:r>
      <w:r>
        <w:fldChar w:fldCharType="end"/>
      </w:r>
    </w:p>
    <w:p>
      <w:pPr>
        <w:pStyle w:val="TOC1"/>
        <w:tabs>
          <w:tab w:pos="8986" w:val="right" w:leader="dot"/>
        </w:tabs>
      </w:pPr>
      <w:r>
        <w:t>Table 4.8. Feature ratings — awaiting actual use and responses</w:t>
        <w:tab/>
      </w:r>
      <w:r>
        <w:fldChar w:fldCharType="begin"/>
      </w:r>
      <w:r>
        <w:instrText xml:space="preserve">PAGEREF cap_Table_4_5 \h</w:instrText>
      </w:r>
      <w:r>
        <w:fldChar w:fldCharType="separate"/>
      </w:r>
      <w:r>
        <w:t>64</w:t>
      </w:r>
      <w:r>
        <w:fldChar w:fldCharType="end"/>
      </w:r>
    </w:p>
    <w:p>
      <w:pPr>
        <w:pStyle w:val="TOC1"/>
        <w:tabs>
          <w:tab w:pos="8986" w:val="right" w:leader="dot"/>
        </w:tabs>
      </w:pPr>
      <w:r>
        <w:t>Table 4.9. Objective achievement and outstanding evidence</w:t>
        <w:tab/>
      </w:r>
      <w:r>
        <w:fldChar w:fldCharType="begin"/>
      </w:r>
      <w:r>
        <w:instrText xml:space="preserve">PAGEREF cap_Table_4_6 \h</w:instrText>
      </w:r>
      <w:r>
        <w:fldChar w:fldCharType="separate"/>
      </w:r>
      <w:r>
        <w:t>66</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76</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78</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81</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84</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86</w:t>
      </w:r>
      <w:r>
        <w:fldChar w:fldCharType="end"/>
      </w:r>
    </w:p>
    <w:p>
      <w:pPr>
        <w:pStyle w:val="TOC1"/>
        <w:tabs>
          <w:tab w:pos="8986" w:val="right" w:leader="dot"/>
        </w:tabs>
      </w:pPr>
      <w:r>
        <w:t>Table C.2. Windows automated test execution history</w:t>
        <w:tab/>
      </w:r>
      <w:r>
        <w:fldChar w:fldCharType="begin"/>
      </w:r>
      <w:r>
        <w:instrText xml:space="preserve">PAGEREF cap_Table_C_2 \h</w:instrText>
      </w:r>
      <w:r>
        <w:fldChar w:fldCharType="separate"/>
      </w:r>
      <w:r>
        <w:t>88</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89</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(Litjens et al., 2017; Kather et al., 2019). Figure 1.1 is reserved for an authorised H&amp;E example illustrating this tissue context.</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Representative H&amp;E colorectal tissue image</w:t>
            </w:r>
          </w:p>
          <w:p>
            <w:pPr>
              <w:spacing w:line="276" w:lineRule="auto"/>
            </w:pPr>
            <w:r>
              <w:rPr>
                <w:rFonts w:ascii="Arial" w:hAnsi="Arial" w:eastAsia="Noto Sans CJK SC"/>
                <w:b w:val="0"/>
                <w:color w:val="6A4A10"/>
                <w:sz w:val="20"/>
              </w:rPr>
              <w:t>Insert an authorised, de-identified image used in this project, with dataset/sample identifier, source credit and known scale if available. This replaces the proposal's illustrative tissue image only if its provenance cannot be confirmed. Do not label a generated test pattern as histology.</w:t>
            </w:r>
          </w:p>
        </w:tc>
      </w:tr>
    </w:tbl>
    <w:p>
      <w:bookmarkStart w:id="7" w:name="cap_Figure_1_1"/>
      <w:pPr>
        <w:pStyle w:val="FigureCaption"/>
      </w:pPr>
      <w:r>
        <w:t>Figure 1.1. Representative H&amp;E colorectal tissue image (evidence pending; replace this reserved area with the actual authorised capture).</w:t>
      </w:r>
      <w:bookmarkEnd w:id="7"/>
    </w:p>
    <w:p>
      <w:pPr>
        <w:jc w:val="both"/>
      </w:pPr>
      <w:r>
        <w:t>Convolutional neural networks support classification and segmentation through learned visual representations. DenseNet provides feature reuse through dense connectivity, while encoder–decoder and multiscale architectures support spatial prediction (Huang et al., 2017; Ronneberger et al., 2015; Xiao et al., 2018).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Existing pathology platforms offer graphical inspection and analysis: QuPath provides an extensible image-analysis environment, Slideflow Studio supports whole-slide visualisation, and WSInfer integrates reusable pretrained models with QuPath (Bankhead et al., 2017; Dolezal et al., 2024; Kaczmarzyk et al., 2024). ZY-Path addresses a focused workflow within this landscape by connecting supported local model loading, distinct analysis modes, spatial inspection and persistent inference records in one desktop application.</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original research questions remain relevant to this implemented scope:</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In this project, direct loading refers to trusted model representations with supported input/output and metadata contracts. Recorded rerun restores a previous analysis configuration under stable files and dependencies. These operational definitions guide the requirements and evaluation; their boundaries are discussed in Section 4.5.3.</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result, export a report and rerun its recorded model, mode and parameters. Keeping these settings separate from current preferences makes the previous analysis intelligible and reduces manual reconstruction of its configuration.</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provides a descriptive measure of perceived usability; its interpretation will use the actual sample, tasks and score distribution (Brooke, 1996; Bangor et al., 2009). Hypothesis assessment combines the technical evidence with the corresponding user evidence rather than treating software tests as responses to a usability survey.</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r>
        <w:t>To support O2 and O3 with model evidence, I also trained and evaluated the classifier using the reference code provided by my supervisor. This supporting research activity supplies a documented checkpoint and patch-level evaluation; it is separate from the inference-only GUI and introduces no new neural architecture.</w:t>
      </w:r>
    </w:p>
    <w:p>
      <w:pPr>
        <w:jc w:val="both"/>
      </w:pPr>
      <w:r>
        <w:t>Tiled analysis, cancellation, task-specific model defaults and responsive comparison views refine these objectives. O1 is implemented through local source execution without an application server; producing and validating a standalone executable is a further deployment objective addressed in Sections 4.3.4 and 5.2.</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classifier uses the ordered classes ADI, BACK, DEB, LYM, MUC, MUS, NORM, STR and TUM. Segmentation has a separate nine-label vocabulary and palette. Classification source tiles begin at an editable 512 × 512 pixels, with training-scale equivalence explicitly unconfirmed; the consequences of source scale and edge resizing are discussed in Section 4.5.3.</w:t>
      </w:r>
    </w:p>
    <w:p>
      <w:pPr>
        <w:jc w:val="both"/>
      </w:pPr>
      <w:r>
        <w:t>The following CP1 exclusions remain applicable:</w:t>
      </w:r>
    </w:p>
    <w:p>
      <w:pPr>
        <w:jc w:val="both"/>
      </w:pPr>
      <w:r>
        <w:t>AI model training and optimization</w:t>
      </w:r>
    </w:p>
    <w:p>
      <w:pPr>
        <w:jc w:val="both"/>
      </w:pPr>
      <w:r>
        <w:t>The desktop application is inference-only. Classification training was carried out separately using the reference code provided by my supervisor; the resulting model was then integrated into ZY-Path. Training loops and hyperparameter tuning are not exposed through the GUI.</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Local execution requires the selected model files and, for UPerNet reconstruction, its verified configuration in the local Hugging Face cache. Windows source execution and real-classifier validation are documented in Section 4.3.3; offline package verification is addressed separately in Section 4.3.4.</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For education, the interface gives students and researchers a way to explore supported model outputs without writing inference code. Visible modes, class legends, source comparisons and retrievable records connect technical settings to the interpretation of a result.</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SDG 3 and SDG 4 provide the wider motivation for the project. The present evaluation concerns engineering behaviour and classification performance; the planned UAT will examine the educational/research workflow from the intended users’ perspective.</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follows a thematic narrative approach, combining foundational research, platform publications and primary technical documentation. Each theme is linked to an implementation decision or evaluation requirement. Platform comparisons concern documented capabilities and their relevance to the selected task, with source limitations recorded in the reference audit.</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Histopathology examines stained tissue to interpret cellular morphology and tissue architecture. H&amp;E images provide patterns relevant to diagnosis and research, while digital analysis translates those images into computational inputs (Litjens et al., 2017). The unit of analysis must be explicit because an image patch, a larger raster region and a whole-slide pyramid have different sampling and resource requirements.</w:t>
      </w:r>
    </w:p>
    <w:p>
      <w:pPr>
        <w:jc w:val="both"/>
      </w:pPr>
      <w:r>
        <w:t>NCT-CRC-HE-100K contains 100,000 colorectal tissue patches across nine categories, while CRC-VAL-HE-7K provides a separate labelled evaluation collection (Kather et al., 2019). This project used the former for training and internal validation and the latter for the recorded 7,180-image test. The actual split manifests and measured results are described in Sections 3.3.2 and 4.2.6.</w:t>
      </w:r>
    </w:p>
    <w:p>
      <w:pPr>
        <w:jc w:val="both"/>
      </w:pPr>
      <w:r>
        <w:t>Dataset identity and pixel dimensions alone do not specify the physical field of view of an arbitrary imported raster image. Consequently, ZY-Path exposes source crop dimensions independently of network input dimensions. Section 4.5.3 discusses the resulting scale and generalisation limits.</w:t>
      </w:r>
    </w:p>
    <w:p>
      <w:bookmarkStart w:id="18" w:name="head_17"/>
      <w:pPr>
        <w:pStyle w:val="Heading3"/>
      </w:pPr>
      <w:r>
        <w:t>2.2.2 Classification architectures and pretrained deployment</w:t>
      </w:r>
      <w:bookmarkEnd w:id="18"/>
    </w:p>
    <w:p>
      <w:pPr>
        <w:jc w:val="both"/>
      </w:pPr>
      <w:r>
        <w:t>Image classification assigns a category to an image or patch, whereas semantic segmentation assigns categories to spatial locations. ZY-Path supports both tasks through separate model pathways. Residual networks, DenseNet and EfficientNet illustrate alternative classification designs based on residual learning, dense feature reuse and compound scaling respectively (He et al., 2016; Huang et al., 2017; Tan &amp; Le, 2019).</w:t>
      </w:r>
    </w:p>
    <w:p>
      <w:pPr>
        <w:jc w:val="both"/>
      </w:pPr>
      <w:r>
        <w:t>DenseNet concatenates earlier feature maps into later layers to encourage feature reuse (Huang et al., 2017). The classifier trained for this project uses four dense blocks with two dense layers each. Its precise configuration, rather than a generic family name, governs checkpoint reconstruction and is reported in Section 3.3.2.</w:t>
      </w:r>
    </w:p>
    <w:p>
      <w:pPr>
        <w:jc w:val="both"/>
      </w:pPr>
      <w:r>
        <w:t>Architecture selection and application integration answer different questions. Residual networks and EfficientNet provide useful comparative foundations (He et al., 2016; Tan &amp; Le, 2019), while ZY-Path concentrates on reconstructing supported models from metadata and presenting their outputs under explicit contracts. The project evaluates its chosen classifier rather than conducting an architecture benchmark.</w:t>
      </w:r>
    </w:p>
    <w:p>
      <w:pPr>
        <w:jc w:val="both"/>
      </w:pPr>
      <w:r>
        <w:t>Reusing a trained model for application inference is distinct from fine-tuning an ImageNet model. The classification training code directly instantiates DenseNet without loading pretrained ImageNet weights. I trained that configuration separately before integrating the selected checkpoint into the application; the GUI itself remains inference-only.</w:t>
      </w:r>
    </w:p>
    <w:p>
      <w:bookmarkStart w:id="19" w:name="head_18"/>
      <w:pPr>
        <w:pStyle w:val="Heading3"/>
      </w:pPr>
      <w:r>
        <w:t>2.2.3 Semantic segmentation and multiscale context</w:t>
      </w:r>
      <w:bookmarkEnd w:id="19"/>
    </w:p>
    <w:p>
      <w:pPr>
        <w:jc w:val="both"/>
      </w:pPr>
      <w:r>
        <w:t>U-Net established an influential encoder–decoder approach to biomedical segmentation with skip connections that preserve spatial information (Ronneberger et al., 2015). UPerNet instead combines multiscale feature processing for scene parsing; the current built-in integration reconstructs a UPerNet model with a Swin Base backbone through Transformers (Xiao et al., 2018; Liu et al., 2021). U-Net is relevant background, not the architecture of the built-in segmentation checkpoint.</w:t>
      </w:r>
    </w:p>
    <w:p>
      <w:pPr>
        <w:jc w:val="both"/>
      </w:pPr>
      <w:r>
        <w:t>Segmentation predicts categories on a spatial grid. UPerNet’s overlapping-window pathway combines class probabilities before selecting labels, then restores the discrete mask with nearest-neighbour interpolation. This preserves label identities during restoration and provides the basis for the software’s pixel-coverage statistics; predictive boundary quality requires separate annotated-mask evaluation.</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The model's softmax output is a normalised score over its classes. It is not automatically calibrated as the probability that an interpretation is correct (Guo et al., 2017).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 Figure 2.1 distinguishes the three output meanings: whole-image classification, tile-class estimates and pixel segmentation.</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(Kaczmarzyk et al., 2024).</w:t>
      </w:r>
    </w:p>
    <w:p>
      <w:pPr>
        <w:jc w:val="both"/>
      </w:pPr>
      <w:r>
        <w:t>No-code interaction is implemented through explicit task controls and interpretable defaults. The mode, source dimensions and resize backend are visible before execution, and a stored record preserves the settings actually used. Separating model adapters, presentation and persistence also localises responsibility for changes, consistent with modular software design principles (Gamma et al., 1994).</w:t>
      </w:r>
    </w:p>
    <w:p>
      <w:bookmarkStart w:id="23" w:name="head_21"/>
      <w:pPr>
        <w:pStyle w:val="Heading3"/>
      </w:pPr>
      <w:r>
        <w:t>2.2.6 Persistence and reproducible workflows</w:t>
      </w:r>
      <w:bookmarkEnd w:id="23"/>
    </w:p>
    <w:p>
      <w:pPr>
        <w:jc w:val="both"/>
      </w:pPr>
      <w:r>
        <w:t>Persistent analysis records connect an image, model, task, parameters and saved output. For a single-user desktop workflow, an embedded database avoids administering a separate database service. SQLite’s implementation role is described once in Section 2.6; this section concerns the reproducibility requirements placed on the stored records.</w:t>
      </w:r>
    </w:p>
    <w:p>
      <w:pPr>
        <w:jc w:val="both"/>
      </w:pPr>
      <w:r>
        <w:t>A recorded configuration supports rerun only while its referenced files and compatible dependencies remain available. ZY-Path therefore uses the term recorded rerun for restoring the saved task, model and analysis parameters. Section 4.5.3 distinguishes this workflow continuity from immutable provenance.</w:t>
      </w:r>
    </w:p>
    <w:p>
      <w:bookmarkStart w:id="24" w:name="head_22"/>
      <w:pPr>
        <w:pStyle w:val="Heading3"/>
      </w:pPr>
      <w:r>
        <w:t>2.2.7 Human-centred design and evaluation</w:t>
      </w:r>
      <w:bookmarkEnd w:id="24"/>
    </w:p>
    <w:p>
      <w:pPr>
        <w:jc w:val="both"/>
      </w:pPr>
      <w:r>
        <w:t>Usability inspection and empirical user evaluation answer complementary questions. Inspection can expose inconsistent feedback or inaccessible controls, whereas task observation and questionnaires show how intended users actually experience the system (Yen &amp; Bakken, 2012). Nielsen's heuristics support visible status, user control, consistency, error prevention and recognition rather than recall (Nielsen, 1994).</w:t>
      </w:r>
    </w:p>
    <w:p>
      <w:pPr>
        <w:jc w:val="both"/>
      </w:pPr>
      <w:r>
        <w:t>The System Usability Scale is a ten-item questionnaire for perceived usability (Brooke, 1996). Bangor et al. (2009) provide an interpretive framework relating SUS scores to adjective ratings. These sources support the planned instrument and contextual interpretation, while task outcomes and qualitative observations explain which interactions influence the score.</w:t>
      </w:r>
    </w:p>
    <w:p>
      <w:pPr>
        <w:jc w:val="both"/>
      </w:pPr>
      <w:r>
        <w:t>SUS provides a standard ten-item instrument, but its 0–100 score is not a percentage of tasks completed or a measure of diagnostic accuracy (Brooke, 1996).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QuPath is an open-source digital-pathology application with image visualisation, annotation, quantitative analysis and project-oriented workflows (Bankhead et al., 2017).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QuPath’s whole-slide, annotation and extensibility functions serve a broader image-analysis task. ZY-Path instead centres on supported local model files and individual analysis records. This is a comparison of workflow scope; the performance and usability questions require the empirical design discussed in Section 4.5.2.</w:t>
      </w:r>
    </w:p>
    <w:p>
      <w:bookmarkStart w:id="27" w:name="head_25"/>
      <w:pPr>
        <w:pStyle w:val="Heading3"/>
      </w:pPr>
      <w:r>
        <w:t>2.3.2 Slideflow and Slideflow Studio</w:t>
      </w:r>
      <w:bookmarkEnd w:id="27"/>
    </w:p>
    <w:p>
      <w:pPr>
        <w:jc w:val="both"/>
      </w:pPr>
      <w:r>
        <w:t>Slideflow supports deep-learning development for digital histopathology, with slide processing, model training and real-time whole-slide visualisation (Dolezal et al., 2024). Its official repository explicitly describes Slideflow Studio, model-development functionality, stain-processing tools and visualisation. These documented capabilities correct the proposal's implication that Slideflow is only a command-line framework.</w:t>
      </w:r>
    </w:p>
    <w:p>
      <w:pPr>
        <w:jc w:val="both"/>
      </w:pPr>
      <w:r>
        <w:t>Slideflow’s training and whole-slide capabilities address a broader research lifecycle. ZY-Path selects the inference-and-record portion of that lifecycle for individual users. This trade-off motivates a task-based usability study rather than an assumption that fewer features necessarily produce a better interface.</w:t>
      </w:r>
    </w:p>
    <w:p>
      <w:bookmarkStart w:id="28" w:name="head_26"/>
      <w:pPr>
        <w:pStyle w:val="Heading3"/>
      </w:pPr>
      <w:r>
        <w:t>2.3.3 WSInfer and QuPath integration</w:t>
      </w:r>
      <w:bookmarkEnd w:id="28"/>
    </w:p>
    <w:p>
      <w:pPr>
        <w:jc w:val="both"/>
      </w:pPr>
      <w:r>
        <w:t>WSInfer makes pretrained deep-learning models reusable in a pathology workflow and integrates inference with QuPath (Kaczmarzyk et al., 2024). Its emphasis on model sharing and a standardised interface is directly relevant to the compatibility and provenance requirements of ZY-Path. It also demonstrates that no-code model use is not a unique invention of this capstone.</w:t>
      </w:r>
    </w:p>
    <w:p>
      <w:pPr>
        <w:jc w:val="both"/>
      </w:pPr>
      <w:r>
        <w:t>WSInfer provides a close precedent for accessible pretrained-model inference. ZY-Path’s particular design combines explicit Single image/Tiled analysis controls, linked result inspection and local record retrieval/export. The comparison concerns this arrangement of functions within a raster-image application.</w:t>
      </w:r>
    </w:p>
    <w:p>
      <w:bookmarkStart w:id="29" w:name="head_27"/>
      <w:pPr>
        <w:pStyle w:val="Heading3"/>
      </w:pPr>
      <w:r>
        <w:t>2.3.4 Cytomine</w:t>
      </w:r>
      <w:bookmarkEnd w:id="29"/>
    </w:p>
    <w:p>
      <w:pPr>
        <w:jc w:val="both"/>
      </w:pPr>
      <w:r>
        <w:t>Cytomine supports collaborative analysis of very large images, image annotation and integration of analysis workflows (Marée et al., 2016).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Commercial platforms such as Aiforia Create provide an alternative model-development and deployment environment (Aiforia, n.d.).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For this project, local control of the source code, model selection and analysis records is the relevant deployment choice. Product-specific licensing, import and support arrangements require current primary documentation; they are not treated as universal disadvantages of commercial systems.</w:t>
      </w:r>
    </w:p>
    <w:p>
      <w:bookmarkStart w:id="31" w:name="head_29"/>
      <w:pPr>
        <w:pStyle w:val="Heading2"/>
      </w:pPr>
      <w:r>
        <w:t>2.4 Comparative Evaluation of Existing Systems</w:t>
      </w:r>
      <w:bookmarkEnd w:id="31"/>
    </w:p>
    <w:p>
      <w:pPr>
        <w:jc w:val="both"/>
      </w:pPr>
      <w:r>
        <w:t>Table 2.1 compares platform purposes and documented workflow scope. It separates an unexamined capability from an absent one and uses no aggregate ranking because the applications address different tasks. Source publications are cited in Sections 2.3.1–2.3.5.</w:t>
      </w:r>
    </w:p>
    <w:p>
      <w:bookmarkStart w:id="32" w:name="cap_Table_2_1"/>
      <w:pPr>
        <w:pStyle w:val="TableCaption"/>
      </w:pPr>
      <w:r>
        <w:t>Table 2.1. Scope-based comparison of pathology platforms</w:t>
      </w:r>
      <w:bookmarkEnd w:id="3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System</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Documented emphasis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Interface/deployment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Relation to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Whole-slide viewing, annotation, quantitative analysis and extensions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Graphical desktop; optional scripting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Broader image-analysis scope; advanced extension setup differs from a constrained model-file workflow</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Slideflow/Studio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 development and whole-slide visualisation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research environment plus graphical 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Includes training and WSI capabilities outside this project's scope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WSInfer + 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Reusable pretrained pathology inference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integrated with a desktop pathology viewer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Closest precedent for graphical model use; model-distribution and WSI focus differs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Cytomine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Collaborative large-image annotation and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Web/server-oriented collaboration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Supports multi-user work excluded from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Aiforia Create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Commercial AI model development/deployment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Vendor-managed product options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Import, licensing and history details not independently evaluated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ZY-Path</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local inference, spatial inspection, record restoration and export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desktop with local CPU and SQLite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Focused raster-image workflow; classifier evaluated on 7,180 test images; UAT and package validation pending</w:t>
            </w:r>
          </w:p>
        </w:tc>
      </w:tr>
    </w:tbl>
    <w:p>
      <w:pPr/>
      <w:r>
        <w:t>Source: platform publications and product documentation cited in Sections 2.3.1–2.3.5; ZY-Path scope from the project implementation.</w:t>
      </w:r>
    </w:p>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 resulting project position is a focused desktop integration for individual educational and research use. Model training and patch-level evaluation support the classification component, while the application contribution connects compatibility, spatial interpretation and record continuity as observable requirements.</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stores structured records in an embedded, serverless database, making it suitable for a local application without a separately administered database service (Kreibich, 2010; SQLite, n.d.). In ZY-Path it links inference identity and timestamps to task-specific metadata and saved artifacts. Parameterised operations and transactions provide the database component of persistence, while external artifact handling remains the coordinator’s responsibility.</w:t>
      </w:r>
    </w:p>
    <w:p>
      <w:pPr>
        <w:jc w:val="both"/>
      </w:pPr>
      <w:r>
        <w:t>PyQt5 supplies windows, layouts, signals and worker threads (Riverbank Computing, n.d.; The Qt Company, n.d.). QGraphicsView provides source-coordinate transformations, linked navigation and vector grid painting. PyTorch supplies model execution and inference_mode (Paszke et al., 2019); NumPy and Pillow support image conversion (NumPy Developers, n.d.; Pillow Contributors, n.d.). Matplotlib renders the Single image probability chart (Hunter, 2007), and fpdf2 generates structured PDF reports (fpdf2 Contributors, n.d.). These choices connect the interface to a local scientific-Python stack without a web backend.</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UPerNet reconstruction loads its configuration from the local Hugging Face cache with local_files_only=True. Preparing a redistributable application therefore requires packaging the permitted weights, cached configuration and runtime dependencies. PyInstaller is a candidate tool for this future deployment step (PyInstaller Development Team, n.d.); the current deployment evidence is assessed in Section 4.3.4.</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I developed ZY-Path through iterative implementation and regression-driven refinement of the CP1 design. Each iteration connected a requirement or observed defect to the affected code, an implementation change and an appropriate regression check. Observations during Windows testing informed interface corrections, while automated Qt tests made those cases repeatable.</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 Figure 3.1 shows these layers and the flow of model, image, result and history artifacts.</w:t>
      </w:r>
    </w:p>
    <w:p>
      <w:pPr>
        <w:keepNext/>
        <w:spacing w:before="140"/>
        <w:jc w:val="center"/>
      </w:pPr>
      <w:r>
        <w:drawing>
          <wp:inline xmlns:a="http://schemas.openxmlformats.org/drawingml/2006/main" xmlns:pic="http://schemas.openxmlformats.org/drawingml/2006/picture">
            <wp:extent cx="5731200" cy="6263554"/>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31200" cy="6263554"/>
                    </a:xfrm>
                    <a:prstGeom prst="rect"/>
                  </pic:spPr>
                </pic:pic>
              </a:graphicData>
            </a:graphic>
          </wp:inline>
        </w:drawing>
      </w:r>
    </w:p>
    <w:p>
      <w:bookmarkStart w:id="39" w:name="cap_Figure_3_1"/>
      <w:pPr>
        <w:pStyle w:val="FigureCaption"/>
      </w:pPr>
      <w:r>
        <w:t>Figure 3.1. Implemented logical architecture and artifact flow. Source: author, based on the project’s Python modules.</w:t>
      </w:r>
      <w:bookmarkEnd w:id="39"/>
    </w:p>
    <w:p>
      <w:pPr>
        <w:jc w:val="both"/>
      </w:pPr>
      <w:r>
        <w:t>The implementation is identified by revision 7bd3552. Classification methods are documented by the training code provided by my supervisor, my training/validation records and the corresponding test outputs. The segmentation pathway follows the model and reference inference notebook provided by my supervisor. Appendix C identifies the software version and the source content evaluated in the final Windows run.</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 Table 3.1 specifies each functional requirement and its observable acceptance condition.</w:t>
      </w:r>
    </w:p>
    <w:p>
      <w:bookmarkStart w:id="42" w:name="cap_Table_3_1"/>
      <w:pPr>
        <w:pStyle w:val="TableCaption"/>
      </w:pPr>
      <w:r>
        <w:t>Table 3.1. Functional requirements and acceptance conditions</w:t>
      </w:r>
      <w:bookmarkEnd w:id="42"/>
    </w:p>
    <w:tbl>
      <w:tblPr>
        <w:tblStyle w:val="TableGrid"/>
        <w:tblW w:type="auto" w:w="0"/>
        <w:jc w:val="center"/>
        <w:tblLayout w:type="fixed"/>
        <w:tblLook w:firstColumn="1" w:firstRow="1" w:lastColumn="0" w:lastRow="0" w:noHBand="0" w:noVBand="1" w:val="04A0"/>
      </w:tblPr>
      <w:tblGrid>
        <w:gridCol w:w="624"/>
        <w:gridCol w:w="2948"/>
        <w:gridCol w:w="5454"/>
      </w:tblGrid>
      <w:tr>
        <w:trPr>
          <w:cantSplit/>
          <w:tblHeader/>
        </w:trPr>
        <w:tc>
          <w:tcPr>
            <w:tcW w:type="dxa" w:w="62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948"/>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w:t>
            </w:r>
          </w:p>
        </w:tc>
        <w:tc>
          <w:tcPr>
            <w:tcW w:type="dxa" w:w="545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Observable acceptance condition</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supported raster images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input is identified and rendered; invalid files produce a clear error</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and validate trusted compatible models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load; finite output/task/class checks reject unsupported inputs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single-image classification</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complete selected image is processed once and yields ordered class probabilities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explicit tiled classification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width/height generate non-overlapping real crops, including partial edges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Show classification statistics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Nine-class legend, per-tile label/confidence and actual-area estimates agree with stored tiles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compatible segmentation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segmentation model produces a restored label map, overlay and its own legend/counts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spatial results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Overlay/map/original, opacity, comparison, linked navigation and appropriate grid remain aligned</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completed history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record connects actual model/task/mode/parameters to saved artifacts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and filter history</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Keyword and inclusive local-date queries return the expected records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a stored result</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Restoration displays the recorded result without initiating a new forward pass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a record</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recorded model, image, task and parameters take precedence over current defaults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results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contain the selected presentation and available recorded metadata</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inference</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cancellation leaves no new completed record and preserves the previous result</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task-specific model defaults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validated local default can be saved/restored independently for each task</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analysis and interface preferences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Mode/default selection, source tile dimensions and resize method persist with clear scope</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Manage records safely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deletion removes selected records/app-owned artifacts without deleting source inputs</w:t>
            </w:r>
          </w:p>
        </w:tc>
      </w:tr>
    </w:tbl>
    <w:p>
      <w:pPr/>
      <w:r>
        <w:t>Source: author’s requirements derived from the CP1 objectives and implemented workflows.</w:t>
      </w:r>
    </w:p>
    <w:p>
      <w:pPr>
        <w:spacing w:after="40"/>
      </w:pPr>
    </w:p>
    <w:p>
      <w:bookmarkStart w:id="43" w:name="head_38"/>
      <w:pPr>
        <w:pStyle w:val="Heading3"/>
      </w:pPr>
      <w:r>
        <w:t>3.2.2 Non-Functional Requirements</w:t>
      </w:r>
      <w:bookmarkEnd w:id="43"/>
    </w:p>
    <w:p>
      <w:pPr/>
      <w:r>
        <w:t>Table 3.2 links the non-functional requirements to their verification approaches and current implementation boundaries.</w:t>
      </w:r>
    </w:p>
    <w:p>
      <w:bookmarkStart w:id="44" w:name="cap_Table_3_2"/>
      <w:pPr>
        <w:pStyle w:val="TableCaption"/>
      </w:pPr>
      <w:r>
        <w:t>Table 3.2. Non-functional requirements and verification boundaries</w:t>
      </w:r>
      <w:bookmarkEnd w:id="4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Quality requirement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Verification approach</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Present boundary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Responsive interaction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Worker-thread signals; cancellation and close-lifecycle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model operation may delay cancellation acknowledgement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Traceable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parameters, restored metadata and rerun isolation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 hashes and complete environment snapshots are not persisted per run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data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Code-path inspection; local SQLite/artifact storage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 are not automatically encrypted or backed up</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Readable/resizable interface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 logical screens, font/DPI simulation, theme and focus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automated layout/window-state checks passed; complete device/accessibility manual acceptance pending.</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Measurable runtime/resource use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Planned fixed-workload benchmark with CPU/RAM/image/tile details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independent performance benchmark is available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Predictable error handling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Missing-file, invalid-model, export/database and cancellation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model validation is not a security or accuracy certificate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Deployable offline runtime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configuration/weights and clean-machine packaging checks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 classifier loads on Windows; complete offline package and clean-machine deployment unverified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Maintainability and regression control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Layered modules, named tests, source revision and preserved failure reporting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current coverage percentage is claimed</w:t>
            </w:r>
          </w:p>
        </w:tc>
      </w:tr>
    </w:tbl>
    <w:p>
      <w:pPr/>
      <w:r>
        <w:t>Source: author’s quality requirements and recorded verification scope.</w:t>
      </w:r>
    </w:p>
    <w:p>
      <w:pPr>
        <w:spacing w:after="40"/>
      </w:pPr>
    </w:p>
    <w:p>
      <w:pPr>
        <w:jc w:val="both"/>
      </w:pPr>
      <w:r>
        <w:t>The CP1 target of at least 80% coverage of core/data remains an unmeasured target because the recorded pytest commands did not generate a coverage report. Requirements therefore retain separate implementation and verification status rather than inferring coverage from the number of passing tests.</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Demonstrations and UAT should use authorised, de-identified images. Source paths and exported metadata require inspection as well as the visible image. Participant consent and institutional requirements will be recorded with the UAT materials in Appendix B.</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(PyTorch Contributors, n.d.).</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WCAG 2.2 informs the review of keyboard access, contrast and non-colour cues, adapted to a desktop interface (W3C, 2023). Native assistive-technology testing and a complete contrast/accessibility audit are further evaluation activities; their present status is included in Section 4.5.3.</w:t>
      </w:r>
    </w:p>
    <w:p>
      <w:pPr>
        <w:jc w:val="both"/>
      </w:pPr>
      <w:r>
        <w:t>The nine-class palette is accompanied by names, counts and numerical statistics so interpretation does not depend on colour alone. Stable control geometry and a visible keyboard focus cue support mouse and keyboard interaction. These design choices are evaluated through controlled interaction tests and the planned user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CRC checkpoint contains DenseNet configuration, class labels, raw255 preprocessing and a 224 × 224 input size. The UPerNet state-dictionary path reconstructs the nine-class Swin Base configuration from the local Hugging Face cache and loads the weights strictly. Missing configuration or incompatible state shapes produces an actionable validation error.</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training and model configuration</w:t>
      </w:r>
      <w:bookmarkEnd w:id="49"/>
    </w:p>
    <w:p>
      <w:pPr>
        <w:jc w:val="both"/>
      </w:pPr>
      <w:r>
        <w:t>Using the reference training code provided by my supervisor, I trained torchvision.models.DenseNet with growth_rate=32, block_config=(2, 2, 2, 2), num_init_features=64, bn_size=4, drop_rate=0 and num_classes=9. The training logs report 416,457 parameters. The class order is ADI, BACK, DEB, LYM, MUC, MUS, NORM, STR and TUM.</w:t>
      </w:r>
    </w:p>
    <w:p>
      <w:pPr>
        <w:jc w:val="both"/>
      </w:pPr>
      <w:r>
        <w:t>The training loader decodes images with OpenCV, converts BGR to RGB and applies Albumentations Resize(224, 224), vertical/horizontal flips, hue adjustment, rotation and a random-sized crop. Validation uses Resize followed by ToTensorV2 and float conversion. Values remain on the raw255 scale. Training used class-weighted cross-entropy, Adam with initial learning rate 0.001 and weight decay 10⁻⁶, and ReduceLROnPlateau with factor 0.5, patience 3 and minimum learning rate 10⁻⁶; batch size was 32 with two data-loading workers.</w:t>
      </w:r>
    </w:p>
    <w:p>
      <w:pPr>
        <w:jc w:val="both"/>
      </w:pPr>
      <w:r>
        <w:t>The seed-42 manifests partition NCT-CRC-HE-100K into 80,002 training and 19,998 validation images using stratified patch-level sampling. Manifest file hashes agree with the experiment configuration, and their relative image paths are disjoint. Training continued to 30 epochs despite the initial experiment directory name ending in 10ep; the checkpoint at epoch 26 had the lowest recorded validation loss. The training logs identify an NVIDIA L4, distinct from the CPU-only Windows application environment.</w:t>
      </w:r>
    </w:p>
    <w:p>
      <w:pPr>
        <w:jc w:val="both"/>
      </w:pPr>
      <w:r>
        <w:t>The formal nine-class run is identified by its manifests, completed metrics, checkpoint and test-7k outputs. Older three-class scripts and smoke-check experiments remain development materials and are not used to establish the CRC results. The internal training/validation manifests have disjoint image paths, but the stratified random split operates on patches and does not enforce patient- or slide-level separation.</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original evaluation used Albumentations 1.3.1 and OpenCV 4.8.1, with A.Resize(224, 224) retaining its default linear interpolation. Pillow bilinear and OpenCV INTER_LINEAR can differ when resampling is necessary. A Windows rerun through the default Pillow pathway is now reported in Section 4.2.6; all 7,180 source patches were already 224 × 224, so this run validates the native-sized patch pathway rather than general equivalence when larger crops are resized.</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Equation 3.1 gives seven columns and seven rows, or 49 tiles. The final column is 480 pixels wide, the final row 464 pixels high, and the bottom-right area 222,720 pixels. A deterministic fixture verifies these coordinates and complete non-overlapping coverage.</w:t>
      </w:r>
    </w:p>
    <w:p>
      <w:pPr>
        <w:jc w:val="both"/>
      </w:pPr>
      <w:r>
        <w:t>Source crop dimensions determine the field of view before resampling to 224 × 224. The dataset’s nominal source-patch dimensions and resolution are documented in Section 4.2.6. The interface retains 512 × 512 as an editable starting value; its physical-scale equivalence to the training data is unverified for an arbitrary uploaded image. The evaluation consequences are discussed in Section 4.5.3.</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 Table 3.3 records the classifier’s fixed class order and dedicated nine-colour display palette.</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Look w:firstColumn="1" w:firstRow="1" w:lastColumn="0" w:lastRow="0" w:noHBand="0" w:noVBand="1" w:val="04A0"/>
      </w:tblPr>
      <w:tblGrid>
        <w:gridCol w:w="680"/>
        <w:gridCol w:w="1020"/>
        <w:gridCol w:w="4762"/>
        <w:gridCol w:w="2563"/>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102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Label</w:t>
            </w:r>
          </w:p>
        </w:tc>
        <w:tc>
          <w:tcPr>
            <w:tcW w:type="dxa" w:w="476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Tissue category</w:t>
            </w:r>
          </w:p>
        </w:tc>
        <w:tc>
          <w:tcPr>
            <w:tcW w:type="dxa" w:w="256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Adipose</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(230, 159, 0)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(210, 210, 210)</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Debris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(86, 180, 233)</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Lymphocytes</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(0, 158, 115)</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Mucus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(240, 228, 66)</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Smooth muscle</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(0, 114, 178)</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colon mucosa</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(213, 94, 0)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(204, 121, 167)</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Tumour epithelium</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(120, 60, 140)</w:t>
            </w:r>
          </w:p>
        </w:tc>
      </w:tr>
    </w:tbl>
    <w:p>
      <w:pPr/>
      <w:r>
        <w:t>Source: classification checkpoint class order and the application’s classification display palette; colours are display metadata.</w:t>
      </w:r>
    </w:p>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My supervisor provided the segmentation model and the reference notebook predict-upernet-tme-tissue-overlap.ipynb; I did not participate in segmentation training. The notebook constructs a nine-label UPerNet using the openmmlab/upernet-swin-base configuration. Its large-image example uses source tile=1000 and stride=512, which are the application defaults; network input is 224 × 224. The application runs the path on CPU with batch size one, while the notebook example requests CUDA and its function defaults to batch size eight.</w:t>
      </w:r>
    </w:p>
    <w:p>
      <w:pPr>
        <w:jc w:val="both"/>
      </w:pPr>
      <w:r>
        <w:t>For the UPerNet pathway, the final window on each axis is aligned with the image edge. Images smaller than a source tile are reflect-padded. Each RGB patch is resized with Pillow bilinear, scaled to 0–1 and normalised with ImageNet mean (0.485, 0.456, 0.406) and standard deviation (0.229, 0.224, 0.225). Softmax probabilities are accumulated on a reduced-resolution canvas with a two-dimensional Hann window plus 0.001, normalised by accumulated weights, converted to labels and restored by nearest-neighbour interpolation before cropping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Look w:firstColumn="1" w:firstRow="1" w:lastColumn="0" w:lastRow="0" w:noHBand="0" w:noVBand="1" w:val="04A0"/>
      </w:tblPr>
      <w:tblGrid>
        <w:gridCol w:w="737"/>
        <w:gridCol w:w="5102"/>
        <w:gridCol w:w="3186"/>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510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Model label</w:t>
            </w:r>
          </w:p>
        </w:tc>
        <w:tc>
          <w:tcPr>
            <w:tcW w:type="dxa" w:w="318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Exclude</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Cancerous epithelium</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(255, 0, 0)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(0, 0, 255)</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epithelium</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Junk/Debris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(128, 0, 128)</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Blood</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(0, 255, 255)</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Other</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(255, 165, 0)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Whitespace/Empty</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(255, 255, 255)</w:t>
            </w:r>
          </w:p>
        </w:tc>
      </w:tr>
    </w:tbl>
    <w:p>
      <w:pPr/>
      <w:r>
        <w:t>Source: supervisor-provided segmentation notebook; labels and RGB values match the application constants.</w:t>
      </w:r>
    </w:p>
    <w:p>
      <w:pPr>
        <w:spacing w:after="40"/>
      </w:pPr>
    </w:p>
    <w:p>
      <w:pPr>
        <w:jc w:val="both"/>
      </w:pPr>
      <w:r>
        <w:t>The nine-label order and RGB colours in Table 3.4 match the reference notebook. Generic compatible segmentation models use a separate prepared-tensor and OutputParser pathway. The model filename’s 100ep and panoptils strings are retained as identifiers; training duration and dataset provenance are not inferred from those strings.</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pPr/>
      <w:r>
        <w:t>A final lifetime guard also waits for an active worker before Qt destroys its owning widget. Model-validation signals connect to QObject-bound receivers, so destruction disconnects pending callbacks instead of allowing them to access deleted controls. Regression cases cover forced parent deletion and both successful and failed validation signals for built-in models, custom models and task-default settings.</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 Table 3.5 summarises the persistent structures and the purpose of their principal fields.</w:t>
      </w:r>
    </w:p>
    <w:p>
      <w:bookmarkStart w:id="58" w:name="cap_Table_3_5"/>
      <w:pPr>
        <w:pStyle w:val="TableCaption"/>
      </w:pPr>
      <w:r>
        <w:t>Table 3.5. Implemented persistent data structures</w:t>
      </w:r>
      <w:bookmarkEnd w:id="5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Structure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fields</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Purpose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inference_records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 image_path, model_path, task_type, result_label, confidence, result_image_path, timestamp</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Searchable completed-analysis identity and base metadata</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segmentation_artifacts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record_id, result_labels_path, result_color_mask_path, result_overlay_path, analysis_json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Optional spatial artifacts and recorded analysis/presentation metadata</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analysis JSON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 resize_backend, classes/colours, source/input sizes, tiles/probabilities, counts, areas, scale_status, presentation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Preserve tile semantics and restore/reuse the actual parameters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analysis 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labels/colours, dimensions, tile/stride/input, counts, presentation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spatial results without borrowing classification semantics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QSettings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theme, current/default classification settings, per-task default model paths, reminders, window geometry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User preferences, distinct from completed record parameters</w:t>
            </w:r>
          </w:p>
        </w:tc>
      </w:tr>
    </w:tbl>
    <w:p>
      <w:pPr/>
      <w:r>
        <w:t>Source: project database schema, task metadata and QSettings implementation.</w:t>
      </w:r>
    </w:p>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Recorded rerun uses the saved model path. Defaults are convenience preferences, not a migration of earlier analyses to new weights.</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 Figure 3.2 presents an annotated wireframe of this arrangement and its main user actions.</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distinguish validation, inference, cancellation and completion, while completed-result metadata remains separate from a pending selection. These decisions apply visibility, consistency, recognition and user control from the usability literature (Nielsen, 1994; Yen &amp; Bakken, 2012); their effect on perceived usability will be assessed through the planned UAT.</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jc w:val="both"/>
      </w:pPr>
      <w:r>
        <w:t>In comparison mode, linked views share zoom and source-coordinate centres. Both panes use a common Fit scale rather than independently fitting dissimilar viewport widths. Narrow pages stack the pair vertically; widening restores horizontal comparison. When segmentation comparison is active, its legend stays below the images to avoid a wide-window side legend shrinking the comparison back below its horizontal-layout threshold.</w:t>
      </w:r>
    </w:p>
    <w:p>
      <w:pPr>
        <w:jc w:val="both"/>
      </w:pPr>
      <w:r>
        <w:t>The classifier grid is painted after the image with the same scene-to-viewport transform and an approximately constant logical line width. This avoids losing lines by pre-rendering a fine grid into a large image and then shrinking it. Fit, 1:1, manual zoom, resize and history restoration preserve source-coordinate alignment. The displayed scale accounts for device pixel ratio: 1:1 denotes one source pixel per physical display pixel, while window bounds are handled in Qt logical coordinates.</w:t>
      </w:r>
    </w:p>
    <w:p>
      <w:bookmarkStart w:id="64" w:name="head_54"/>
      <w:pPr>
        <w:pStyle w:val="Heading3"/>
      </w:pPr>
      <w:r>
        <w:t>3.4.3 Control states, settings and help</w:t>
      </w:r>
      <w:bookmarkEnd w:id="64"/>
    </w:p>
    <w:p>
      <w:pPr>
        <w:jc w:val="both"/>
      </w:pPr>
      <w:r>
        <w:t>Result toggles use a padded rounded surface. Their complete visible area—including label and padding—accepts a mouse click. Mouse focus does not leave the former thick blue frame; keyboard Tab/Backtab focus retains a thin accent border, and Space toggles the state. Constant border width prevents focus/checked states from changing the control's size.</w:t>
      </w:r>
    </w:p>
    <w:p>
      <w:pPr>
        <w:jc w:val="both"/>
      </w:pPr>
      <w:r>
        <w:t>Settings is resizable and scrollable. Preferences groups export reminders, classification mode, source tile dimensions, resize backend, separate colour references and layout reset. Selecting a mode applies to the main panel and startup default, while history restoration does not rewrite that default. Closed dropdowns pass wheel gestures to page scrolling rather than changing the selection accidentally.</w:t>
      </w:r>
    </w:p>
    <w:p>
      <w:pPr>
        <w:jc w:val="both"/>
      </w:pPr>
      <w:r>
        <w:t>Guide &amp; Support provides numbered guidance, persistent Contents navigation, previous/next actions and a reading-aware indicator. System Information displays runtime and dependency information before copying it, with confirmation expiring after 2.5 seconds. About reports version 1.0. Together these controls make configuration and support information discoverable within the application.</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Inner scroll areas may shrink vertically while Run, Cancel and Re-run retain usable space; their preferred content heights must not stretch the entire three-panel splitter beyond its viewport.</w:t>
      </w:r>
    </w:p>
    <w:p>
      <w:pPr>
        <w:jc w:val="both"/>
      </w:pPr>
      <w:r>
        <w:t>Automated checks cover small logical screens, repeated narrow/wide transitions and Qt scale-factor simulation. The final native Windows suite also passed the maximise/restore, saved-geometry, comparison/grid and compact-viewport cases. Formal end-to-end acceptance with authorised real images remains a separate activity in Appendix D.</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Model validation is included in the run workflow; tiled classification extends the classification choice when that explicit mode is selected. Restoring history and rerunning history are separate use cases because only the latter executes inference and creates a new record. Figure 3.3 maps the actor to the implemented use cases.</w:t>
      </w:r>
    </w:p>
    <w:p>
      <w:pPr>
        <w:keepNext/>
        <w:spacing w:before="140"/>
        <w:jc w:val="center"/>
      </w:pPr>
      <w:r>
        <w:drawing>
          <wp:inline xmlns:a="http://schemas.openxmlformats.org/drawingml/2006/main" xmlns:pic="http://schemas.openxmlformats.org/drawingml/2006/picture">
            <wp:extent cx="5731200" cy="6589976"/>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731200" cy="6589976"/>
                    </a:xfrm>
                    <a:prstGeom prst="rect"/>
                  </pic:spPr>
                </pic:pic>
              </a:graphicData>
            </a:graphic>
          </wp:inline>
        </w:drawing>
      </w:r>
    </w:p>
    <w:p>
      <w:bookmarkStart w:id="68" w:name="cap_Figure_3_3"/>
      <w:pPr>
        <w:pStyle w:val="FigureCaption"/>
      </w:pPr>
      <w:r>
        <w:t>Figure 3.3. Use case diagram for the implemented local analysis workflow. File/model trust and clinical interpretation remain external responsibilities. Source: author, based on the implemented application.</w:t>
      </w:r>
      <w:bookmarkEnd w:id="68"/>
    </w:p>
    <w:p>
      <w:bookmarkStart w:id="69" w:name="head_58"/>
      <w:pPr>
        <w:pStyle w:val="Heading3"/>
      </w:pPr>
      <w:r>
        <w:t>3.5.2 Sequence Diagram</w:t>
      </w:r>
      <w:bookmarkEnd w:id="69"/>
    </w:p>
    <w:p>
      <w:pPr>
        <w:jc w:val="both"/>
      </w:pPr>
      <w:r>
        <w:t>The sequence diagram follows a successful completed run after the user selects an image, task and model. MainWindow captures parameters, starts the worker and receives progress/result signals. The worker validates and executes the pipeline; the GUI coordinator renders the result, saves artifacts and inserts a history record. Cancellation and saving failure are alternatives, not successful completed-history paths. Figure 3.4 shows the interaction sequence and the alternative cancellation and persistence-failure paths.</w:t>
      </w:r>
    </w:p>
    <w:p>
      <w:pPr>
        <w:keepNext/>
        <w:spacing w:before="140"/>
        <w:jc w:val="center"/>
      </w:pPr>
      <w:r>
        <w:drawing>
          <wp:inline xmlns:a="http://schemas.openxmlformats.org/drawingml/2006/main" xmlns:pic="http://schemas.openxmlformats.org/drawingml/2006/picture">
            <wp:extent cx="5731200" cy="529615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731200" cy="5296159"/>
                    </a:xfrm>
                    <a:prstGeom prst="rect"/>
                  </pic:spPr>
                </pic:pic>
              </a:graphicData>
            </a:graphic>
          </wp:inline>
        </w:drawing>
      </w:r>
    </w:p>
    <w:p>
      <w:bookmarkStart w:id="70" w:name="cap_Figure_3_4"/>
      <w:pPr>
        <w:pStyle w:val="FigureCaption"/>
      </w:pPr>
      <w:r>
        <w:t>Figure 3.4. Sequence diagram for a run and its persistence boundary. Cancellation is acknowledged after a safe checkpoint; artifact-save failures must not be represented as successful saved records. Source: author, based on the implemented application.</w:t>
      </w:r>
      <w:bookmarkEnd w:id="70"/>
    </w:p>
    <w:p>
      <w:bookmarkStart w:id="71" w:name="head_59"/>
      <w:pPr>
        <w:pStyle w:val="Heading3"/>
      </w:pPr>
      <w:r>
        <w:t>3.5.3 Class Diagram</w:t>
      </w:r>
      <w:bookmarkEnd w:id="71"/>
    </w:p>
    <w:p>
      <w:pPr>
        <w:jc w:val="both"/>
      </w:pPr>
      <w:r>
        <w:t>The class diagram shows principal runtime responsibilities rather than every widget. MainWindow coordinates panels and services; InferenceEngine depends on the loader, preprocessor, parser and task-specific spatial functions. ClassificationResult and SegmentationResult share ImageComparison and ZoomableImageView. DatabaseManager and ExportManager handle persistence/export; QSettings stores preferences separately. Figure 3.5 identifies these classes and their principal dependencies.</w:t>
      </w:r>
    </w:p>
    <w:p>
      <w:pPr>
        <w:sectPr>
          <w:headerReference w:type="default" r:id="rId12"/>
          <w:footerReference w:type="default" r:id="rId13"/>
          <w:pgSz w:w="11906" w:h="16838"/>
          <w:pgMar w:top="1440" w:right="1440" w:bottom="1440" w:left="1440" w:header="680" w:footer="680" w:gutter="0"/>
          <w:cols w:space="720"/>
          <w:docGrid w:linePitch="360"/>
          <w:pgNumType w:fmt="decimal" w:start="1"/>
        </w:sectPr>
      </w:pPr>
    </w:p>
    <w:p>
      <w:pPr>
        <w:keepNext/>
        <w:spacing w:before="140"/>
        <w:jc w:val="center"/>
      </w:pPr>
      <w:r>
        <w:drawing>
          <wp:inline xmlns:a="http://schemas.openxmlformats.org/drawingml/2006/main" xmlns:pic="http://schemas.openxmlformats.org/drawingml/2006/picture">
            <wp:extent cx="8800935" cy="504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8800935" cy="5040000"/>
                    </a:xfrm>
                    <a:prstGeom prst="rect"/>
                  </pic:spPr>
                </pic:pic>
              </a:graphicData>
            </a:graphic>
          </wp:inline>
        </w:drawing>
      </w:r>
    </w:p>
    <w:p>
      <w:bookmarkStart w:id="72" w:name="cap_Figure_3_5"/>
      <w:pPr>
        <w:pStyle w:val="FigureCaption"/>
      </w:pPr>
      <w:r>
        <w:t>Figure 3.5. Implementation-level class diagram. Relationships represent principal ownership or dependency, not a generated inventory of every method. Source: author, based on the implemented application.</w:t>
      </w:r>
      <w:bookmarkEnd w:id="72"/>
    </w:p>
    <w:p>
      <w:pPr>
        <w:sectPr>
          <w:headerReference w:type="default" r:id="rId19"/>
          <w:footerReference w:type="default" r:id="rId20"/>
          <w:pgSz w:w="16838" w:h="11906" w:orient="landscape"/>
          <w:pgMar w:top="1440" w:right="1440" w:bottom="1440" w:left="1440" w:header="680" w:footer="680" w:gutter="0"/>
          <w:cols w:space="720"/>
          <w:docGrid w:linePitch="360"/>
          <w:pgNumType w:fmt="decimal"/>
        </w:sectPr>
      </w:pPr>
    </w:p>
    <w:p>
      <w:bookmarkStart w:id="73" w:name="head_60"/>
      <w:pPr>
        <w:pStyle w:val="Heading3"/>
      </w:pPr>
      <w:r>
        <w:t>3.5.4 Activity Diagram</w:t>
      </w:r>
      <w:bookmarkEnd w:id="73"/>
    </w:p>
    <w:p>
      <w:pPr>
        <w:jc w:val="both"/>
      </w:pPr>
      <w:r>
        <w:t>The activity diagram highlights the explicit mode decision, distinct preprocessing/task branches and completion/cancellation outcomes. It prevents a misleading conceptual flow in which image dimensions alone choose tiled classification or a cancellation request immediately terminates a model operation. Figure 3.6 traces these decisions through successful completion, cancellation and error exits.</w:t>
      </w:r>
    </w:p>
    <w:p>
      <w:pPr>
        <w:keepNext/>
        <w:spacing w:before="140"/>
        <w:jc w:val="center"/>
      </w:pPr>
      <w:r>
        <w:drawing>
          <wp:inline xmlns:a="http://schemas.openxmlformats.org/drawingml/2006/main" xmlns:pic="http://schemas.openxmlformats.org/drawingml/2006/picture">
            <wp:extent cx="5731200" cy="6336476"/>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731200" cy="6336476"/>
                    </a:xfrm>
                    <a:prstGeom prst="rect"/>
                  </pic:spPr>
                </pic:pic>
              </a:graphicData>
            </a:graphic>
          </wp:inline>
        </w:drawing>
      </w:r>
    </w:p>
    <w:p>
      <w:bookmarkStart w:id="74" w:name="cap_Figure_3_6"/>
      <w:pPr>
        <w:pStyle w:val="FigureCaption"/>
      </w:pPr>
      <w:r>
        <w:t>Figure 3.6. Activity diagram from parameter selection to completed persistence, with safe cancellation and error exits. Source: author, based on the implemented application.</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Development verification combines component checks with cross-module tests using pytest and pytest-qt. The tests exercise model contracts, preprocessing, inference routing, persistence and user interaction at their observable interfaces.</w:t>
      </w:r>
    </w:p>
    <w:p>
      <w:pPr>
        <w:jc w:val="both"/>
      </w:pPr>
      <w:r>
        <w:t>Controlled cases use known in-memory networks, synthetic tensors and raster images, temporary SQLite databases and isolated QSettings stores. Real-file availability checks remain separate, so successful fixtures cannot substitute for the presence or validation of production model files.</w:t>
      </w:r>
    </w:p>
    <w:p>
      <w:pPr>
        <w:jc w:val="both"/>
      </w:pPr>
      <w:r>
        <w:t>The latest Windows test record uses Python 3.10.22, pytest 9.1.1, pluggy 1.6.0, PyQt5 5.15.11, Qt runtime/compiled version 5.15.2, anyio 4.15.1 and pytest-qt 4.5.0. PyTorch 2.1.2+cpu reported CUDA unavailable and 24 CPU threads. Table 4.4 gives the host hardware and separates its installed GPU from the actual computation device.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recorded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The acceptance cases include both classification modes, segmentation, cancellation, source comparison, Fit/1:1, narrow/wide transitions, maximise/restore, recorded rerun, deletion, export, calendar interaction and task-specific defaults. A formal case receives a Pass status only when its expected outcome has a completed manual execution record. Section 4.3.3 separates these records from the completed native Windows automated suite.</w:t>
      </w:r>
    </w:p>
    <w:p>
      <w:bookmarkStart w:id="79" w:name="head_65"/>
      <w:pPr>
        <w:pStyle w:val="Heading3"/>
      </w:pPr>
      <w:r>
        <w:t>3.6.4 User Acceptance Testing (UAT)</w:t>
      </w:r>
      <w:bookmarkEnd w:id="79"/>
    </w:p>
    <w:p>
      <w:pPr>
        <w:jc w:val="both"/>
      </w:pPr>
      <w:r>
        <w:t>The planned pilot retains the CP1 target of approximately 8–10 participants, subject to recruitment, consent and institutional requirements. Participants should include intended educational/research users with varied programming and pathology experience. Recruitment is purposive/convenience sampling rather than a representative clinical sample; results should be reported accordingly.</w:t>
      </w:r>
    </w:p>
    <w:p>
      <w:pPr>
        <w:jc w:val="both"/>
      </w:pPr>
      <w:r>
        <w:t>Participants receive the same orientation and authorised sample files, then attempt a fixed task sequence: load/classify an image; select tiled analysis and inspect a tile; explain tile coverage versus confidence; compare aligned source/result regions; inspect segmentation; locate and restore history; rerun after changing current defaults; export; cancel; and configure/restore a task-specific model default. Assisted completion is recorded separately from independent completion. Cancellation is judged against the intended safe-stop outcome, not the speed of killing a thread.</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Score each participant only when all ten responses are valid integers from 1 to 5, then calculate the sample mean, sample standard deviation, median and range; the IQR may also be reported. Missing items remain unscored. Independent and assisted task completion are separate outcomes, and feature ratings exclude Not used with their own denominators.</w:t>
      </w:r>
    </w:p>
    <w:p>
      <w:bookmarkStart w:id="80" w:name="head_66"/>
      <w:pPr>
        <w:pStyle w:val="Heading3"/>
      </w:pPr>
      <w:r>
        <w:t>3.6.5 Testing Summary</w:t>
      </w:r>
      <w:bookmarkEnd w:id="80"/>
    </w:p>
    <w:p>
      <w:pPr>
        <w:jc w:val="both"/>
      </w:pPr>
      <w:r>
        <w:t>Four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supports predictive claims; no amount of GUI testing replaces it.</w:t>
      </w:r>
    </w:p>
    <w:p>
      <w:pPr>
        <w:jc w:val="both"/>
      </w:pPr>
      <w:r>
        <w:t>Automated results are labelled by environment, date and software version. On 19 October 2026, the final native Windows invocation completed all 370 tests with no failures, errors or skips. Table 4.3 presents this completed result; Appendix C retains the preceding regression subset and earlier execution history.</w:t>
      </w:r>
    </w:p>
    <w:p>
      <w:bookmarkStart w:id="81" w:name="head_67"/>
      <w:pPr>
        <w:pStyle w:val="Heading3"/>
      </w:pPr>
      <w:r>
        <w:t>3.6.6 Requirements Traceability Matrix</w:t>
      </w:r>
      <w:bookmarkEnd w:id="81"/>
    </w:p>
    <w:p>
      <w:pPr>
        <w:jc w:val="both"/>
      </w:pPr>
      <w:r>
        <w:t>Table 3.6 connects objectives and requirements to source modules and named tests. Its statuses distinguish the completed native Windows automated checks, recorded classifier evaluation, outstanding manual acceptance, UAT and further model studies.</w:t>
      </w:r>
    </w:p>
    <w:p>
      <w:bookmarkStart w:id="82" w:name="cap_Table_3_6"/>
      <w:pPr>
        <w:pStyle w:val="TableCaption"/>
      </w:pPr>
      <w:r>
        <w:t>Table 3.6. Requirements traceability matrix</w:t>
      </w:r>
      <w:bookmarkEnd w:id="82"/>
    </w:p>
    <w:tbl>
      <w:tblPr>
        <w:tblStyle w:val="TableGrid"/>
        <w:tblW w:type="auto" w:w="0"/>
        <w:jc w:val="center"/>
        <w:tblLayout w:type="fixed"/>
        <w:tblLook w:firstColumn="1" w:firstRow="1" w:lastColumn="0" w:lastRow="0" w:noHBand="0" w:noVBand="1" w:val="04A0"/>
      </w:tblPr>
      <w:tblGrid>
        <w:gridCol w:w="1531"/>
        <w:gridCol w:w="1814"/>
        <w:gridCol w:w="2891"/>
        <w:gridCol w:w="2789"/>
      </w:tblGrid>
      <w:tr>
        <w:trPr>
          <w:cantSplit/>
          <w:tblHeader/>
        </w:trPr>
        <w:tc>
          <w:tcPr>
            <w:tcW w:type="dxa" w:w="153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 / objective</w:t>
            </w:r>
          </w:p>
        </w:tc>
        <w:tc>
          <w:tcPr>
            <w:tcW w:type="dxa" w:w="181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Implementation</w:t>
            </w:r>
          </w:p>
        </w:tc>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executable evidence</w:t>
            </w:r>
          </w:p>
        </w:tc>
        <w:tc>
          <w:tcPr>
            <w:tcW w:type="dxa" w:w="278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 and boundary</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InferencePanel; image opening in InferenceEngine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test_inference_panel.py;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full-suite image-loading and input-error cases passed; representative real-image manual tasks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 / O2</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ModelLoader; ModelValidationThread</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test_model_loader.py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loader/probe and built-in-path cases passed; real-classifier validation recorded. Arbitrary-model semantic compatibility is outside this check.</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Preprocessor; OutputParser</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test_preprocessor.py; test_output_parser.py;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software cases passed; default-Pillow patch accuracy 90.68%, macro-F1 88.59% on native 224 × 224 inputs (Section 4.2.6).</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F04–F05 / O3–O4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ClassificationTileSpec; predict_classification_tiles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test_classification_tiles.py; test_classification_modes_display.py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crop, mode, legend and actual-area fixture cases passed; tiled-map predictive evaluation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 / O3–O4</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large_image_segmentation; SegmentationResult</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test_large_image_segmentation.py; test_segmentation_results_layout.py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synthetic segmentation geometry/statistics and display cases passed; real-weight demonstration and ground-truth evaluation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 /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ImageComparison; ZoomableImageView</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test_linked_image_comparison.py; test_screen_fit_and_tile_grid.py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coordinate, linked-view, Fit/zoom/grid and compact-viewport cases passed; formal real-image manual acceptance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 / O6</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DatabaseManager; MainWindow artifact saving</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test_database_manager.py; test_main_window_inference.py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persistence and artifact cases passed with temporary test records; real-image manual workflow evidence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 / O7</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HistoryPanel search/local-date queries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test_history_panel.py; test_result_controls_and_calendar.py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query, calendar and history-interaction cases passed; user task outcomes await UAT.</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F10–F11 / 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Stored restoration and recorded rerun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test_classification_modes_display.py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restore and recorded-model/mode/parameter rerun cases passed; user-efficiency assessment awaits UAT.</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 / O5</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ExportManager and export coordinator</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test_export_manager.py; test_main_window_export.py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file/report and recorded-metadata cases passed; final real-image report screenshots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 and close lifecycle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test_worker_lifetime.py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cooperative-stop, late-result and destruction/callback lifecycle cases passed; real-model manual cancellation record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F14–F15 / O1–O3</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ModelSettingsPage; SettingsDialog; QSettings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test_preferences_interaction.py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defaults, validation, preferences and history-isolation cases passed.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 /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record/artifact deletion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test_main_window_delete.py; test_database_manager.py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app-owned artifact cleanup and source-preservation cases passed.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 N04 / O1,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signals; logical screen bounds; scroll layouts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test_window_lifecycle_and_theme.py; test_settings_polish_and_resize.py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window-state, restore, small-viewport and layout cases passed; multi-monitor/assistive-technology manual acceptance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 N06 / O2,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validation and explicit errors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missing-file/error handling and recorded-parameter cases passed; immutable provenance is not implemented.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 / O1</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filesystem/SQLite; no inference service</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inspection of core/data and utils/paths.py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execution established by design and recorded source startup; security audit not performed.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 N07–N08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Runtime/deployment/regression process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pytest logs; planned benchmark/package protocol</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full suite: 370 passed, 0 failed/errors/skipped; repeated benchmark, clean package and coverage measurement pending.</w:t>
            </w:r>
          </w:p>
        </w:tc>
      </w:tr>
    </w:tbl>
    <w:p>
      <w:pPr/>
      <w:r>
        <w:t>Source: named project tests and the completed native Windows full-suite log/XML of 19 October 2026, together with the classifier evaluation.</w:t>
      </w:r>
    </w:p>
    <w:p>
      <w:pPr>
        <w:spacing w:after="40"/>
      </w:pPr>
    </w:p>
    <w:p>
      <w:pPr>
        <w:jc w:val="both"/>
      </w:pPr>
      <w:r>
        <w:t>Appendix C indexes the supporting records. Fixture tests, model evaluation, native observations and UAT each address different acceptance questions, so the matrix records their scope separately.</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Consequence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Existing control</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Remaining action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 model/preprocessing mismatch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Structurally valid but wrong input semantics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checks, explicit profiles/backends and ordered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 physical scale, resampling beyond native-sized patches and dataset grouping; retain the selected checkpoint checksum.</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R2: missing weights/cache/package dependencies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model cannot run offline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errors; local-only UPerNet configuration request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Verify segmentation resources and permitted caches in a clean Windows package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R3: class-map/coverage misunderstanding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estimates mistaken for pixel boundaries or diagnosis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modes, palettes, legends and area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UAT interpretation task and confirmation of the uploaded image’s physical scale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R4: CPU/resource limits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Long runs or unresponsive experience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execution, progress, cooperative cancel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Fixed-workload time/RAM benchmark and memory-boundary study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R5: window/DPI regressions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Hidden actions, clipped text or misaligned 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Logical-coordinate bounds, scroll areas, repeated resize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docking/multi-monitor verification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R6: history/artifact loss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Incomplete restore or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Transactions, file checks and app-owned deletion bounds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Backup/recovery policy and stronger artifact transaction design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R7: mutable paths/dependency drift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differs from the original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path/parameters and revision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Per-run hashes, environment manifests and migration/version policy</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R8: malicious or untrusted model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 execution during deserialisation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Trusted-source workflow; weights-only load attempt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Signed/checksummed releases and restricted supported formats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R9: limited UAT recruitment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Uncertain usability/generalisation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protocol, questionnaire and task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intended users and report actual sample limitations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R10: overstatement of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Unsupported accuracy or clinical claims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software, model, platform and user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UAT, formal real-image Windows acceptance and segmentation evaluation; retain each executed result with its environment and source state.</w:t>
            </w:r>
          </w:p>
        </w:tc>
      </w:tr>
    </w:tbl>
    <w:p>
      <w:pPr/>
      <w:r>
        <w:t>Source: author’s implementation risk assessment.</w:t>
      </w:r>
    </w:p>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combines independent task contracts, source-aware classification geometry, spatial inspection, recorded rerun and cooperative cancellation. Evaluation combines controlled software tests completed on native Windows, the classification training/test records and source-startup observations; UAT and formal manual acceptance follow separate protocols. Chapter 4 presents these results and their implications.</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the implemented system and the evaluated source state identified in Appendix C. Section 4.2 presents implemented workflows and a distinct classifier evaluation; Section 4.3 reports software tests and native observations; Section 4.4 reserves the UAT results. Environment and date labels identify each completed or interrupted invocation.</w:t>
      </w:r>
    </w:p>
    <w:p>
      <w:pPr>
        <w:jc w:val="both"/>
      </w:pPr>
      <w:r>
        <w:t>Results are organised into implementation behaviour, automated verification, Windows runtime observations, classification performance and the planned UAT. The evidence boundaries, including segmentation evaluation, performance measurement and deployment, are consolidated in Section 4.5.3.</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Windows session on 19 October 2026 launched the application from its virtual environment and recorded successful loading and validation of crc_dn21_seed42_best.pth as a nine-class DenseNet with output shape (1, 9). This establishes source-based startup and classifier integration for that session. The observed workflow and window states are detailed in Section 4.3.3. Figure 4.1 reserves the corresponding Windows application overview; the authorised screenshot remains to be inserted.</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Final Windows application overview</w:t>
            </w:r>
          </w:p>
          <w:p>
            <w:pPr>
              <w:spacing w:line="276" w:lineRule="auto"/>
            </w:pPr>
            <w:r>
              <w:rPr>
                <w:rFonts w:ascii="Arial" w:hAnsi="Arial" w:eastAsia="Noto Sans CJK SC"/>
                <w:b w:val="0"/>
                <w:color w:val="6A4A10"/>
                <w:sz w:val="20"/>
              </w:rPr>
              <w:t>Capture the current committed application in a normal window, with readable input, result and session/export panels. Show commit/version evidence separately; redact personal paths. Use a real authorised input and identify the selected task/mode.</w:t>
            </w:r>
          </w:p>
        </w:tc>
      </w:tr>
    </w:tbl>
    <w:p>
      <w:bookmarkStart w:id="90" w:name="cap_Figure_4_1"/>
      <w:pPr>
        <w:pStyle w:val="FigureCaption"/>
      </w:pPr>
      <w:r>
        <w:t>Figure 4.1. Final Windows application overview (evidence pending; replace this reserved area with the actual authorised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jc w:val="both"/>
      </w:pPr>
      <w:r>
        <w:t>Figure 4.2 is a current Qt result-view capture using a deterministic synthetic fixture. It demonstrates the grid, paired views and statistics placement. The fixture deliberately contains 49 tiles with 47 STR, one NORM and one MUC assignments. These assignments are prescribed test data, not model predictions on the coloured source pattern and not evidence of classifier accuracy.</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bookmarkStart w:id="92" w:name="cap_Figure_4_2"/>
      <w:pPr>
        <w:pStyle w:val="FigureCaption"/>
      </w:pPr>
      <w:r>
        <w:t>Figure 4.2. Tiled classification interface with source/result comparison and revised result toggles. Source: author’s Linux/offscreen-Qt development capture; synthetic fixture, not a model result.</w:t>
      </w:r>
      <w:bookmarkEnd w:id="92"/>
    </w:p>
    <w:p>
      <w:pPr/>
      <w:r>
        <w:t>Figure 4.3 reserves real-weight Windows captures of Single image and Tiled analysis; these pending captures are separate from the synthetic interface example in Figure 4.2.</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Real-weight single-image and tiled classification evidence</w:t>
            </w:r>
          </w:p>
          <w:p>
            <w:pPr>
              <w:spacing w:line="276" w:lineRule="auto"/>
            </w:pPr>
            <w:r>
              <w:rPr>
                <w:rFonts w:ascii="Arial" w:hAnsi="Arial" w:eastAsia="Noto Sans CJK SC"/>
                <w:b w:val="0"/>
                <w:color w:val="6A4A10"/>
                <w:sz w:val="20"/>
              </w:rPr>
              <w:t>Provide two labelled panels from the same authorised raster image: Single image with probability chart, and Tiled analysis with mode summary, tile dimensions, nine-class legend and per-tile detail. Include image size, resize backend and model identity. Do not claim identical predictions between whole-image and crop-based modes.</w:t>
            </w:r>
          </w:p>
        </w:tc>
      </w:tr>
    </w:tbl>
    <w:p>
      <w:bookmarkStart w:id="93" w:name="cap_Figure_4_3"/>
      <w:pPr>
        <w:pStyle w:val="FigureCaption"/>
      </w:pPr>
      <w:r>
        <w:t>Figure 4.3. Real-weight single-image and tiled classification evidence (evidence pending; replace this reserved area with the actual authorised capture).</w:t>
      </w:r>
      <w:bookmarkEnd w:id="93"/>
    </w:p>
    <w:p>
      <w:pPr>
        <w:jc w:val="both"/>
      </w:pPr>
      <w:r>
        <w:t>The 3552 × 3536 geometry example produces 49 crops at a 512 × 512 setting, with smaller right and bottom edges. Controlled tests verify unique source crops, RGB/raw255 preparation, class order, edge handling and area conservation. The tissue accuracy of a tiled map requires a separately defined ground-truth and scale protocol; the patch-classification results in Section 4.2.6 do not measure that map.</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reference notebook establishes the segmentation architecture, preprocessing, labels and probability-fusion procedure. Controlled software tests cover restored dimensions, class counts and blending behaviour. Segmentation predictive performance is treated separately: annotated-mask metrics were not available for this model, as discussed in Section 4.5.3. Figure 4.4 reserves the real-weight Windows segmentation view and aligned source comparison; the capture is still pending.</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Windows segmentation result and aligned comparison</w:t>
            </w:r>
          </w:p>
          <w:p>
            <w:pPr>
              <w:spacing w:line="276" w:lineRule="auto"/>
            </w:pPr>
            <w:r>
              <w:rPr>
                <w:rFonts w:ascii="Arial" w:hAnsi="Arial" w:eastAsia="Noto Sans CJK SC"/>
                <w:b w:val="0"/>
                <w:color w:val="6A4A10"/>
                <w:sz w:val="20"/>
              </w:rPr>
              <w:t>Capture Overlay and Compare with original using the actual segmentation model. Include the full legend, pixel-coverage label, model/session identity and matched zoom percentages. Record source dimensions and segmentation tile/stride/input metadata.</w:t>
            </w:r>
          </w:p>
        </w:tc>
      </w:tr>
    </w:tbl>
    <w:p>
      <w:bookmarkStart w:id="95" w:name="cap_Figure_4_4"/>
      <w:pPr>
        <w:pStyle w:val="FigureCaption"/>
      </w:pPr>
      <w:r>
        <w:t>Figure 4.4. Windows segmentation result and aligned comparison (evidence pending; replace this reserved area with the actual authorised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 Figure 4.5 reserves the Windows history and recorded-rerun demonstration.</w:t>
      </w:r>
    </w:p>
    <w:p>
      <w:pPr>
        <w:jc w:val="both"/>
      </w:pPr>
      <w:r>
        <w:t>Rerun tests demonstrate that the recorded model/task/mode and analysis settings take precedence over current preferences. Restoring a record does not itself create a new prediction. The export workflow uses the displayed completed record's metadata and can retain task-specific maps/JSON together with the presentation. This prevents a newly selected model from being incorrectly attached to an older visible result. Figure 4.6 reserves an exported report and its companion artifacts for inspection; the real-file capture remains pending.</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History and recorded-parameter rerun</w:t>
            </w:r>
          </w:p>
          <w:p>
            <w:pPr>
              <w:spacing w:line="276" w:lineRule="auto"/>
            </w:pPr>
            <w:r>
              <w:rPr>
                <w:rFonts w:ascii="Arial" w:hAnsi="Arial" w:eastAsia="Noto Sans CJK SC"/>
                <w:b w:val="0"/>
                <w:color w:val="6A4A10"/>
                <w:sz w:val="20"/>
              </w:rPr>
              <w:t>Show a real Single image row and Tiled analysis row, then restore the tiled record after changing current preferences. Capture its recorded model, mode, tile dimensions and backend. Show a separate new record after an intentional rerun.</w:t>
            </w:r>
          </w:p>
        </w:tc>
      </w:tr>
    </w:tbl>
    <w:p>
      <w:bookmarkStart w:id="97" w:name="cap_Figure_4_5"/>
      <w:pPr>
        <w:pStyle w:val="FigureCaption"/>
      </w:pPr>
      <w:r>
        <w:t>Figure 4.5. History and recorded-parameter rerun (evidence pending; replace this reserved area with the actual authorised capture).</w:t>
      </w:r>
      <w:bookmarkEnd w:id="97"/>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Exported report and companion artifacts</w:t>
            </w:r>
          </w:p>
          <w:p>
            <w:pPr>
              <w:spacing w:line="276" w:lineRule="auto"/>
            </w:pPr>
            <w:r>
              <w:rPr>
                <w:rFonts w:ascii="Arial" w:hAnsi="Arial" w:eastAsia="Noto Sans CJK SC"/>
                <w:b w:val="0"/>
                <w:color w:val="6A4A10"/>
                <w:sz w:val="20"/>
              </w:rPr>
              <w:t>Capture an opened PDF report plus the exported files in a folder. Ensure the report identifies the actual task/model/mode; show classification tile geometry/estimated coverage or segmentation parameters as appropriate. Remove identifying source paths before submission.</w:t>
            </w:r>
          </w:p>
        </w:tc>
      </w:tr>
    </w:tbl>
    <w:p>
      <w:bookmarkStart w:id="98" w:name="cap_Figure_4_6"/>
      <w:pPr>
        <w:pStyle w:val="FigureCaption"/>
      </w:pPr>
      <w:r>
        <w:t>Figure 4.6. Exported report and companion artifacts (evidence pending; replace this reserved area with the actual authorised capture).</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 Figure 4.7 shows the implemented Guide &amp; Support page and its navigation.</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bookmarkStart w:id="100" w:name="cap_Figure_4_7"/>
      <w:pPr>
        <w:pStyle w:val="FigureCaption"/>
      </w:pPr>
      <w:r>
        <w:t>Figure 4.7. Implemented Guide &amp; Support page with persistent Contents navigation and numbered guidance. Source: author’s Linux/offscreen-Qt development capture; this is interface evidence.</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bookmarkStart w:id="101" w:name="cap_Figure_4_8"/>
      <w:pPr>
        <w:pStyle w:val="FigureCaption"/>
      </w:pPr>
      <w:r>
        <w:t>Figure 4.8. English history-calendar popup with a simulated Chinese default locale. Source: author’s Linux/offscreen-Qt development capture; the selected date is test input.</w:t>
      </w:r>
      <w:bookmarkEnd w:id="101"/>
    </w:p>
    <w:p>
      <w:pPr>
        <w:jc w:val="both"/>
      </w:pPr>
      <w:r>
        <w:t>Cancel inference is available during work. Tests cover cancellation at multiple checkpoints and preservation of the previous completed result. The interface waits for the current operation and worker cleanup; it does not advertise instantaneous termination. A final real-model cancellation recording remains useful because the duration of an individual model operation depends on the actual weights, workload and hardware. Figure 4.9 reserves the Windows demonstration of cancellation and task-specific model defaults.</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Cancellation and per-task model defaults on Windows</w:t>
            </w:r>
          </w:p>
          <w:p>
            <w:pPr>
              <w:spacing w:line="276" w:lineRule="auto"/>
            </w:pPr>
            <w:r>
              <w:rPr>
                <w:rFonts w:ascii="Arial" w:hAnsi="Arial" w:eastAsia="Noto Sans CJK SC"/>
                <w:b w:val="0"/>
                <w:color w:val="6A4A10"/>
                <w:sz w:val="20"/>
              </w:rPr>
              <w:t>Capture a running tile operation, the Cancelling state and the unchanged previous completed record after acknowledgement. Separately show a validated local default and restoring that task's built-in default. This is a multi-panel evidence figure, not a claim of instant interruption.</w:t>
            </w:r>
          </w:p>
        </w:tc>
      </w:tr>
    </w:tbl>
    <w:p>
      <w:bookmarkStart w:id="102" w:name="cap_Figure_4_9"/>
      <w:pPr>
        <w:pStyle w:val="FigureCaption"/>
      </w:pPr>
      <w:r>
        <w:t>Figure 4.9. Cancellation and per-task model defaults on Windows (evidence pending; replace this reserved area with the actual authorised capture).</w:t>
      </w:r>
      <w:bookmarkEnd w:id="102"/>
    </w:p>
    <w:p>
      <w:bookmarkStart w:id="161" w:name="new_4_3_4_Classification_training_and_test"/>
      <w:pPr>
        <w:pStyle w:val="Heading3"/>
      </w:pPr>
      <w:r>
        <w:t>4.2.6 Classification training and test results</w:t>
      </w:r>
      <w:bookmarkEnd w:id="161"/>
    </w:p>
    <w:p>
      <w:pPr/>
      <w:r>
        <w:t>The formal experiment uses the seed-42 NCT-CRC-HE-100K manifests with 80,002 training and 19,998 validation images. Their hashes match config.json, and relative paths do not overlap. The training log identifies an NVIDIA L4. This training environment is separate from the CPU-only Windows application session.</w:t>
      </w:r>
    </w:p>
    <w:p>
      <w:pPr/>
      <w:r>
        <w:t>The 30-epoch metrics record selects epoch 26 by minimum validation loss (0.0275519), with validation accuracy 99.09% and macro-F1 99.09%. The directory name crc-dn21-seed42-10ep and config.json epochs=10 describe the initial run configuration; continuation logs and metrics.csv establish the completed 30-epoch history. Figure 4.10 illustrates the epoch-to-epoch variation in validation loss and accuracy.</w:t>
      </w:r>
    </w:p>
    <w:p>
      <w:pPr>
        <w:keepNext/>
        <w:spacing w:before="140"/>
        <w:jc w:val="center"/>
      </w:pPr>
      <w:r>
        <w:drawing>
          <wp:inline xmlns:a="http://schemas.openxmlformats.org/drawingml/2006/main" xmlns:pic="http://schemas.openxmlformats.org/drawingml/2006/picture">
            <wp:extent cx="5731200" cy="5056941"/>
            <wp:docPr id="13" name="Picture 13"/>
            <wp:cNvGraphicFramePr>
              <a:graphicFrameLocks noChangeAspect="1"/>
            </wp:cNvGraphicFramePr>
            <a:graphic>
              <a:graphicData uri="http://schemas.openxmlformats.org/drawingml/2006/picture">
                <pic:pic>
                  <pic:nvPicPr>
                    <pic:cNvPr id="0" name="classification_training_curves.png"/>
                    <pic:cNvPicPr/>
                  </pic:nvPicPr>
                  <pic:blipFill>
                    <a:blip r:embed="rId29"/>
                    <a:stretch>
                      <a:fillRect/>
                    </a:stretch>
                  </pic:blipFill>
                  <pic:spPr>
                    <a:xfrm>
                      <a:off x="0" y="0"/>
                      <a:ext cx="5731200" cy="5056941"/>
                    </a:xfrm>
                    <a:prstGeom prst="rect"/>
                  </pic:spPr>
                </pic:pic>
              </a:graphicData>
            </a:graphic>
          </wp:inline>
        </w:drawing>
      </w:r>
    </w:p>
    <w:p>
      <w:bookmarkStart w:id="162" w:name="new_Figure_4_11__Classification_training_a"/>
      <w:pPr>
        <w:pStyle w:val="FigureCaption"/>
      </w:pPr>
      <w:r>
        <w:t>Figure 4.10. Classification training and validation over 30 recorded epochs, with the selected epoch 26 marked. Source: author’s plot of experiments/crc-dn21-seed42-10ep/metrics.csv.</w:t>
      </w:r>
      <w:bookmarkEnd w:id="162"/>
    </w:p>
    <w:p>
      <w:pPr/>
      <w:r>
        <w:t>Table 4.1 summarises the classifier’s training selection and external-test evaluation; Table 4.2 reports precision, recall and F1 for each class.</w:t>
      </w:r>
    </w:p>
    <w:p>
      <w:bookmarkStart w:id="163" w:name="new_Table_4_4__Classification_evaluation_s"/>
      <w:pPr>
        <w:pStyle w:val="TableCaption"/>
      </w:pPr>
      <w:r>
        <w:t>Table 4.1. Classification evaluation summary</w:t>
      </w:r>
      <w:bookmarkEnd w:id="163"/>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 recomputed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Scope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collection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CRC-VAL-HE-7K; 7,180 images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from the internal training/validation manifests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 incorrect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669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independently recomputed from their prediction CSVs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accuracy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90.682451%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Original and default-Pillow runs: 6,511 / 7,180</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0.885879 (88.59%)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unweighted mean of nine class F1 values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Internal validation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99.09% accuracy; 99.09%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epoch 26; not the external test 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Checkpoint identity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Epoch-26 best_model.pth</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SHA-256 matches summary.json; renamed for application use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application input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native 224 × 224 RGB patches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Pillow; float32 raw255; CPU batch 1</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Prediction agreement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 7,180 reference labels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 probability difference: 0.002732</w:t>
            </w:r>
          </w:p>
        </w:tc>
      </w:tr>
    </w:tbl>
    <w:p>
      <w:pPr/>
      <w:r>
        <w:t>Source: the classification experiment’s metrics.csv and test-7k outputs, together with the Windows default-Pillow evaluation of 19 October 2026. Per-image predictions from both runs reproduce the displayed aggregate results.</w:t>
      </w:r>
    </w:p>
    <w:p>
      <w:bookmarkStart w:id="164" w:name="new_Table_4_5__Class_wise_classification_p"/>
      <w:pPr>
        <w:pStyle w:val="TableCaption"/>
      </w:pPr>
      <w:r>
        <w:t>Table 4.2. Class-wise classification performance on 7,180 test images</w:t>
      </w:r>
      <w:bookmarkEnd w:id="16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Class (support)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Precision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Recall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F1 (%)</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 (1,338)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84.90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90.73</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 (847)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100.00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99.41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 (339)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79.76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88.27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 (634)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95.17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99.37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97.22</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 (1,035)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96.59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94.84</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 (592)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61.24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66.67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 (741)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92.29</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 (421)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65.80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71.85</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 (1,233)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95.58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96.00</w:t>
            </w:r>
          </w:p>
        </w:tc>
      </w:tr>
    </w:tbl>
    <w:p>
      <w:pPr/>
      <w:r>
        <w:t>Source: class-wise reports and per-image predictions from the original evaluation and Windows default-Pillow rerun. Both runs give the same class counts and metrics; support is the number of true-class images. Displayed values are rounded.</w:t>
      </w:r>
    </w:p>
    <w:p>
      <w:pPr/>
      <w:r>
        <w:t>Figure 4.11 shows the external-test confusion matrix, allowing the class-wise error patterns to be examined alongside the aggregate metrics.</w:t>
      </w:r>
    </w:p>
    <w:p>
      <w:pPr>
        <w:keepNext/>
        <w:spacing w:before="140"/>
        <w:jc w:val="center"/>
      </w:pPr>
      <w:r>
        <w:drawing>
          <wp:inline xmlns:a="http://schemas.openxmlformats.org/drawingml/2006/main" xmlns:pic="http://schemas.openxmlformats.org/drawingml/2006/picture">
            <wp:extent cx="5731200" cy="5014800"/>
            <wp:docPr id="14" name="Picture 14"/>
            <wp:cNvGraphicFramePr>
              <a:graphicFrameLocks noChangeAspect="1"/>
            </wp:cNvGraphicFramePr>
            <a:graphic>
              <a:graphicData uri="http://schemas.openxmlformats.org/drawingml/2006/picture">
                <pic:pic>
                  <pic:nvPicPr>
                    <pic:cNvPr id="0" name="classification_confusion_matrix.png"/>
                    <pic:cNvPicPr/>
                  </pic:nvPicPr>
                  <pic:blipFill>
                    <a:blip r:embed="rId30"/>
                    <a:stretch>
                      <a:fillRect/>
                    </a:stretch>
                  </pic:blipFill>
                  <pic:spPr>
                    <a:xfrm>
                      <a:off x="0" y="0"/>
                      <a:ext cx="5731200" cy="5014800"/>
                    </a:xfrm>
                    <a:prstGeom prst="rect"/>
                  </pic:spPr>
                </pic:pic>
              </a:graphicData>
            </a:graphic>
          </wp:inline>
        </w:drawing>
      </w:r>
    </w:p>
    <w:p>
      <w:bookmarkStart w:id="165" w:name="new_Figure_4_12__Nine_class_confusion_matr"/>
      <w:pPr>
        <w:pStyle w:val="FigureCaption"/>
      </w:pPr>
      <w:r>
        <w:t>Figure 4.11. Nine-class confusion matrix for CRC-VAL-HE-7K. Source: the classification experiment’s saved matrix; the Windows default-Pillow predictions independently reproduce every count. Rows are true labels and columns predicted labels.</w:t>
      </w:r>
      <w:bookmarkEnd w:id="165"/>
    </w:p>
    <w:p>
      <w:pPr/>
      <w:r>
        <w:t>Performance varies substantially by category. BACK has F1 99.41%, while MUS and STR have F1 66.67% and 71.85%. The largest off-diagonal count is ADI predicted as MUS (192 images); MUS/STR confusion is bidirectional (73 MUS→STR and 74 STR→MUS). DEB recall is 98.82% but precision is 79.76%, showing that high sensitivity for one class can coexist with false positives. These differences justify presenting class-wise results alongside accuracy.</w:t>
      </w:r>
    </w:p>
    <w:p>
      <w:pPr/>
      <w:r>
        <w:t>The selected-epoch validation accuracy exceeds external test accuracy by approximately 8.41 percentage points. Internal validation uses a stratified random patch-level split of the same 100,000-image pool as training, without patient grouping. In contrast, the CRC-VAL-HE-7K dataset documentation describes a test cohort of 50 patients with no patient overlap with NCT-CRC-HE-100K (Kather et al., 2018). The two estimates therefore assess different generalisation conditions. Class proportions also differ: ADI represents 10.41% of the 100K pool versus 18.64% of the test set, DEB 11.51% versus 4.72%, and MUS 13.54% versus 8.25%. These results do not isolate the contribution of patient grouping, cohort differences or class composition to the observed gap.</w:t>
      </w:r>
    </w:p>
    <w:p>
      <w:pPr/>
      <w:r>
        <w:t>Training used NCT-CRC-HE-100K.zip, the standard Macenko stain-normalised release, rather than the separately distributed NONORM version (Kather et al., 2018). The dataset documentation specifies 224 × 224 pixels at 0.5 μm/pixel for both NCT-CRC-HE-100K and CRC-VAL-HE-7K. Stain normalisation of source images is distinct from raw255 or ImageNet numerical preprocessing of input tensors. Both validation and original test scripts use deterministic Resize, ToTensorV2 and float32 raw255; the Windows application-default Pillow rerun preserves every external-test predicted label. The observed score gap is not evidence of a stain-processing mismatch.</w:t>
      </w:r>
    </w:p>
    <w:p>
      <w:pPr/>
      <w:r>
        <w:t>Both the class-wise results and the lower macro-F1 show that a global accuracy number alone is insufficient. The external test provides patient-independent patch evaluation according to the dataset design, while the internal validation score should not be interpreted as a patient-separated estimate. Patient-grouped internal validation and additional external cohorts would help assess how performance transfers across patients and collection conditions.</w:t>
      </w:r>
    </w:p>
    <w:p>
      <w:pPr/>
      <w:r>
        <w:t>Both prediction CSVs contain 7,180 unique image paths with matching true labels, valid class argmax, maximum softmax score and probability sums. Recalculation gives 6,511 correct predictions, 90.682451% accuracy and 88.587944% macro-F1 for each run. Every class-wise metric and confusion-matrix entry agrees. The deployed classifier has the same checkpoint checksum as the original evaluated model; Appendix E records the execution configurations.</w:t>
      </w:r>
    </w:p>
    <w:p>
      <w:pPr/>
      <w:r>
        <w:t>On 19 October 2026, I evaluated the labelled patches on Windows through the project’s ModelLoader, Preprocessor and OutputParser using the unchanged Pillow default, RGB float32 raw255, a 224 × 224 input and CPU batch size 1. All source patches were already 224 × 224. Input diagnostics against the installed OpenCV decoder and INTER_LINEAR produced zero tensor differences; the reference comparison retained all 7,180 predicted labels. Probability vectors were not identical: the maximum absolute probability difference was 0.002732. This comparison confirms native-sized patch predictions across the recorded runs, without establishing identical numerical output or resize behaviour at other source sizes.</w:t>
      </w:r>
    </w:p>
    <w:p>
      <w:pPr/>
      <w:r>
        <w:t>The application-default Single image core therefore has a measured result on this labelled patch collection. Arbitrary 512-pixel source crops, tiled maps and physical-scale changes require their own ground-truth and scale design. These generalisation limits are discussed in Section 4.5.3.</w:t>
      </w:r>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The final Windows invocation on 19 October 2026 completed the entire 370-test suite with 370 passed, 0 failed, 0 errors and 0 skipped, with 15 warnings in 194.10 seconds (exit 0). It used the native windows Qt platform, Python 3.10.22, PyQt5 5.15.11 and Qt 5.15.2. The evaluated source content is recorded in revision 7bd3552, as identified in Appendix C. Table 4.3 summarises this completed target-platform invocation.</w:t>
      </w:r>
    </w:p>
    <w:p>
      <w:bookmarkStart w:id="105" w:name="cap_Table_4_1"/>
      <w:pPr>
        <w:pStyle w:val="TableCaption"/>
      </w:pPr>
      <w:r>
        <w:t>Table 4.3. Final Windows automated test result</w:t>
      </w:r>
      <w:bookmarkEnd w:id="105"/>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Execution details</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370</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skipped; 15 warnings; 194.10 s; exit 0. Source revision 7bd3552.</w:t>
            </w:r>
          </w:p>
        </w:tc>
      </w:tr>
    </w:tbl>
    <w:p>
      <w:pPr/>
      <w:r>
        <w:t>Source: the full-suite pytest log and XML result of 19 October 2026, beginning at 22:26 (UTC+08:00). Appendix C provides the software version and earlier execution records.</w:t>
      </w:r>
    </w:p>
    <w:p>
      <w:pPr>
        <w:spacing w:after="40"/>
      </w:pPr>
    </w:p>
    <w:p>
      <w:pPr/>
      <w:r>
        <w:t>The suite ran without test-case selection and completed with no skipped tests. Its 15 warnings concern deprecated Matplotlib/Pyparsing, PyTorch TypedStorage and Hugging Face download interfaces. The 194.10-second duration measures automated testing, not application inference performance.</w:t>
      </w:r>
    </w:p>
    <w:p>
      <w:bookmarkStart w:id="160" w:name="new_Table_4_2__Windows_test_host_and_actua"/>
      <w:pPr>
        <w:pStyle w:val="TableCaption"/>
      </w:pPr>
      <w:r>
        <w:t>Table 4.4. Windows test host and actual CPU runtime on 19 October 2026</w:t>
      </w:r>
      <w:bookmarkEnd w:id="160"/>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Category</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specification</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Operating system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Microsoft Windows 11 Home Chinese Edition; 10.0.22621, Build 22621; 64-bit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Python/Qt environment; native acceptance assessed separately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13th Gen Intel Core i9-13900HX; 24 cores; 32 logical processors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CPU threads: 24</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Memory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15.81 GiB physical RAM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Physical system memory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GPU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NVIDIA GeForce RTX 4060 Laptop GPU; driver 32.0.15.6094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hardware only; not used for these runs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compute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2.1.2+cpu; CUDA available=False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 execution; no GPU acceleration claim</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Python/test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3.10.22; pytest 9.1.1; pluggy 1.6.0; anyio 4.15.1; pytest-qt 4.5.0</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Versions from the Windows test record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GUI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5.15.11; Qt runtime 5.15.2; Qt compiled 5.15.2</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Startup: DPR 2.0; automation: DPR 1.0, logical DPI 168. Each geometry record uses Qt logical coordinates.</w:t>
            </w:r>
          </w:p>
        </w:tc>
      </w:tr>
    </w:tbl>
    <w:p>
      <w:pPr/>
      <w:r>
        <w:t>Source: Windows test/environment record dated 19 October 2026; full revision and evidence-file index in Appendix C. Installed GPU specifications are separated from the actual CPU runtime.</w:t>
      </w:r>
    </w:p>
    <w:p>
      <w:pPr/>
      <w:r>
        <w:t>Figure 4.12 reproduces selected lines from the genuine final Windows pytest report; it is a test-log excerpt rather than an application screenshot.</w:t>
      </w:r>
    </w:p>
    <w:p>
      <w:pPr>
        <w:keepNext/>
        <w:spacing w:before="140"/>
        <w:jc w:val="center"/>
      </w:pPr>
      <w:r>
        <w:drawing>
          <wp:inline xmlns:a="http://schemas.openxmlformats.org/drawingml/2006/main" xmlns:pic="http://schemas.openxmlformats.org/drawingml/2006/picture">
            <wp:extent cx="5731200" cy="2697672"/>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697672"/>
                    </a:xfrm>
                    <a:prstGeom prst="rect"/>
                  </pic:spPr>
                </pic:pic>
              </a:graphicData>
            </a:graphic>
          </wp:inline>
        </w:drawing>
      </w:r>
    </w:p>
    <w:p>
      <w:bookmarkStart w:id="106" w:name="cap_Figure_4_10"/>
      <w:pPr>
        <w:pStyle w:val="FigureCaption"/>
      </w:pPr>
      <w:r>
        <w:t>Figure 4.12. Completed Windows pytest report, 19 October 2026. Source: the recorded full-suite log; selected text is reproduced with omissions marked.</w:t>
      </w:r>
      <w:bookmarkEnd w:id="106"/>
    </w:p>
    <w:p>
      <w:pPr>
        <w:jc w:val="both"/>
      </w:pPr>
      <w:r>
        <w:t>The final Windows suite passed the built-in-model availability assertion and the previously affected history, rerun, worker-lifetime and responsive-layout cases. The separate default-Pillow classifier evaluation in Section 4.2.6 supplies predictive measurements; passing software tests and file-availability checks do not measure segmentation accuracy.</w:t>
      </w:r>
    </w:p>
    <w:p>
      <w:pPr>
        <w:jc w:val="both"/>
      </w:pPr>
      <w:r>
        <w:t>Earlier Windows runs were interrupted by a missing training-script prerequisite and a worker-thread destruction fault. Restoring the genuine script and correcting worker lifetime, queued validation callbacks and panel size policies resolved the observed regression cases in the final suite. Table 4.5 summarises the implementation corrections; Appendix C retains the earlier run outcomes.</w:t>
      </w:r>
    </w:p>
    <w:p>
      <w:bookmarkStart w:id="107" w:name="head_80"/>
      <w:pPr>
        <w:pStyle w:val="Heading3"/>
      </w:pPr>
      <w:r>
        <w:t>4.3.2 Challenges, resolutions and evidence</w:t>
      </w:r>
      <w:bookmarkEnd w:id="107"/>
    </w:p>
    <w:p>
      <w:bookmarkStart w:id="108" w:name="cap_Table_4_2"/>
      <w:pPr>
        <w:pStyle w:val="TableCaption"/>
      </w:pPr>
      <w:r>
        <w:t>Table 4.5. Implementation challenges and verified resolutions</w:t>
      </w:r>
      <w:bookmarkEnd w:id="108"/>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Challenge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Actual cause or 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Resolution</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 and limit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Missing/incorrect classifier assumptions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ResNet/ImageNet description disagreed with implemented DenseNet/raw255 contract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the actual nine-class DenseNet/raw255 metadata, training records and class order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default-Pillow patch accuracy 90.68%, macro-F1 88.59%; agreement measured on native 224 × 224 images.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Misleading tiled history confidence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Aggregate tile output could appear to be a whole-image label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summary and estimated coverage; separate aggregate PDF terminology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History/export semantic tests; no prediction values changed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grid lines disappearing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Fine rasterised grid could vanish when the large image was reduced</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Paint vector grid after the image using the same transform</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Source-coordinate/grid tests across Fit, zoom and resize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stayed stacked after widening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side legend could shrink the comparison below its breakpoint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Keep segmentation legend below paired images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Repeated main-window narrow/wide regression for both tasks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Oversized/clipped windows and settings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Child minimum sizes and wrapped-text sizing constrained the layout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 screen bounds, inner scrolling, measured legend/card sizes and pinned action space.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small-screen/font, maximise/restore and compact-viewport cases passed; formal manual task evidence pending.</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Tight focus box and unreliable label/padding clicks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Global focus border and native checkbox hit region differed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rounded surface; full-rectangle hit area; keyboard-only focus cue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Mouse edge/text/padding, disabled and Tab/Space tests in both themes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Accidental preference changes by wheel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Closed combo boxes consumed scroll as selection input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selection; wheel forwarded to page scrolling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Popup/keyboard/wheel integration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Unclear cancellation/default ownership</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Late worker results or current defaults could affect a record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stop/late-result rejection; per-task defaults and recorded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Cancellation/default/rerun tests with temporary artifacts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Calendar followed local language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 popup inherited locale-dependent text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English locale for editors and calendars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popup/day selection under Chinese default locale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destroyed during model loading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Forced parent deletion bypassed deferred close while a QThread was still running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Wait for worker completion before destroying child threads; retain asynchronous normal close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fatal message identified cause; two worker-destruction regressions and final Windows suite passed.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Validation callback accessed deleted controls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Queued lambda outlived its owning window or settings page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QObject-bound receivers disconnected with their owner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Six successful/error callback lifecycle cases passed for built-in, custom and task-default validation.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Run/Re-run clipped in short viewports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Right-side inner scroll-area height hint enlarged the full three-panel splitter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Allow vertical shrinking of scrolling content; retain pinned action space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16/30px-scrollbar compact-body regressions and the original 480 × 360 Windows case passed.</w:t>
            </w:r>
          </w:p>
        </w:tc>
      </w:tr>
    </w:tbl>
    <w:p>
      <w:pPr/>
      <w:r>
        <w:t>Source: implementation changes and their named regression cases, including the completed native Windows suite of 19 October 2026.</w:t>
      </w:r>
    </w:p>
    <w:p>
      <w:pPr>
        <w:spacing w:after="40"/>
      </w:pPr>
    </w:p>
    <w:p>
      <w:pPr>
        <w:jc w:val="both"/>
      </w:pPr>
      <w:r>
        <w:t>The corrected cases retain their original behavioural checks; the suite additionally includes eleven lifecycle and viewport regression cases introduced during refinement. The Windows maximisation check uses the client area and Qt’s actual native frame margins, while normal/restored full-frame containment remains required. Classification performance is reported separately in Section 4.2.6.</w:t>
      </w:r>
    </w:p>
    <w:p>
      <w:bookmarkStart w:id="109" w:name="head_81"/>
      <w:pPr>
        <w:pStyle w:val="Heading3"/>
      </w:pPr>
      <w:r>
        <w:t>4.3.3 Windows startup and window-state observations</w:t>
      </w:r>
      <w:bookmarkEnd w:id="109"/>
    </w:p>
    <w:p>
      <w:pPr>
        <w:jc w:val="both"/>
      </w:pPr>
      <w:r>
        <w:t>Windows source execution recorded successful loading and validation of the built-in classifier at approximately 14:23 on 19 October 2026. Loading completed from the checkpoint; validation identified DenseNet, classification, nine classes and output shape (1, 9), and the main window accepted the model. The later default-Pillow evaluation completed 7,180 real-patch predictions (Section 4.2.6).</w:t>
      </w:r>
    </w:p>
    <w:p>
      <w:pPr>
        <w:jc w:val="both"/>
      </w:pPr>
      <w:r>
        <w:t>The source-startup session reported devicePixelRatio=2.0 and availableGeometry=[0, 0, 1280, 758] in Qt logical coordinates, with normal, maximised and minimised state entries. The automated Windows application reported DPR 1.0, logical DPI 168 and availableGeometry=[0, 0, 2560, 1516]. Each record is interpreted within its own Qt application; these logical values are not substituted for a measured physical monitor resolution.</w:t>
      </w:r>
    </w:p>
    <w:p>
      <w:pPr>
        <w:jc w:val="both"/>
      </w:pPr>
      <w:r>
        <w:t>Native Windows automated checks now cover maximise/restore, saved-geometry recovery, repeated narrow/wide comparison, grid alignment and short viewports with accessible Run/Re-run actions. These completed checks resolve the earlier engineering regressions. Appendix D still reserves formal manual outcomes for authorised real-image workflows, real-model cancellation, screenshot verification and the intended display configurations.</w:t>
      </w:r>
    </w:p>
    <w:p>
      <w:bookmarkStart w:id="166" w:name="new_4_3_5_Runtime_and_deployment_verificat"/>
      <w:pPr>
        <w:pStyle w:val="Heading3"/>
      </w:pPr>
      <w:r>
        <w:t>4.3.4 Runtime and deployment verification status</w:t>
      </w:r>
      <w:bookmarkEnd w:id="166"/>
    </w:p>
    <w:p>
      <w:pPr/>
      <w:r>
        <w:t>The hardware and CPU runtime are documented in Table 4.4, but no repeated stage-level measurements were recorded for loading, preprocessing, forward inference, reconstruction/statistics, GUI display, saving or export. Cold and warm runs have not been separately summarised. Appendix E.3 defines the benchmark protocol; no measured latency, mean, standard deviation or throughput is filled in here.</w:t>
      </w:r>
    </w:p>
    <w:p>
      <w:pPr/>
      <w:r>
        <w:t>The demonstrated delivery route is source execution in a Windows virtual environment. No PyInstaller build log, version-matched packaged artifact, clean-machine acceptance record or offline execution record was available. Standalone executable and fully offline deployment verification remain future work, separate from successful source startup.</w:t>
      </w:r>
    </w:p>
    <w:p>
      <w:bookmarkStart w:id="110" w:name="head_82"/>
      <w:pPr>
        <w:pStyle w:val="Heading2"/>
      </w:pPr>
      <w:r>
        <w:t>4.4 User Acceptance Testing Results</w:t>
      </w:r>
      <w:bookmarkEnd w:id="110"/>
    </w:p>
    <w:p>
      <w:pPr>
        <w:jc w:val="both"/>
      </w:pPr>
      <w:r>
        <w:t>UAT results await collection. Appendix B provides the tasks, questionnaire and scoring rules; the tables below reserve the actual participant and outcome data. H2 and the user-performance component of H3 will be assessed after those responses are available.</w:t>
      </w:r>
    </w:p>
    <w:p>
      <w:bookmarkStart w:id="111" w:name="head_83"/>
      <w:pPr>
        <w:pStyle w:val="Heading3"/>
      </w:pPr>
      <w:r>
        <w:t>4.4.1 Participant Demographics</w:t>
      </w:r>
      <w:bookmarkEnd w:id="111"/>
    </w:p>
    <w:p>
      <w:pPr/>
      <w:r>
        <w:t>Table 4.6 reserves the participant profile; its entries will be completed only after actual UAT recruitment and consent.</w:t>
      </w:r>
    </w:p>
    <w:p>
      <w:bookmarkStart w:id="112" w:name="cap_Table_4_3"/>
      <w:pPr>
        <w:pStyle w:val="TableCaption"/>
      </w:pPr>
      <w:r>
        <w:t>Table 4.6. UAT participant profile — awaiting actual responses</w:t>
      </w:r>
      <w:bookmarkEnd w:id="112"/>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Characteristic</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Recruited/consented/completed participants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counts and exclusions]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Participant role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role counts, with actual denominator]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Pathology experience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predefined experience groups]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Programming/AI experience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experience groups]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Prior use of pathology tools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devices/display scales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configurations]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bl>
    <w:p>
      <w:pPr/>
      <w:r>
        <w:t>Source: planned UAT protocol; no participant data have been collected.</w:t>
      </w:r>
    </w:p>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pPr/>
      <w:r>
        <w:t>Table 4.7 defines the reporting fields for valid SUS responses and task outcomes; the numerical results remain pending.</w:t>
      </w:r>
    </w:p>
    <w:p>
      <w:bookmarkStart w:id="114" w:name="cap_Table_4_4"/>
      <w:pPr>
        <w:pStyle w:val="TableCaption"/>
      </w:pPr>
      <w:r>
        <w:t>Table 4.7. UAT quantitative summary — awaiting valid data</w:t>
      </w:r>
      <w:bookmarkEnd w:id="114"/>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Reporting rule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 SUS responses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ten items in 1–5</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mean and standard deviation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Score each participant before averaging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median, IQR and range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alongside the small-sample mean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task completion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successes / actual attempts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Assisted completion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separately from independent success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Critical errors and assistance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Count using the predefined task rules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SUS/task analysis rules (Brooke, 1996); results await actual responses.</w:t>
      </w:r>
    </w:p>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pPr/>
      <w:r>
        <w:t>Table 4.8 reserves the feature-use and rating results, distinguishing features actually used from those not attempted.</w:t>
      </w:r>
    </w:p>
    <w:p>
      <w:bookmarkStart w:id="116" w:name="cap_Table_4_5"/>
      <w:pPr>
        <w:pStyle w:val="TableCaption"/>
      </w:pPr>
      <w:r>
        <w:t>Table 4.8. Feature ratings — awaiting actual use and responses</w:t>
      </w:r>
      <w:bookmarkEnd w:id="116"/>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Feature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usage/result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Single-image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attempts, completion and ease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Tiled map/legend/tile details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use, interpretation correctness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and linked navigation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Alignment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of overlay/map/legend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 and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Recorded-mode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cancel and defaults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Completion, assistance and feature-specific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feature-specific UAT questions; results await actual responses.</w:t>
      </w:r>
    </w:p>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Test-suite durations and the diagnostic evaluation-loop duration are excluded from inference latency claims. The Windows evaluation includes input comparison and CSV writing, and no repeated stage-level benchmark has been recorded. Runtime observations in UAT will be reported separately from the protocol in Appendix E.3.</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The engineering observations, startup record and completed Windows regressions are discussed in Section 4.3. UAT responses will be analysed under the participant and task protocol in Appendix B rather than pooled with software tests.</w:t>
      </w:r>
    </w:p>
    <w:p>
      <w:bookmarkStart w:id="119" w:name="head_88"/>
      <w:pPr>
        <w:pStyle w:val="Heading2"/>
      </w:pPr>
      <w:r>
        <w:t>4.5 Discussion</w:t>
      </w:r>
      <w:bookmarkEnd w:id="119"/>
    </w:p>
    <w:p>
      <w:bookmarkStart w:id="120" w:name="head_89"/>
      <w:pPr>
        <w:pStyle w:val="Heading3"/>
      </w:pPr>
      <w:r>
        <w:t>4.5.1 Achievement of Research Objectives</w:t>
      </w:r>
      <w:bookmarkEnd w:id="120"/>
    </w:p>
    <w:p>
      <w:pPr/>
      <w:r>
        <w:t>Table 4.9 maps each research objective to the implemented outcome and the evidence available for assessing its achievement.</w:t>
      </w:r>
    </w:p>
    <w:p>
      <w:bookmarkStart w:id="121" w:name="cap_Table_4_6"/>
      <w:pPr>
        <w:pStyle w:val="TableCaption"/>
      </w:pPr>
      <w:r>
        <w:t>Table 4.9. Objective achievement and outstanding evidence</w:t>
      </w:r>
      <w:bookmarkEnd w:id="12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Objective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Implemented outcome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Evidence-based assessment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O1: local no-code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application, background CPU work and cancel</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source startup and complete 370-test suite passed; clean offline executable remains unverified.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O2: model loading/validation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formats, metadata reconstruction and probe checks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real-classifier loading/validation and automated loader/path cases passed; semantic safety of arbitrary models is not established.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O3: inference tasks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Whole-image/tiled classification and segmentation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Single image core: 90.68% accuracy / 88.59% macro-F1 on 7,180 native 224 × 224 patches. Segmentation and tiled predictive evaluation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O4: result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Charts, overlays, legends, spatial detail and linked comparison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chart, legend, coordinate/grid and comparison regressions passed; formal real-image inspection tasks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O5: export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with task-specific metadata/artifacts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temporary-artifact/report cases passed; real-image export demonstration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O6: persistent records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SQLite and saved analysis/presentation 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persistence/artifact regressions passed; immutable per-run identities and backup not implemented.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O7: retrieval/rerun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local-date filter, restore and recorded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search, calendar, restore and recorded-parameter rerun cases passed; efficiency awaits UAT.</w:t>
            </w:r>
          </w:p>
        </w:tc>
      </w:tr>
    </w:tbl>
    <w:p>
      <w:pPr/>
      <w:r>
        <w:t>Source: the implementation, completed Windows software tests, classifier evaluation and source-startup records; manual acceptance and UAT retain separate statuses.</w:t>
      </w:r>
    </w:p>
    <w:p>
      <w:pPr>
        <w:spacing w:after="40"/>
      </w:pPr>
    </w:p>
    <w:p>
      <w:pPr>
        <w:jc w:val="both"/>
      </w:pPr>
      <w:r>
        <w:t>The implementation makes previously implicit choices visible: Single image versus Tiled analysis, source crop size versus network input, named resize backends, and tile-class coverage versus pixel coverage. The Windows patch evaluation supplies a measured default-path classifier result, and the 370-test native Windows run verifies the implemented software contracts under the documented test conditions.</w:t>
      </w:r>
    </w:p>
    <w:p>
      <w:pPr>
        <w:jc w:val="both"/>
      </w:pPr>
      <w:r>
        <w:t>H1 has supporting implementation tests, real-classifier loading and patch-level prediction evidence. Passing native Windows restoration and recorded-rerun checks support the technical component of H3. H2 and user-efficiency claims await UAT; the predictive and system-level limits are consolidated in Section 4.5.3.</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Classification performance is specific to its data and preprocessing. The 90.68% accuracy and 88.59% macro-F1 are reproduced by the original evaluation and the application-default Single image core on native 224 × 224 external-test patches. The dataset documentation identifies the external cohort as patient-independent from NCT-CRC-HE-100K; the internal training/validation split, however, is patch-based and does not enforce patient or slide separation (Kather et al., 2018). Its 99.09% validation accuracy may therefore be optimistic for cross-patient generalisation. The observed gap does not isolate a principal causal factor. Performance on arbitrary resized crops, different physical scales and tiled maps, together with calibration and content-duplicate checks, requires further evaluation.</w:t>
      </w:r>
    </w:p>
    <w:p>
      <w:pPr>
        <w:jc w:val="both"/>
      </w:pPr>
      <w:r>
        <w:t>Large raster tiling is implemented, but native WSI pyramid reading, physical-scale extraction and memory-bounded streaming remain outside scope. Full-resolution arrays and restored masks consume memory. The source datasets have a nominal resolution of 0.5 μm/pixel, but the application does not establish the physical resolution of arbitrary raster inputs. Its editable 512 × 512 classification starting value therefore has unverified training-scale equivalence, and rectangular edge crops are resized to the fixed network input.</w:t>
      </w:r>
    </w:p>
    <w:p>
      <w:pPr>
        <w:jc w:val="both"/>
      </w:pPr>
      <w:r>
        <w:t>Segmentation is a supervisor-provided model integration with a documented inference procedure. I did not train it, and its training dataset and Dice/IoU report were not obtained. Controlled tests establish software geometry and statistics rather than segmentation accuracy; a real-weight demonstration and aligned ground-truth evaluation remain necessary.</w:t>
      </w:r>
    </w:p>
    <w:p>
      <w:pPr>
        <w:jc w:val="both"/>
      </w:pPr>
      <w:r>
        <w:t>The complete 370-test native Windows suite provides automated regression evidence for the evaluated source state. Formal manual task acceptance and UAT remain incomplete, including authorised real-image screenshots, representative display configurations and real-model workflow observations. Assistive-technology testing and coverage measurement have not been completed. These activities address usability and deployment conditions beyond the controlled software cases.</w:t>
      </w:r>
    </w:p>
    <w:p>
      <w:pPr>
        <w:jc w:val="both"/>
      </w:pPr>
      <w:r>
        <w:t>Runtime and deployment require further measurement. The documented Windows execution is CPU-based; its installed RTX 4060 was not used. Repeated cold/warm stage timings, memory measurements, PyInstaller build records, clean-machine acceptance and offline dependency checks are unavailable, so the current delivery level is source execution.</w:t>
      </w:r>
    </w:p>
    <w:p>
      <w:pPr>
        <w:jc w:val="both"/>
      </w:pPr>
      <w:r>
        <w:t>Model compatibility and provenance are constrained. Structural checks cannot guarantee semantic labels, calibrated confidence or safety of arbitrary serialised modules. Records reference mutable paths and do not provide immutable per-run identities, automatic backups, multi-user access control or an atomic transaction over external artifacts. These limits restrict the system to trusted-model educational and exploratory research use.</w:t>
      </w:r>
    </w:p>
    <w:p>
      <w:bookmarkStart w:id="124" w:name="head_92"/>
      <w:pPr>
        <w:pStyle w:val="Heading3"/>
      </w:pPr>
      <w:r>
        <w:t>4.5.4 Implications for Future Development</w:t>
      </w:r>
      <w:bookmarkEnd w:id="124"/>
    </w:p>
    <w:p>
      <w:pPr>
        <w:jc w:val="both"/>
      </w:pPr>
      <w:r>
        <w:t>The immediate priorities are to complete formal real-image Windows acceptance, collect UAT responses and retain the passing regression suite as the baseline for further changes. The default application patch evaluation is complete; further model work should examine patient-grouped internal validation, different source dimensions and physical scale. Segmentation evaluation requires authorised aligned masks.</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ZY-Path implements model-aware inference, spatial inspection and record continuity. The Windows default-Pillow Single image core reproduces 90.68% accuracy and 88.59% macro-F1 on 7,180 labelled patches. The final native Windows full suite completed with 370 passed, 0 failed, 0 errors and 0 skipped. UAT and the model, performance and deployment limitations remain as specified in Section 4.5.3.</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separate segmentation semantics, linked source/result inspection, task-specific model defaults and cooperative cancellation. In particular, tiled analysis retains actual crop coordinates and areas, exposes its sampling settings and labels coverage as an estimate. History and rerun preserve the recorded task/model/mode instead of silently applying current preferences. These details connect interface behaviour to the meaning of the numerical result.</w:t>
      </w:r>
    </w:p>
    <w:p>
      <w:pPr>
        <w:jc w:val="both"/>
      </w:pPr>
      <w:r>
        <w:t>The Windows application-default Pillow evaluation produced 6,511 correct predictions from 7,180 native-sized test patches, or 90.68% accuracy and 88.59% macro-F1. It matches the original OpenCV/Albumentations evaluation on every predicted label, while probabilities show small numerical differences. Separately, all 370 native Windows software tests passed without errors or skips, supporting the implemented loading, inspection, persistence, rerun, cancellation and export contracts. Formal manual acceptance and predictive generalisation retain the limits in Section 4.5.3.</w:t>
      </w:r>
    </w:p>
    <w:p>
      <w:pPr>
        <w:jc w:val="both"/>
      </w:pPr>
      <w:r>
        <w:t>The research questions are answered at different levels. A model-aware local GUI workflow is implemented, and recorded restoration/rerun logic supports continuity under stable files and dependencies. Classification has a documented test result; perceived usability, interpretation and efficiency remain questions for the planned UAT. The contribution is an integrated research/education workflow whose acceptance and deployment boundaries are specified in Section 4.5.3.</w:t>
      </w:r>
    </w:p>
    <w:p>
      <w:bookmarkStart w:id="128" w:name="head_96"/>
      <w:pPr>
        <w:pStyle w:val="Heading2"/>
      </w:pPr>
      <w:r>
        <w:t>5.2 Future Work and Recommendations</w:t>
      </w:r>
      <w:bookmarkEnd w:id="128"/>
    </w:p>
    <w:p>
      <w:pPr>
        <w:jc w:val="both"/>
      </w:pPr>
      <w:r>
        <w:t>Further evaluation should examine patient- or slide-grouped internal validation, additional external cohorts, source-scale sensitivity, resize behaviour beyond native-sized patches and segmentation against authorised masks. Formal real-image Windows acceptance should complement the completed automated suite, which provides the regression baseline for subsequent development.</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Add file checksums, dependency manifests and versioned metadata to saved records; define artifact transaction/recovery behaviour and backups; package the application with all permitted resources; and test it on a Windows machine without the development environment. Security and model-licensing review should accompany distribution, especially where serialized model objects remain supported.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 local classification workflow connecting supported PyTorch inference to a graphical interface and persistent analysis records. A separately integrated segmentation pathway broadens inspection options, with its evidence and evaluation limits explicitly distinguished from the trained classifier.</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unverified physical-scale equivalence of uploaded images are exposed rather than hidden behind a visually plausible output.</w:t>
      </w:r>
    </w:p>
    <w:p>
      <w:pPr>
        <w:jc w:val="both"/>
      </w:pPr>
      <w:r>
        <w:t>The third contribution is a tested approach to inspection and state continuity: shared coordinate transforms, linked views, vector tile boundaries, responsive layouts, recorded rerun settings and safe cancellation preserve meaning across user actions. The regression cases document defects that purely static or offscreen screenshots had not been sufficient to assess.</w:t>
      </w:r>
    </w:p>
    <w:p>
      <w:pPr>
        <w:jc w:val="both"/>
      </w:pPr>
      <w:r>
        <w:t>The fourth contribution is an evaluation package linking requirements, named software tests, the classification training/test outputs and platform-specific execution records. It includes class-wise metrics, a confusion matrix, the completed native Windows suite and prepared UAT instruments. The work contributes an engineering integration and its documented evaluation rather than a new neural architecture.</w:t>
      </w:r>
    </w:p>
    <w:p>
      <w:bookmarkStart w:id="130" w:name="head_98"/>
      <w:pPr>
        <w:pStyle w:val="Heading2"/>
      </w:pPr>
      <w:r>
        <w:t>5.4 Summary</w:t>
      </w:r>
      <w:bookmarkEnd w:id="130"/>
    </w:p>
    <w:p>
      <w:pPr>
        <w:jc w:val="both"/>
      </w:pPr>
      <w:r>
        <w:t>ZY-Path implements the central CP1 workflow and extends it with explicit spatial analysis and stronger state management. The measured classifier result and the completed 370-test native Windows suite complement source-startup observations. UAT, formal manual acceptance, segmentation evaluation and verified packaging are the next steps toward stronger usability, generalisation and deployment claims.</w:t>
      </w:r>
    </w:p>
    <w:p>
      <w:bookmarkStart w:id="131" w:name="head_99"/>
      <w:pPr>
        <w:pStyle w:val="Heading1"/>
      </w:pPr>
      <w:r>
        <w:t>References</w:t>
      </w:r>
      <w:bookmarkEnd w:id="131"/>
    </w:p>
    <w:p>
      <w:pPr>
        <w:pStyle w:val="Heading2"/>
      </w:pPr>
      <w:bookmarkStart w:id="168" w:name="ref_group_1"/>
      <w:r>
        <w:t>I. Peer-Reviewed Journal Articles</w:t>
      </w:r>
      <w:bookmarkEnd w:id="168"/>
    </w:p>
    <w:p>
      <w:pPr>
        <w:pStyle w:val="Reference"/>
        <w:jc w:val="left"/>
      </w:pPr>
      <w:r>
        <w:t xml:space="preserve">[1] Bangor, A., Kortum, P., &amp; Miller, J. (2009). Determining what individual SUS scores mean: Adding an adjective rating scale. </w:t>
      </w:r>
      <w:r>
        <w:rPr>
          <w:rStyle w:val="Emphasis"/>
        </w:rPr>
        <w:t>Journal of Usability Studies</w:t>
      </w:r>
      <w:r>
        <w:t xml:space="preserve">, </w:t>
      </w:r>
      <w:r>
        <w:rPr>
          <w:rStyle w:val="Emphasis"/>
        </w:rPr>
        <w:t>4</w:t>
      </w:r>
      <w:r>
        <w:t>(3), 114–123.</w:t>
      </w:r>
    </w:p>
    <w:p>
      <w:pPr>
        <w:pStyle w:val="Reference"/>
        <w:jc w:val="left"/>
      </w:pPr>
      <w:r>
        <w:t xml:space="preserve">[2] Bankhead, P., et al. (2017). QuPath: Open source software for digital pathology image analysis. </w:t>
      </w:r>
      <w:r>
        <w:rPr>
          <w:rStyle w:val="Emphasis"/>
        </w:rPr>
        <w:t>Scientific Reports</w:t>
      </w:r>
      <w:r>
        <w:t xml:space="preserve">, </w:t>
      </w:r>
      <w:r>
        <w:rPr>
          <w:rStyle w:val="Emphasis"/>
        </w:rPr>
        <w:t>7</w:t>
      </w:r>
      <w:r>
        <w:t>, article 16878. https://doi.org/10.1038/s41598-017-17204-5</w:t>
      </w:r>
    </w:p>
    <w:p>
      <w:pPr>
        <w:pStyle w:val="Reference"/>
        <w:jc w:val="left"/>
      </w:pPr>
      <w:r>
        <w:t xml:space="preserve">[3] Dolezal, J. M., Kochanny, S., Dyer, E., Ramesh, S., Srisuwananukorn, A., Sacco, M., Howard, F. M., Li, A., Mohan, P., &amp; Pearson, A. T. (2024). Slideflow: Deep learning for digital histopathology with real-time whole-slide visualization. </w:t>
      </w:r>
      <w:r>
        <w:rPr>
          <w:rStyle w:val="Emphasis"/>
        </w:rPr>
        <w:t>BMC Bioinformatics</w:t>
      </w:r>
      <w:r>
        <w:t xml:space="preserve">, </w:t>
      </w:r>
      <w:r>
        <w:rPr>
          <w:rStyle w:val="Emphasis"/>
        </w:rPr>
        <w:t>25</w:t>
      </w:r>
      <w:r>
        <w:t>, article 134. https://doi.org/10.1186/s12859-024-05758-x</w:t>
      </w:r>
    </w:p>
    <w:p>
      <w:pPr>
        <w:pStyle w:val="Reference"/>
        <w:jc w:val="left"/>
      </w:pPr>
      <w:r>
        <w:t xml:space="preserve">[4] Kaczmarzyk, J. R., O’Callaghan, A., Inglis, F., Gat, S., Kurc, T., Gupta, R., Bremer, E., Bankhead, P., &amp; Saltz, J. H. (2024). Open and reusable deep learning for pathology with WSInfer and QuPath. </w:t>
      </w:r>
      <w:r>
        <w:rPr>
          <w:rStyle w:val="Emphasis"/>
        </w:rPr>
        <w:t>npj Precision Oncology</w:t>
      </w:r>
      <w:r>
        <w:t xml:space="preserve">, </w:t>
      </w:r>
      <w:r>
        <w:rPr>
          <w:rStyle w:val="Emphasis"/>
        </w:rPr>
        <w:t>8</w:t>
      </w:r>
      <w:r>
        <w:t>, article 9. https://doi.org/10.1038/s41698-024-00499-9</w:t>
      </w:r>
    </w:p>
    <w:p>
      <w:pPr>
        <w:pStyle w:val="Reference"/>
        <w:jc w:val="left"/>
      </w:pPr>
      <w:r>
        <w:t xml:space="preserve">[5] Kather, J. N., et al. (2019). Predicting survival from colorectal cancer histology slides using deep learning: A retrospective multicenter study. </w:t>
      </w:r>
      <w:r>
        <w:rPr>
          <w:rStyle w:val="Emphasis"/>
        </w:rPr>
        <w:t>PLOS Medicine</w:t>
      </w:r>
      <w:r>
        <w:t xml:space="preserve">, </w:t>
      </w:r>
      <w:r>
        <w:rPr>
          <w:rStyle w:val="Emphasis"/>
        </w:rPr>
        <w:t>16</w:t>
      </w:r>
      <w:r>
        <w:t>(1), e1002730. https://doi.org/10.1371/journal.pmed.1002730</w:t>
      </w:r>
    </w:p>
    <w:p>
      <w:pPr>
        <w:pStyle w:val="Reference"/>
        <w:jc w:val="left"/>
      </w:pPr>
      <w:r>
        <w:t xml:space="preserve">[6] Litjens, G., et al. (2017). A survey on deep learning in medical image analysis. </w:t>
      </w:r>
      <w:r>
        <w:rPr>
          <w:rStyle w:val="Emphasis"/>
        </w:rPr>
        <w:t>Medical Image Analysis</w:t>
      </w:r>
      <w:r>
        <w:t xml:space="preserve">, </w:t>
      </w:r>
      <w:r>
        <w:rPr>
          <w:rStyle w:val="Emphasis"/>
        </w:rPr>
        <w:t>42</w:t>
      </w:r>
      <w:r>
        <w:t>, 60–88. https://doi.org/10.1016/j.media.2017.07.005</w:t>
      </w:r>
    </w:p>
    <w:p>
      <w:pPr>
        <w:pStyle w:val="Reference"/>
        <w:jc w:val="left"/>
      </w:pPr>
      <w:r>
        <w:t xml:space="preserve">[7] Marée, R., et al. (2016). Collaborative analysis of multi-gigapixel imaging data using Cytomine. </w:t>
      </w:r>
      <w:r>
        <w:rPr>
          <w:rStyle w:val="Emphasis"/>
        </w:rPr>
        <w:t>Bioinformatics</w:t>
      </w:r>
      <w:r>
        <w:t xml:space="preserve">, </w:t>
      </w:r>
      <w:r>
        <w:rPr>
          <w:rStyle w:val="Emphasis"/>
        </w:rPr>
        <w:t>32</w:t>
      </w:r>
      <w:r>
        <w:t>(9), 1395–1401. https://doi.org/10.1093/bioinformatics/btw013</w:t>
      </w:r>
    </w:p>
    <w:p>
      <w:pPr>
        <w:pStyle w:val="Reference"/>
        <w:jc w:val="left"/>
      </w:pPr>
      <w:r>
        <w:t xml:space="preserve">[8] Yen, P.-Y., &amp; Bakken, S. (2012). Review of health information technology usability study methodologies. </w:t>
      </w:r>
      <w:r>
        <w:rPr>
          <w:rStyle w:val="Emphasis"/>
        </w:rPr>
        <w:t>Journal of the American Medical Informatics Association</w:t>
      </w:r>
      <w:r>
        <w:t xml:space="preserve">, </w:t>
      </w:r>
      <w:r>
        <w:rPr>
          <w:rStyle w:val="Emphasis"/>
        </w:rPr>
        <w:t>19</w:t>
      </w:r>
      <w:r>
        <w:t>(3), 413–422. https://doi.org/10.1136/amiajnl-2010-000020</w:t>
      </w:r>
    </w:p>
    <w:p>
      <w:pPr>
        <w:pStyle w:val="Heading2"/>
      </w:pPr>
      <w:bookmarkStart w:id="169" w:name="ref_group_2"/>
      <w:r>
        <w:t>II. Peer-Reviewed Conference Papers</w:t>
      </w:r>
      <w:bookmarkEnd w:id="169"/>
    </w:p>
    <w:p>
      <w:pPr>
        <w:pStyle w:val="Reference"/>
        <w:jc w:val="left"/>
      </w:pPr>
      <w:r>
        <w:t xml:space="preserve">[9] Guo, C., Pleiss, G., Sun, Y., &amp; Weinberger, K. Q. (2017). On calibration of modern neural networks. In </w:t>
      </w:r>
      <w:r>
        <w:rPr>
          <w:rStyle w:val="Emphasis"/>
        </w:rPr>
        <w:t>Proceedings of the 34th International Conference on Machine Learning, Proceedings of Machine Learning Research, 70</w:t>
      </w:r>
      <w:r>
        <w:t xml:space="preserve"> (pp. 1321–1330). https://proceedings.mlr.press/v70/guo17a.html</w:t>
      </w:r>
    </w:p>
    <w:p>
      <w:pPr>
        <w:pStyle w:val="Reference"/>
        <w:jc w:val="left"/>
      </w:pPr>
      <w:r>
        <w:t xml:space="preserve">[10] He, K., Zhang, X., Ren, S., &amp; Sun, J. (2016). Deep residual learning for image recognition. In </w:t>
      </w:r>
      <w:r>
        <w:rPr>
          <w:rStyle w:val="Emphasis"/>
        </w:rPr>
        <w:t>Proceedings of the IEEE Conference on Computer Vision and Pattern Recognition</w:t>
      </w:r>
      <w:r>
        <w:t xml:space="preserve"> (pp. 770–778). https://doi.org/10.1109/CVPR.2016.90</w:t>
      </w:r>
    </w:p>
    <w:p>
      <w:pPr>
        <w:pStyle w:val="Reference"/>
        <w:jc w:val="left"/>
      </w:pPr>
      <w:r>
        <w:t xml:space="preserve">[11] Huang, G., Liu, Z., van der Maaten, L., &amp; Weinberger, K. Q. (2017). Densely connected convolutional networks. In </w:t>
      </w:r>
      <w:r>
        <w:rPr>
          <w:rStyle w:val="Emphasis"/>
        </w:rPr>
        <w:t>Proceedings of the IEEE Conference on Computer Vision and Pattern Recognition</w:t>
      </w:r>
      <w:r>
        <w:t xml:space="preserve"> (pp. 2261–2269). https://arxiv.org/abs/1608.06993</w:t>
      </w:r>
    </w:p>
    <w:p>
      <w:pPr>
        <w:pStyle w:val="Reference"/>
        <w:jc w:val="left"/>
      </w:pPr>
      <w:r>
        <w:t xml:space="preserve">[12] Liu, Z., Lin, Y., Cao, Y., Hu, H., Wei, Y., Zhang, Z., Lin, S., &amp; Guo, B. (2021). Swin Transformer: Hierarchical vision transformer using shifted windows. In </w:t>
      </w:r>
      <w:r>
        <w:rPr>
          <w:rStyle w:val="Emphasis"/>
        </w:rPr>
        <w:t>Proceedings of the IEEE/CVF International Conference on Computer Vision</w:t>
      </w:r>
      <w:r>
        <w:t xml:space="preserve"> (pp. 10012–10022). https://arxiv.org/abs/2103.14030</w:t>
      </w:r>
    </w:p>
    <w:p>
      <w:pPr>
        <w:pStyle w:val="Reference"/>
        <w:jc w:val="left"/>
      </w:pPr>
      <w:r>
        <w:t xml:space="preserve">[13] Nielsen, J. (1994). Enhancing the explanatory power of usability heuristics. In </w:t>
      </w:r>
      <w:r>
        <w:rPr>
          <w:rStyle w:val="Emphasis"/>
        </w:rPr>
        <w:t>Proceedings of the SIGCHI Conference on Human Factors in Computing Systems</w:t>
      </w:r>
      <w:r>
        <w:t xml:space="preserve"> (pp. 152–158). https://doi.org/10.1145/191666.191729</w:t>
      </w:r>
    </w:p>
    <w:p>
      <w:pPr>
        <w:pStyle w:val="Reference"/>
        <w:jc w:val="left"/>
      </w:pPr>
      <w:r>
        <w:t xml:space="preserve">[14] Paszke, A., et al. (2019). PyTorch: An imperative style, high-performance deep learning library. In </w:t>
      </w:r>
      <w:r>
        <w:rPr>
          <w:rStyle w:val="Emphasis"/>
        </w:rPr>
        <w:t>Advances in Neural Information Processing Systems, 32</w:t>
      </w:r>
      <w:r>
        <w:t>. https://proceedings.neurips.cc/paper/2019/hash/bdbca288fee7f92f2bfa9f7012727740-Abstract.html</w:t>
      </w:r>
    </w:p>
    <w:p>
      <w:pPr>
        <w:pStyle w:val="Reference"/>
        <w:jc w:val="left"/>
      </w:pPr>
      <w:r>
        <w:t xml:space="preserve">[15] Ronneberger, O., Fischer, P., &amp; Brox, T. (2015). U-Net: Convolutional networks for biomedical image segmentation. In </w:t>
      </w:r>
      <w:r>
        <w:rPr>
          <w:rStyle w:val="Emphasis"/>
        </w:rPr>
        <w:t>Medical Image Computing and Computer-Assisted Intervention – MICCAI 2015</w:t>
      </w:r>
      <w:r>
        <w:t xml:space="preserve"> (pp. 234–241). https://doi.org/10.1007/978-3-319-24574-4_28</w:t>
      </w:r>
    </w:p>
    <w:p>
      <w:pPr>
        <w:pStyle w:val="Reference"/>
        <w:jc w:val="left"/>
      </w:pPr>
      <w:r>
        <w:t xml:space="preserve">[16] Tan, M., &amp; Le, Q. V. (2019). EfficientNet: Rethinking model scaling for convolutional neural networks. In </w:t>
      </w:r>
      <w:r>
        <w:rPr>
          <w:rStyle w:val="Emphasis"/>
        </w:rPr>
        <w:t>Proceedings of the 36th International Conference on Machine Learning, Proceedings of Machine Learning Research, 97</w:t>
      </w:r>
      <w:r>
        <w:t xml:space="preserve"> (pp. 6105–6114). https://proceedings.mlr.press/v97/tan19a.html</w:t>
      </w:r>
    </w:p>
    <w:p>
      <w:pPr>
        <w:pStyle w:val="Reference"/>
        <w:jc w:val="left"/>
      </w:pPr>
      <w:r>
        <w:t xml:space="preserve">[17] Xiao, T., Liu, Y., Zhou, B., Jiang, Y., &amp; Sun, J. (2018). Unified perceptual parsing for scene understanding. In </w:t>
      </w:r>
      <w:r>
        <w:rPr>
          <w:rStyle w:val="Emphasis"/>
        </w:rPr>
        <w:t>Proceedings of the European Conference on Computer Vision</w:t>
      </w:r>
      <w:r>
        <w:t xml:space="preserve"> (pp. 418–434). https://arxiv.org/abs/1807.10221</w:t>
      </w:r>
    </w:p>
    <w:p>
      <w:pPr>
        <w:pStyle w:val="Heading2"/>
      </w:pPr>
      <w:bookmarkStart w:id="170" w:name="ref_group_3"/>
      <w:r>
        <w:t>III. Books and Book Chapters</w:t>
      </w:r>
      <w:bookmarkEnd w:id="170"/>
    </w:p>
    <w:p>
      <w:pPr>
        <w:pStyle w:val="Reference"/>
        <w:jc w:val="left"/>
      </w:pPr>
      <w:r>
        <w:t xml:space="preserve">[18] Brooke, J. (1996). SUS: A “quick and dirty” usability scale. In P. W. Jordan, B. Thomas, B. A. Weerdmeester, &amp; I. L. McClelland (Eds.), </w:t>
      </w:r>
      <w:r>
        <w:rPr>
          <w:rStyle w:val="Emphasis"/>
        </w:rPr>
        <w:t>Usability Evaluation in Industry</w:t>
      </w:r>
      <w:r>
        <w:t xml:space="preserve"> (pp. 189–194). Taylor &amp; Francis.</w:t>
      </w:r>
    </w:p>
    <w:p>
      <w:pPr>
        <w:pStyle w:val="Reference"/>
      </w:pPr>
      <w:r>
        <w:t xml:space="preserve">[19] Gamma, E., Helm, R., Johnson, R., &amp; Vlissides, J. (1994). </w:t>
      </w:r>
      <w:r>
        <w:rPr>
          <w:rStyle w:val="Emphasis"/>
        </w:rPr>
        <w:t>Design Patterns: Elements of Reusable Object-Oriented Software</w:t>
      </w:r>
      <w:r>
        <w:t>. Reading, MA: Addison-Wesley.</w:t>
      </w:r>
    </w:p>
    <w:p>
      <w:pPr>
        <w:pStyle w:val="Reference"/>
      </w:pPr>
      <w:r>
        <w:t xml:space="preserve">[20] Kreibich, J. A. (2010). </w:t>
      </w:r>
      <w:r>
        <w:rPr>
          <w:rStyle w:val="Emphasis"/>
        </w:rPr>
        <w:t>Using SQLite</w:t>
      </w:r>
      <w:r>
        <w:t>. Sebastopol, CA: O’Reilly Media.</w:t>
      </w:r>
    </w:p>
    <w:p>
      <w:pPr>
        <w:pStyle w:val="Heading2"/>
      </w:pPr>
      <w:bookmarkStart w:id="171" w:name="ref_group_4"/>
      <w:r>
        <w:t>IV. Magazine and Technical Articles</w:t>
      </w:r>
      <w:bookmarkEnd w:id="171"/>
    </w:p>
    <w:p>
      <w:pPr>
        <w:pStyle w:val="Reference"/>
        <w:jc w:val="left"/>
      </w:pPr>
      <w:r>
        <w:t xml:space="preserve">[21] Hunter, J. D. (2007). Matplotlib: A 2D graphics environment. </w:t>
      </w:r>
      <w:r>
        <w:rPr>
          <w:rStyle w:val="Emphasis"/>
        </w:rPr>
        <w:t>Computing in Science &amp; Engineering</w:t>
      </w:r>
      <w:r>
        <w:t xml:space="preserve">, </w:t>
      </w:r>
      <w:r>
        <w:rPr>
          <w:rStyle w:val="Emphasis"/>
        </w:rPr>
        <w:t>9</w:t>
      </w:r>
      <w:r>
        <w:t>(3), 90–95. https://doi.org/10.1109/MCSE.2007.55</w:t>
      </w:r>
    </w:p>
    <w:p>
      <w:pPr>
        <w:pStyle w:val="Heading2"/>
      </w:pPr>
      <w:bookmarkStart w:id="172" w:name="ref_group_5"/>
      <w:r>
        <w:t>V. Standards, Documentation, and Online Resources</w:t>
      </w:r>
      <w:bookmarkEnd w:id="172"/>
    </w:p>
    <w:p>
      <w:pPr>
        <w:pStyle w:val="Reference"/>
        <w:jc w:val="left"/>
      </w:pPr>
      <w:r>
        <w:t xml:space="preserve">[22] Aiforia. (n.d.). </w:t>
      </w:r>
      <w:r>
        <w:rPr>
          <w:rStyle w:val="Emphasis"/>
        </w:rPr>
        <w:t>Aiforia Create</w:t>
      </w:r>
      <w:r>
        <w:t>. Product information. https://www.aiforia.com/aiforia-create</w:t>
      </w:r>
    </w:p>
    <w:p>
      <w:pPr>
        <w:pStyle w:val="Reference"/>
      </w:pPr>
      <w:r>
        <w:t xml:space="preserve">[23] fpdf2 Contributors. (n.d.). </w:t>
      </w:r>
      <w:r>
        <w:rPr>
          <w:rStyle w:val="Emphasis"/>
        </w:rPr>
        <w:t>fpdf2: Simple PDF generation for Python</w:t>
      </w:r>
      <w:r>
        <w:t>. Project documentation. https://github.com/py-pdf/fpdf2</w:t>
      </w:r>
    </w:p>
    <w:p>
      <w:pPr>
        <w:pStyle w:val="Reference"/>
      </w:pPr>
      <w:r>
        <w:t xml:space="preserve">[24] Kather, J. N., Halama, N., &amp; Marx, A. (2018). </w:t>
      </w:r>
      <w:r>
        <w:rPr>
          <w:rStyle w:val="Emphasis"/>
        </w:rPr>
        <w:t>100,000 histological images of human colorectal cancer and healthy tissue</w:t>
      </w:r>
      <w:r>
        <w:t xml:space="preserve"> (v0.1) [Data set]. Zenodo. https://doi.org/10.5281/zenodo.1214456</w:t>
      </w:r>
    </w:p>
    <w:p>
      <w:pPr>
        <w:pStyle w:val="Reference"/>
        <w:jc w:val="left"/>
      </w:pPr>
      <w:r>
        <w:t xml:space="preserve">[25] NumPy Developers. (n.d.). </w:t>
      </w:r>
      <w:r>
        <w:rPr>
          <w:rStyle w:val="Emphasis"/>
        </w:rPr>
        <w:t>NumPy user guide</w:t>
      </w:r>
      <w:r>
        <w:t>. https://numpy.org/doc/stable/user/</w:t>
      </w:r>
    </w:p>
    <w:p>
      <w:pPr>
        <w:pStyle w:val="Reference"/>
        <w:jc w:val="left"/>
      </w:pPr>
      <w:r>
        <w:t xml:space="preserve">[26] Pillow Contributors. (n.d.). </w:t>
      </w:r>
      <w:r>
        <w:rPr>
          <w:rStyle w:val="Emphasis"/>
        </w:rPr>
        <w:t>Pillow documentation: Image processing and resampling</w:t>
      </w:r>
      <w:r>
        <w:t>. https://pillow.readthedocs.io/en/stable/</w:t>
      </w:r>
    </w:p>
    <w:p>
      <w:pPr>
        <w:pStyle w:val="Reference"/>
        <w:jc w:val="left"/>
      </w:pPr>
      <w:r>
        <w:t xml:space="preserve">[27] PyInstaller Development Team. (n.d.). </w:t>
      </w:r>
      <w:r>
        <w:rPr>
          <w:rStyle w:val="Emphasis"/>
        </w:rPr>
        <w:t>PyInstaller documentation</w:t>
      </w:r>
      <w:r>
        <w:t>. https://pyinstaller.org/en/stable/</w:t>
      </w:r>
    </w:p>
    <w:p>
      <w:pPr>
        <w:pStyle w:val="Reference"/>
        <w:jc w:val="left"/>
      </w:pPr>
      <w:r>
        <w:t xml:space="preserve">[28] PyTorch Contributors. (n.d.). </w:t>
      </w:r>
      <w:r>
        <w:rPr>
          <w:rStyle w:val="Emphasis"/>
        </w:rPr>
        <w:t>torch.load; inference_mode; serialization semantics</w:t>
      </w:r>
      <w:r>
        <w:t>. PyTorch documentation. https://pytorch.org/docs/stable/</w:t>
      </w:r>
    </w:p>
    <w:p>
      <w:pPr>
        <w:pStyle w:val="Reference"/>
        <w:jc w:val="left"/>
      </w:pPr>
      <w:r>
        <w:t xml:space="preserve">[29] Riverbank Computing. (n.d.). </w:t>
      </w:r>
      <w:r>
        <w:rPr>
          <w:rStyle w:val="Emphasis"/>
        </w:rPr>
        <w:t>PyQt5 reference guide</w:t>
      </w:r>
      <w:r>
        <w:t>. https://www.riverbankcomputing.com/static/Docs/PyQt5/</w:t>
      </w:r>
    </w:p>
    <w:p>
      <w:pPr>
        <w:pStyle w:val="Reference"/>
        <w:jc w:val="left"/>
      </w:pPr>
      <w:r>
        <w:t xml:space="preserve">[30] SQLite. (n.d.). </w:t>
      </w:r>
      <w:r>
        <w:rPr>
          <w:rStyle w:val="Emphasis"/>
        </w:rPr>
        <w:t>Zero-configuration</w:t>
      </w:r>
      <w:r>
        <w:t>. SQLite documentation. https://sqlite.org/zeroconf.html</w:t>
      </w:r>
    </w:p>
    <w:p>
      <w:pPr>
        <w:pStyle w:val="Reference"/>
        <w:jc w:val="left"/>
      </w:pPr>
      <w:r>
        <w:t xml:space="preserve">[31] The Qt Company. (n.d.). </w:t>
      </w:r>
      <w:r>
        <w:rPr>
          <w:rStyle w:val="Emphasis"/>
        </w:rPr>
        <w:t>Qt 5 documentation: QThread, QScreen, QGraphicsView and high-DPI support</w:t>
      </w:r>
      <w:r>
        <w:t>. https://doc.qt.io/qt-5/</w:t>
      </w:r>
    </w:p>
    <w:p>
      <w:pPr>
        <w:pStyle w:val="Reference"/>
        <w:jc w:val="left"/>
      </w:pPr>
      <w:r>
        <w:t xml:space="preserve">[32] W3C. (2023). </w:t>
      </w:r>
      <w:r>
        <w:rPr>
          <w:rStyle w:val="Emphasis"/>
        </w:rPr>
        <w:t>Web Content Accessibility Guidelines (WCAG) 2.2</w:t>
      </w:r>
      <w:r>
        <w:t>. W3C Recommendation, 5 October 2023. https://www.w3.org/TR/WCAG22/</w:t>
      </w:r>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Table A.1 retains the CP1 planning baseline, and Table A.2 retains the original CP2 plan. References there to ResNet-50, ImageNet preprocessing, a &gt;94% target, coverage targets and executable packaging describe the proposal, not the final implementation or achieved results. Table A.3 gives the updated status; Chapters 3 and 4 report the implemented DenseNet/raw255 contract and measured outcomes.</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CP1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Phase Theme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Deliverables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Initiation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 project title; articulate the no-code core concept; complete and submit the Student Assessment Form (SAF) for supervisor approval.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Approved SAF with registered title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Problem Identification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Identify three core gaps in existing platforms; draft the initial system flowchart; analyse QuPath, Slideflow and WSInfer; tabulate the feature comparison.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problem statement and initial flowchart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 Research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 and summaries ≥10 peer-reviewed articles covering digital pathology, deep learning, no-code AI and clinical usability; draft Chapter 1.1–1.2.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Annotated bibliography (≥10 articles)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Objective Definition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Define three research questions and seven specific objectives; delineate in-scope and out-of-scope items; articulate significance and SDG 3/4 alignment.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Literature Extension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Add five further articles (total ≥15); focus on PyTorch deployment, SQLite management and HCI heuristics; refine flowcharts into Figures 3.1 and 3.2; draft the three-layer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Expanded bibliography and detailed design diagrams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Semester Break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Cognitive digestion of collected literature; informal reading; mental preparation for the intensive writing phase.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Chapter 2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Synthesize all reviewed literature into coherent Chapter 2 sections; finalize and justify the development toolset (Python 3.10, PyQt5, PyTorch, SQLite, Matplotlib, fpdf2 and PyInstaller).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2 and technology justification table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Methodology Documentation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Document Chapter 3, including architecture, class diagram, model constraints, preprocessing, database schema and use cases UC1–UC4; formalize testing and evaluation methodology; prepare the initial Gantt chart.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3 and draft CP1 work plan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CP2 Planning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a detailed CP2 work plan defining coding sprints, testing phases, evaluation schedules and thesis milestones; draft the abstract (≤300 words).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CP2 work plan and abstract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 Finalization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Refine the CP2 plan based on Chapter 3 complexity; add explicit testing and debugging buffers; finalize the abstract incorporating supervisor feedback.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Finalized CP2 work plan and finalized abstract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Merge CP1 and CP2 plans into a unified Gantt chart; cross-check deliverables against research questions; standardize Harvard citations; verify figure/table numbering and heading hierarchy.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formatted draft document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Compile Chapters 1–4, abstract and all appendices into a single PDF; submit via eLearn before the deadline; corresponds to Go/No-Go Gate A.</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 (Gate A passed)</w:t>
            </w:r>
          </w:p>
        </w:tc>
      </w:tr>
    </w:tbl>
    <w:p>
      <w:pPr/>
      <w:r>
        <w:t>Source: CP1 proposal planning baseline, retained as proposal-stage planned activities.</w:t>
      </w:r>
    </w:p>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CP2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Development Layer</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project skeleton with passing unit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Presentation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navigable GUI shell with all panels interactive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Layer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end-to-end inference pipeline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6–7</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Persistent history management and professional report generation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 &amp; Refinement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accessible application ready for formal testing (Gate B)</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&amp; Validation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Comprehensive test report with validated accuracy benchmarks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Usability Evaluation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SUS scores and qualitative interview transcripts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Results &amp; Packaging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Validated evaluation report and deployable executable (Gate C)</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Thesis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thesis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Proofread and format the complete thesis; compile the final PDF; prepare the executable and supplementary materials; submit all deliverables via eLearn.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 concluding the project lifecycle</w:t>
            </w:r>
          </w:p>
        </w:tc>
      </w:tr>
    </w:tbl>
    <w:p>
      <w:pPr/>
      <w:r>
        <w:t>Source: CP1 proposal’s CP2 plan; proposed model, performance and deployment targets are not achieved-result statements.</w:t>
      </w:r>
    </w:p>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Available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Current 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interface/inference/persistence integration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modules and completed 370-test native Windows 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under supported contracts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Linked original/result views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history including revision 206b51f and current tests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final native capture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 and independent model defaults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12633fb and lifecycle/default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with cooperative-stop limits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Settings/history semantics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Revisions 643099b and 562ce39</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regression-tested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 guide and responsive comparison refinement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e058354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tested with fixtures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result toggles and English calendar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7bd3552</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Committed source matching the completed Windows regression; version identified in Appendix C.</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training and evaluation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30-epoch record, epoch-26 checkpoint, 7,180 predictions and matching metrics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patch evaluation completed; 90.68% accuracy / 88.59% macro-F1; generalisation limits retained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Formal UAT and Windows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automated regressions complete; source startup recorded; no UAT responses or completed manual task sheets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Automated Windows verification complete; formal manual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Clean-machine packaged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verified executable/specification supplied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full-suite regression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log/XML/exit code; 370 distinct passing cases; source identity recorded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on 19 Oct 2026; 0 failures, errors or skips</w:t>
            </w:r>
          </w:p>
        </w:tc>
      </w:tr>
    </w:tbl>
    <w:p>
      <w:pPr/>
      <w:r>
        <w:t>Source: project revision history, classification experiment outputs and Windows execution record.</w:t>
      </w:r>
    </w:p>
    <w:p>
      <w:pPr>
        <w:spacing w:after="40"/>
      </w:pPr>
    </w:p>
    <w:p>
      <w:bookmarkStart w:id="139" w:name="head_104"/>
      <w:pPr>
        <w:pStyle w:val="Heading3"/>
      </w:pPr>
      <w:r>
        <w:t>A.3 Completion sequence</w:t>
      </w:r>
      <w:bookmarkEnd w:id="139"/>
    </w:p>
    <w:p>
      <w:pPr>
        <w:jc w:val="both"/>
      </w:pPr>
      <w:r>
        <w:t>Before submission, complete authorised GUI screenshots, formal manual acceptance, UAT and the remaining cover fields. Retain the completed 370-test Windows result and the default-Pillow patch evaluation with their actual source and dataset scope. Final formatting and clean-machine packaging claims follow their corresponding review and execution evidence.</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pPr/>
      <w:r>
        <w:t>Table B.1 specifies the UAT tasks, participant instructions and observable success criteria to be used during the planned study.</w:t>
      </w:r>
    </w:p>
    <w:p>
      <w:bookmarkStart w:id="144" w:name="cap_Table_B_1"/>
      <w:pPr>
        <w:pStyle w:val="TableCaption"/>
      </w:pPr>
      <w:r>
        <w:t>Table B.1. UAT tasks and success criteria</w:t>
      </w:r>
      <w:bookmarkEnd w:id="144"/>
    </w:p>
    <w:tbl>
      <w:tblPr>
        <w:tblStyle w:val="TableGrid"/>
        <w:tblW w:type="auto" w:w="0"/>
        <w:jc w:val="center"/>
        <w:tblLayout w:type="fixed"/>
        <w:tblLook w:firstColumn="1" w:firstRow="1" w:lastColumn="0" w:lastRow="0" w:noHBand="0" w:noVBand="1" w:val="04A0"/>
      </w:tblPr>
      <w:tblGrid>
        <w:gridCol w:w="680"/>
        <w:gridCol w:w="3855"/>
        <w:gridCol w:w="4490"/>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Task</w:t>
            </w:r>
          </w:p>
        </w:tc>
        <w:tc>
          <w:tcPr>
            <w:tcW w:type="dxa" w:w="385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Participant instruction</w:t>
            </w:r>
          </w:p>
        </w:tc>
        <w:tc>
          <w:tcPr>
            <w:tcW w:type="dxa" w:w="449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Observer success criterion</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T01</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the supplied image and run Single image with the approved model</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image/model/mode and completed output identified without coding</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T02</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 Tiled analysis, set the specified source width/height and run</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explicit mode and source dimensions are used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T03</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Find a tile's class/confidence and explain coverage</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Identifies actual tile detail; states coverage is a crop-class area estimate, not pixel ground truth</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T04</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Compare a selected region with the original and use Fit/zoom</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Same source region remains aligned; participant can return to Fit</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T05</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the supplied segmentation result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Distinguishes segmentation labels and pixel coverage from classification tiles</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T06</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Search/date-filter history and restore the nominated record</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stored record shown without initiating inference</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T07</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Change a current preference, then rerun the stored record</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used; new record distinguished from restored one</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T08</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the nominated completed result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PNG/PDF and actual task/model metadata identified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T09</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 the supplied workload and cancel it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Recognises request/acknowledgement; no partial completed record saved</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T10</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a supplied validated default and restore the built-in default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task's preference changes; other task/history remain unaffected</w:t>
            </w:r>
          </w:p>
        </w:tc>
      </w:tr>
    </w:tbl>
    <w:p>
      <w:pPr/>
      <w:r>
        <w:t>Source: author’s UAT task protocol.</w:t>
      </w:r>
    </w:p>
    <w:p>
      <w:pPr>
        <w:spacing w:after="40"/>
      </w:pPr>
    </w:p>
    <w:p>
      <w:pPr>
        <w:jc w:val="both"/>
      </w:pPr>
      <w:r>
        <w:t>For each attempted task record start/end or elapsed seconds, outcome (independent success, assisted success, unsuccessful, not attempted), assistance count, critical error and a brief observation. Define a stop rule consistently before testing. An intended cancellation is successful when safe acknowledgement and record preservation occur, not when the model stops instantly. If a prepared file is unavailable, record an environment-blocked attempt rather than blaming the participant or silently substituting another task.</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bookmarkStart w:id="145" w:name="head_109"/>
      <w:pPr>
        <w:pStyle w:val="Heading3"/>
      </w:pPr>
      <w:r>
        <w:t>B.4 System Usability Scale questionnaire</w:t>
      </w:r>
      <w:bookmarkEnd w:id="145"/>
    </w:p>
    <w:p>
      <w:pPr>
        <w:jc w:val="both"/>
      </w:pPr>
      <w:r>
        <w:t>After completing the tasks, ask participants to rate the following standard SUS statements from 1 (Strongly disagree) to 5 (Strongly agree). Keep their order and wording consistent; analyse these ten items separately from the project-specific questions (Brooke, 1996).</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Source baseline</w:t>
      </w:r>
      <w:bookmarkEnd w:id="149"/>
    </w:p>
    <w:p>
      <w:pPr>
        <w:jc w:val="both"/>
      </w:pPr>
      <w:r>
        <w:t>The evaluated application source is recorded in commit 7bd3552765af9d318a02bccd3e2469b95155dbe3, tagged cp2-windows-verified-2026-10-19. The commit was created on 20 October 2026 from the source content exercised by the completed Windows tests on 19 October; the repaired files match the recorded Windows source after line-ending normalisation. The original logs retain the pre-commit identifier 1f3e01e7866d1b1f78103d817214f7dbb1cc5a56. Table C.1 lists the evaluation materials, and Table C.2 gives the execution history.</w:t>
      </w:r>
    </w:p>
    <w:p>
      <w:bookmarkStart w:id="150" w:name="cap_Table_C_1"/>
      <w:pPr>
        <w:pStyle w:val="TableCaption"/>
      </w:pPr>
      <w:r>
        <w:t>Table C.1. Principal evidence sources</w:t>
      </w:r>
      <w:bookmarkEnd w:id="150"/>
    </w:p>
    <w:tbl>
      <w:tblPr>
        <w:tblStyle w:val="TableGrid"/>
        <w:tblW w:type="auto" w:w="0"/>
        <w:jc w:val="center"/>
        <w:tblLayout w:type="fixed"/>
        <w:tblLook w:firstColumn="1" w:firstRow="1" w:lastColumn="0" w:lastRow="0" w:noHBand="0" w:noVBand="1" w:val="04A0"/>
      </w:tblPr>
      <w:tblGrid>
        <w:gridCol w:w="907"/>
        <w:gridCol w:w="4082"/>
        <w:gridCol w:w="4037"/>
      </w:tblGrid>
      <w:tr>
        <w:trPr>
          <w:cantSplit/>
          <w:tblHeader/>
        </w:trPr>
        <w:tc>
          <w:tcPr>
            <w:tcW w:type="dxa" w:w="90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408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Source</w:t>
            </w:r>
          </w:p>
        </w:tc>
        <w:tc>
          <w:tcPr>
            <w:tcW w:type="dxa" w:w="40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Supports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core/model_loader.py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size limit, metadata/probe checks, UPerNet reconstruction</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E02</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core/preprocessor.py; supervisor-provided train_crc_dn21.py and experiment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RGB/raw255/input size, selectable resize, reference transforms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core/classification_tiles.py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geometry, edge areas, nine-class palette, counts and aggregate probabilities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E04</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core/large_image_segmentation.py; core/inference_engine.py; supervisor-provided inference notebook</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segmentation defaults, fusion/restoration and worker cancellation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ui/main_window.py; data/database_manager.py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Artifact/record creation, recorded rerun, local data paths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E06</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ui/classification_result.py; ui/segmentation_result.py; ui/image_comparison.py; ui/zoomable_image_view.py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Spatial views, legends, linked coordinates and vector grid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ui/settings_dialog.py; ui/model_settings.py; ui/guide_view.py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Preferences, per-task defaults and reading-aware help</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E08</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ui/result_check_box.py; ui/theme.py; ui/history_panel.py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toggle input, focus styling and English calendar</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data/export_manager.py; tests/test_main_window_export.py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and recorded task/model metadata</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E10</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Dated Windows collection, runtime, subset and complete-suite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Environment/date-specific outcomes, commands and prerequisite states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manifests, config.json, metrics.csv, training logs and best_model.pth</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data split, 30 epochs, selected epoch and checkpoint identity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E12</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test-7k predictions/report/matrix/summary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7,180-image metrics; independently recomputed CSV consistency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Supervisor-provided predict-upernet-tme-tissue-overlap.ipynb</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architecture, independent preprocessing, labels and overlap fusion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E14</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Windows pytest log, XML result, exit code, test date and environment records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First Windows invocation: collection error, exit 2; resolved by restoring the original training script</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 windows-app.log</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Successful startup/real-classifier validation and limited window states; no completed image inference or all-feature acceptance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E16</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Windows rerun: live progress, exit code and model-availability records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Earlier 359-item invocation stopped with no final totals; failure paths subsequently repaired and exercised in the final suite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default-Pillow predictions, class report, matrix, summary and environment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completed patch predictions, model identity, actual preprocessing, reference label agreement and probability differences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E18</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22:24 Windows related log/XML, exit code and Qt snapshot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131 passed; native windows platform; independent subset, not added to the full-suite total</w:t>
            </w:r>
          </w:p>
        </w:tc>
      </w:tr>
      <w:tr>
        <w:trPr>
          <w:cantSplit/>
        </w:trPr>
        <w:tc>
          <w:tcPr>
            <w:tcW w:type="dxa" w:w="907"/>
            <w:vAlign w:val="center"/>
            <w:shd w:fill="FFFFFF"/>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E19</w:t>
            </w:r>
          </w:p>
        </w:tc>
        <w:tc>
          <w:tcPr>
            <w:tcW w:type="dxa" w:w="4082"/>
            <w:vAlign w:val="center"/>
            <w:shd w:fill="FFFFFF"/>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19 Oct, 22:26 Windows full log/XML, exit code, Qt snapshot and source hashes</w:t>
            </w:r>
          </w:p>
        </w:tc>
        <w:tc>
          <w:tcPr>
            <w:tcW w:type="dxa" w:w="4037"/>
            <w:vAlign w:val="center"/>
            <w:shd w:fill="FFFFFF"/>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370 passed; 0 failed/errors/skipped; 15 warnings; 194.10 s; source content recorded in revision 7bd3552.</w:t>
            </w:r>
          </w:p>
        </w:tc>
      </w:tr>
    </w:tbl>
    <w:p>
      <w:pPr>
        <w:keepNext w:val="0"/>
        <w:keepLines/>
        <w:spacing w:before="60" w:after="120"/>
      </w:pPr>
      <w:r>
        <w:t>Source: project modules, experiment files and identified test records listed in the table.</w:t>
      </w:r>
    </w:p>
    <w:p>
      <w:pPr>
        <w:spacing w:after="40"/>
      </w:pPr>
    </w:p>
    <w:p>
      <w:bookmarkStart w:id="151" w:name="head_114"/>
      <w:pPr>
        <w:pStyle w:val="Heading3"/>
      </w:pPr>
      <w:r>
        <w:t>C.2 Evidence interpretation</w:t>
      </w:r>
      <w:bookmarkEnd w:id="151"/>
    </w:p>
    <w:p>
      <w:pPr>
        <w:jc w:val="both"/>
      </w:pPr>
      <w:r>
        <w:t>Table C.2 distinguishes the completed native Windows run from earlier Windows collection and runtime interruptions. The final invocation completed 370 tests with no failures, errors or skips. A preceding 131-test regression subset passed in 119.90 seconds with 15 warnings; its count is not added to the full-suite total. Classifier performance is reported separately in Section 4.2.6.</w:t>
      </w:r>
    </w:p>
    <w:p>
      <w:pPr>
        <w:pStyle w:val="TableCaption"/>
      </w:pPr>
      <w:bookmarkStart w:id="167" w:name="cap_Table_C_2"/>
      <w:r>
        <w:t>Table C.2. Windows automated test execution history</w:t>
      </w:r>
      <w:bookmarkEnd w:id="167"/>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370</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skipped; native Qt; 15 warnings; 194.10 s; exit 0. Source content recorded in revision 7bd3552.</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15:58 run</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final</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At least 2</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 reported</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runtime termination; exit 0xC0000409. No final summary.</w:t>
            </w:r>
          </w:p>
        </w:tc>
      </w:tr>
      <w:tr>
        <w:trPr>
          <w:cantSplit/>
        </w:trPr>
        <w:tc>
          <w:tcPr>
            <w:tcW w:type="dxa" w:w="2891"/>
            <w:vAlign w:val="center"/>
            <w:shd w:fill="F2F5F8"/>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Windows, 19 Oct 2026; first run</w:t>
            </w:r>
          </w:p>
        </w:tc>
        <w:tc>
          <w:tcPr>
            <w:tcW w:type="dxa" w:w="935"/>
            <w:vAlign w:val="center"/>
            <w:shd w:fill="F2F5F8"/>
            <w:tcMar>
              <w:top w:w="85" w:type="dxa"/>
              <w:left w:w="85" w:type="dxa"/>
              <w:bottom w:w="85" w:type="dxa"/>
              <w:right w:w="85" w:type="dxa"/>
            </w:tcMar>
          </w:tcPr>
          <w:p>
            <w:pPr>
              <w:keepNext/>
              <w:spacing w:line="269" w:lineRule="auto" w:before="0" w:after="60"/>
              <w:jc w:val="center"/>
            </w:pPr>
            <w:r>
              <w:rPr>
                <w:rFonts w:ascii="Arial" w:hAnsi="Arial" w:eastAsia="Noto Sans CJK SC"/>
                <w:b w:val="0"/>
                <w:color w:val="192735"/>
                <w:sz w:val="19"/>
              </w:rPr>
              <w:t>Not run</w:t>
            </w:r>
          </w:p>
        </w:tc>
        <w:tc>
          <w:tcPr>
            <w:tcW w:type="dxa" w:w="879"/>
            <w:vAlign w:val="center"/>
            <w:shd w:fill="F2F5F8"/>
            <w:tcMar>
              <w:top w:w="85" w:type="dxa"/>
              <w:left w:w="85" w:type="dxa"/>
              <w:bottom w:w="85" w:type="dxa"/>
              <w:right w:w="85" w:type="dxa"/>
            </w:tcMar>
          </w:tcPr>
          <w:p>
            <w:pPr>
              <w:keepNext/>
              <w:spacing w:line="269" w:lineRule="auto" w:before="0" w:after="60"/>
              <w:jc w:val="center"/>
            </w:pPr>
            <w:r>
              <w:rPr>
                <w:rFonts w:ascii="Arial" w:hAnsi="Arial" w:eastAsia="Noto Sans CJK SC"/>
                <w:b w:val="0"/>
                <w:color w:val="192735"/>
                <w:sz w:val="19"/>
              </w:rPr>
              <w:t>Not run</w:t>
            </w:r>
          </w:p>
        </w:tc>
        <w:tc>
          <w:tcPr>
            <w:tcW w:type="dxa" w:w="1304"/>
            <w:vAlign w:val="center"/>
            <w:shd w:fill="F2F5F8"/>
            <w:tcMar>
              <w:top w:w="85" w:type="dxa"/>
              <w:left w:w="85" w:type="dxa"/>
              <w:bottom w:w="85" w:type="dxa"/>
              <w:right w:w="85" w:type="dxa"/>
            </w:tcMar>
          </w:tcPr>
          <w:p>
            <w:pPr>
              <w:keepNext/>
              <w:spacing w:line="269" w:lineRule="auto" w:before="0" w:after="60"/>
              <w:jc w:val="center"/>
            </w:pPr>
            <w:r>
              <w:rPr>
                <w:rFonts w:ascii="Arial" w:hAnsi="Arial" w:eastAsia="Noto Sans CJK SC"/>
                <w:b w:val="0"/>
                <w:color w:val="192735"/>
                <w:sz w:val="19"/>
              </w:rPr>
              <w:t>1</w:t>
            </w:r>
          </w:p>
        </w:tc>
        <w:tc>
          <w:tcPr>
            <w:tcW w:type="dxa" w:w="3016"/>
            <w:vAlign w:val="center"/>
            <w:shd w:fill="F2F5F8"/>
            <w:tcMar>
              <w:top w:w="85" w:type="dxa"/>
              <w:left w:w="85" w:type="dxa"/>
              <w:bottom w:w="85" w:type="dxa"/>
              <w:right w:w="85" w:type="dxa"/>
            </w:tcMar>
          </w:tcPr>
          <w:p>
            <w:pPr>
              <w:keepNext/>
              <w:spacing w:line="269" w:lineRule="auto" w:before="0" w:after="60"/>
              <w:jc w:val="left"/>
            </w:pPr>
            <w:r>
              <w:rPr>
                <w:rFonts w:ascii="Arial" w:hAnsi="Arial" w:eastAsia="Noto Sans CJK SC"/>
                <w:b w:val="0"/>
                <w:color w:val="192735"/>
                <w:sz w:val="19"/>
              </w:rPr>
              <w:t>356 collected; collection interrupted; 13 warnings; 24.76 s; exit 2.</w:t>
            </w:r>
          </w:p>
        </w:tc>
      </w:tr>
    </w:tbl>
    <w:p>
      <w:pPr>
        <w:keepNext w:val="0"/>
        <w:keepLines/>
        <w:spacing w:before="60" w:after="120"/>
      </w:pPr>
      <w:r>
        <w:t>Source: Windows pytest logs, XML results and exit codes of 19 October 2026. “Not final” and “Not run” identify incomplete invocations rather than passing-test totals.</w:t>
      </w:r>
    </w:p>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manual acceptance case record date, tester, source state, Windows/Python/dependency versions, hardware, Qt display metrics, model/input identity, expected outcome, actual outcome and evidence file. The source-startup log gives partial manual observations, while the completed Windows suite supplies automated coverage for several corresponding behaviours. Table D.1 remains a manual acceptance checklist: its outcomes require the specified real-image task records and must not be filled from automated test totals alone.</w:t>
      </w:r>
    </w:p>
    <w:p>
      <w:bookmarkStart w:id="154" w:name="cap_Table_D_1"/>
      <w:pPr>
        <w:pStyle w:val="TableCaption"/>
      </w:pPr>
      <w:r>
        <w:t>Table D.1. Final Windows acceptance cases</w:t>
      </w:r>
      <w:bookmarkEnd w:id="154"/>
    </w:p>
    <w:tbl>
      <w:tblPr>
        <w:tblStyle w:val="TableGrid"/>
        <w:tblW w:type="auto" w:w="0"/>
        <w:jc w:val="center"/>
        <w:tblLayout w:type="fixed"/>
        <w:tblLook w:firstColumn="1" w:firstRow="1" w:lastColumn="0" w:lastRow="0" w:noHBand="0" w:noVBand="1" w:val="04A0"/>
      </w:tblPr>
      <w:tblGrid>
        <w:gridCol w:w="737"/>
        <w:gridCol w:w="3685"/>
        <w:gridCol w:w="4603"/>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Case</w:t>
            </w:r>
          </w:p>
        </w:tc>
        <w:tc>
          <w:tcPr>
            <w:tcW w:type="dxa" w:w="368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Action</w:t>
            </w:r>
          </w:p>
        </w:tc>
        <w:tc>
          <w:tcPr>
            <w:tcW w:type="dxa" w:w="460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Expected evidence</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Launch and restore previous geometry</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window fits current available screen and retains usable actions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Maximise, restore, shrink, maximise, restore</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states and normal geometry behave correctly without forced fullscreen</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W03</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Dock narrow, inspect comparison, restore wide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Vertical/horizontal adaptation works without Reset; views remain aligned</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W04</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1:1, zoom and resize a 49-tile result</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aligned 7 × 7 grid; 480/464-pixel edge dimensions recorded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W05</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Click toggle labels, padding and indicators; use Tab/Space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One transition per click; mouse/keyboard focus styles appropriate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W06</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Open both history calendars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English month/weekdays; correct selected dates and filtering</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W07</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Restore/rerun after changing current defaults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retained; restore itself does not rerun</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W08</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a real workload and close while busy</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acknowledgement/cleanup; no partial completed record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W09</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Scroll/maximise Settings at common display scales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content reachable, no artificial trailing height or clipped controls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W10</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reopen PDF/PNG and inspect companion files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task/model/statistics; files readable; no unwanted identifying data</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Validate/save/restore defaults per task</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invalid/missing-file handling and task independence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Move required files and attempt restoration/rerun</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Actionable missing-file errors; no silent model substitution</w:t>
            </w:r>
          </w:p>
        </w:tc>
      </w:tr>
    </w:tbl>
    <w:p>
      <w:pPr/>
      <w:r>
        <w:t>Source: author’s Windows acceptance protocol. Expected evidence describes the acceptance criterion, not an observed Pass.</w:t>
      </w:r>
    </w:p>
    <w:p>
      <w:pPr>
        <w:spacing w:after="40"/>
      </w:pPr>
    </w:p>
    <w:p>
      <w:bookmarkStart w:id="155" w:name="head_117"/>
      <w:pPr>
        <w:pStyle w:val="Heading3"/>
      </w:pPr>
      <w:r>
        <w:t>D.2 Required figure replacements</w:t>
      </w:r>
      <w:bookmarkEnd w:id="155"/>
    </w:p>
    <w:p>
      <w:pPr>
        <w:jc w:val="both"/>
      </w:pPr>
      <w:r>
        <w:t>Figures 1.1 and 4.1, 4.3–4.6 and 4.9 explicitly reserve the required evidence. The accompanying Chinese capture guide gives step-by-step framing and filenames. Figures 4.2, 4.7 and 4.8 are labelled development captures; retain that label or replace them with equivalent current Windows captures and update the caption's environment/source description. Screenshot dates, model identity and software revision must correspond to the actual captured run.</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The completed classification evaluation used CRC-VAL-HE-7K with 7,180 labelled images. The selected epoch-26 checkpoint SHA-256 is 8f89bd825641fba276066b54432b5d73a62b11ed6c0d70bb94c9f0bc7e2fe325; the experiment file best_model.pth was renamed crc_dn21_seed42_best.pth for application use. The hash of the experiment checkpoint agrees with its evaluation summary. The original dataset URL is https://zenodo.org/records/1214456; the manifests identify NCT-CRC-HE-100K for training/validation and CRC-VAL-HE-7K for testing.</w:t>
      </w:r>
    </w:p>
    <w:p>
      <w:pPr>
        <w:jc w:val="both"/>
      </w:pPr>
      <w:r>
        <w:t>The original test used OpenCV RGB decoding followed by Albumentations 1.3.1 Resize(224, 224), ToTensorV2 and float32 raw255, with OpenCV 4.8.1. Its environment lists Python 3.10.22, PyTorch 2.1.2+cu121, torchvision 0.16.2+cu121 and scikit-learn 1.3.2. The Windows rerun used the application’s default Pillow pathway on CPU: Python 3.10.22, PyTorch 2.1.2+cpu, Pillow 10.4.0, NumPy 1.26.4 and OpenCV 4.11.0 for the input diagnostic. Both use the same nine-class order and checkpoint.</w:t>
      </w:r>
    </w:p>
    <w:p>
      <w:pPr/>
      <w:r>
        <w:t>The Windows summary records Single image, pillow_bilinear, RGB float32 raw255, input size 224 × 224 and 7,180 native 224 × 224 source images. Per-image CSVs independently reproduce 6,511 correct labels, the class-wise report and the confusion counts. All reference labels agree; the largest absolute probability difference is 0.002731651. This run does not exercise resizing of larger crops. Future studies should add patient-grouped internal validation, duplicate checks and physical-scale analysis, and define separate ground truth for Tiled analysis.</w:t>
      </w:r>
    </w:p>
    <w:p>
      <w:bookmarkStart w:id="158" w:name="head_120"/>
      <w:pPr>
        <w:pStyle w:val="Heading3"/>
      </w:pPr>
      <w:r>
        <w:t>E.2 Segmentation</w:t>
      </w:r>
      <w:bookmarkEnd w:id="158"/>
    </w:p>
    <w:p>
      <w:pPr>
        <w:jc w:val="both"/>
      </w:pPr>
      <w:r>
        <w:t>The supervisor-provided inference notebook establishes the model configuration and label mapping but contains no independently annotated test-set evaluation. The segmentation training dataset, training procedure and Dice/IoU report were not obtained. A future evaluation requires authorised aligned masks, patient/slide separation, the same label vocabulary, an explicit ignored-label policy and recorded tile/stride/input settings; per-class and aggregate IoU/Dice should then be calculated with documented denominator rules.</w:t>
      </w:r>
    </w:p>
    <w:p>
      <w:bookmarkStart w:id="159" w:name="head_121"/>
      <w:pPr>
        <w:pStyle w:val="Heading3"/>
      </w:pPr>
      <w:r>
        <w:t>E.3 Runtime and deployment</w:t>
      </w:r>
      <w:bookmarkEnd w:id="159"/>
    </w:p>
    <w:p>
      <w:pPr>
        <w:jc w:val="both"/>
      </w:pPr>
      <w:r>
        <w:t>Use the documented Windows CPU environment as a benchmark baseline, fixing source dimensions, model, classification mode, resize backend and tile settings. Time cold model loading separately from warm repeated runs; measure preprocessing, forward inference, reconstruction/statistics, GUI display, saving and export as distinct stages. Report repeat count, mean, sample standard deviation, median and range, with memory measurements where available. The recorded pytest durations are excluded from inference timing. Packaging verification additionally requires a matched PyInstaller build record and artifact revision, clean-machine task checks and an offline dependency test; these remain planned activities.</w:t>
      </w:r>
    </w:p>
    <w:sectPr w:rsidR="00FC693F" w:rsidRPr="0006063C" w:rsidSect="00034616">
      <w:headerReference w:type="default" r:id="rId22"/>
      <w:footerReference w:type="default" r:id="rId23"/>
      <w:pgSz w:w="11906" w:h="16838"/>
      <w:pgMar w:top="1440" w:right="1440" w:bottom="1440" w:left="1440" w:header="680"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