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Deploying pathology models through separate scripts makes preprocessing, spatial sampling and previous analysis settings difficult to inspect. This project develops ZY-Path, a local PyQt5 desktop application that connects supported PyTorch CPU inference to explicit Single image and Tiled analysis controls, spatial inspection, recorded history and export, with a separate supervisor-provided segmentation integration. The classifier achieved 90.68% accuracy and 88.59% macro-F1 on 7,180 native 224 × 224 CRC-VAL-HE-7K patches through the application’s default Pillow core, agreeing with every predicted label from the recorded reference pipeline. On 27 October 2026, revision 3a935ef passed all 508 automated tests on native Windows Qt, with no failures, errors or skipped cases. The engineering contribution is a model-aware desktop workflow with explicit crop geometry, independent task semantics and reproducible parameter restoration. Separately, Windows captures and an actual PDF/JSON export document representative image workflows and acknowledged cancellation. The remaining usability, native-acceptance, performance and deployment work is defined in Section 4.5.3.</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9</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9</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9</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9</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10</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10</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11</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12</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12</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12</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13</w:t>
      </w:r>
      <w:r>
        <w:fldChar w:fldCharType="end"/>
      </w:r>
    </w:p>
    <w:p>
      <w:pPr>
        <w:pStyle w:val="TOC3"/>
        <w:tabs>
          <w:tab w:pos="8986" w:val="right" w:leader="dot"/>
        </w:tabs>
      </w:pPr>
      <w:r>
        <w:t>2.3.1 QuPath</w:t>
        <w:tab/>
      </w:r>
      <w:r>
        <w:fldChar w:fldCharType="begin"/>
      </w:r>
      <w:r>
        <w:instrText xml:space="preserve">PAGEREF head_24 \h</w:instrText>
      </w:r>
      <w:r>
        <w:fldChar w:fldCharType="separate"/>
      </w:r>
      <w:r>
        <w:t>13</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13</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14</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14</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14</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15</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16</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16</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17</w:t>
      </w:r>
      <w:r>
        <w:fldChar w:fldCharType="end"/>
      </w:r>
    </w:p>
    <w:p>
      <w:pPr>
        <w:pStyle w:val="TOC2"/>
        <w:tabs>
          <w:tab w:pos="8986" w:val="right" w:leader="dot"/>
        </w:tabs>
      </w:pPr>
      <w:r>
        <w:t>2.8 Summary</w:t>
        <w:tab/>
      </w:r>
      <w:r>
        <w:fldChar w:fldCharType="begin"/>
      </w:r>
      <w:r>
        <w:instrText xml:space="preserve">PAGEREF head_33 \h</w:instrText>
      </w:r>
      <w:r>
        <w:fldChar w:fldCharType="separate"/>
      </w:r>
      <w:r>
        <w:t>18</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19</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19</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21</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21</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22</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24</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24</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25</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25</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26</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27</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28</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29</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30</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31</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32</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34</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35</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35</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36</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36</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37</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37</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37</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38</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40</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41</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43</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43</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43</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44</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44</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45</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46</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49</w:t>
      </w:r>
      <w:r>
        <w:fldChar w:fldCharType="end"/>
      </w:r>
    </w:p>
    <w:p>
      <w:pPr>
        <w:pStyle w:val="TOC2"/>
        <w:tabs>
          <w:tab w:pos="8986" w:val="right" w:leader="dot"/>
        </w:tabs>
      </w:pPr>
      <w:r>
        <w:t>3.8 Summary</w:t>
        <w:tab/>
      </w:r>
      <w:r>
        <w:fldChar w:fldCharType="begin"/>
      </w:r>
      <w:r>
        <w:instrText xml:space="preserve">PAGEREF head_69 \h</w:instrText>
      </w:r>
      <w:r>
        <w:fldChar w:fldCharType="separate"/>
      </w:r>
      <w:r>
        <w:t>50</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51</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51</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51</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51</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52</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55</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56</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59</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63</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67</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67</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70</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72</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73</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73</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74</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74</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75</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76</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76</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77</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77</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79</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79</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80</w:t>
      </w:r>
      <w:r>
        <w:fldChar w:fldCharType="end"/>
      </w:r>
    </w:p>
    <w:p>
      <w:pPr>
        <w:pStyle w:val="TOC2"/>
        <w:tabs>
          <w:tab w:pos="8986" w:val="right" w:leader="dot"/>
        </w:tabs>
      </w:pPr>
      <w:r>
        <w:t>4.6 Summary</w:t>
        <w:tab/>
      </w:r>
      <w:r>
        <w:fldChar w:fldCharType="begin"/>
      </w:r>
      <w:r>
        <w:instrText xml:space="preserve">PAGEREF head_93 \h</w:instrText>
      </w:r>
      <w:r>
        <w:fldChar w:fldCharType="separate"/>
      </w:r>
      <w:r>
        <w:t>81</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82</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82</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83</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83</w:t>
      </w:r>
      <w:r>
        <w:fldChar w:fldCharType="end"/>
      </w:r>
    </w:p>
    <w:p>
      <w:pPr>
        <w:pStyle w:val="TOC2"/>
        <w:tabs>
          <w:tab w:pos="8986" w:val="right" w:leader="dot"/>
        </w:tabs>
      </w:pPr>
      <w:r>
        <w:t>5.4 Summary</w:t>
        <w:tab/>
      </w:r>
      <w:r>
        <w:fldChar w:fldCharType="begin"/>
      </w:r>
      <w:r>
        <w:instrText xml:space="preserve">PAGEREF head_98 \h</w:instrText>
      </w:r>
      <w:r>
        <w:fldChar w:fldCharType="separate"/>
      </w:r>
      <w:r>
        <w:t>84</w:t>
      </w:r>
      <w:r>
        <w:fldChar w:fldCharType="end"/>
      </w:r>
    </w:p>
    <w:p>
      <w:pPr>
        <w:pStyle w:val="TOC1"/>
        <w:tabs>
          <w:tab w:pos="8986" w:val="right" w:leader="dot"/>
        </w:tabs>
      </w:pPr>
      <w:r>
        <w:t>References</w:t>
        <w:tab/>
      </w:r>
      <w:r>
        <w:fldChar w:fldCharType="begin"/>
      </w:r>
      <w:r>
        <w:instrText xml:space="preserve">PAGEREF head_99 \h</w:instrText>
      </w:r>
      <w:r>
        <w:fldChar w:fldCharType="separate"/>
      </w:r>
      <w:r>
        <w:t>85</w:t>
      </w:r>
      <w:r>
        <w:fldChar w:fldCharType="end"/>
      </w:r>
    </w:p>
    <w:p>
      <w:pPr>
        <w:pStyle w:val="TOC2"/>
        <w:tabs>
          <w:tab w:pos="8986" w:val="right" w:leader="dot"/>
        </w:tabs>
      </w:pPr>
      <w:r>
        <w:t>I. Peer-Reviewed Journal Articles</w:t>
        <w:tab/>
      </w:r>
      <w:r>
        <w:fldChar w:fldCharType="begin"/>
      </w:r>
      <w:r>
        <w:instrText xml:space="preserve">PAGEREF ref_group_1 \h</w:instrText>
      </w:r>
      <w:r>
        <w:fldChar w:fldCharType="separate"/>
      </w:r>
      <w:r>
        <w:t>85</w:t>
      </w:r>
      <w:r>
        <w:fldChar w:fldCharType="end"/>
      </w:r>
    </w:p>
    <w:p>
      <w:pPr>
        <w:pStyle w:val="TOC2"/>
        <w:tabs>
          <w:tab w:pos="8986" w:val="right" w:leader="dot"/>
        </w:tabs>
      </w:pPr>
      <w:r>
        <w:t>II. Peer-Reviewed Conference Papers</w:t>
        <w:tab/>
      </w:r>
      <w:r>
        <w:fldChar w:fldCharType="begin"/>
      </w:r>
      <w:r>
        <w:instrText xml:space="preserve">PAGEREF ref_group_2 \h</w:instrText>
      </w:r>
      <w:r>
        <w:fldChar w:fldCharType="separate"/>
      </w:r>
      <w:r>
        <w:t>85</w:t>
      </w:r>
      <w:r>
        <w:fldChar w:fldCharType="end"/>
      </w:r>
    </w:p>
    <w:p>
      <w:pPr>
        <w:pStyle w:val="TOC2"/>
        <w:tabs>
          <w:tab w:pos="8986" w:val="right" w:leader="dot"/>
        </w:tabs>
      </w:pPr>
      <w:r>
        <w:t>III. Books and Book Chapters</w:t>
        <w:tab/>
      </w:r>
      <w:r>
        <w:fldChar w:fldCharType="begin"/>
      </w:r>
      <w:r>
        <w:instrText xml:space="preserve">PAGEREF ref_group_3 \h</w:instrText>
      </w:r>
      <w:r>
        <w:fldChar w:fldCharType="separate"/>
      </w:r>
      <w:r>
        <w:t>86</w:t>
      </w:r>
      <w:r>
        <w:fldChar w:fldCharType="end"/>
      </w:r>
    </w:p>
    <w:p>
      <w:pPr>
        <w:pStyle w:val="TOC2"/>
        <w:tabs>
          <w:tab w:pos="8986" w:val="right" w:leader="dot"/>
        </w:tabs>
      </w:pPr>
      <w:r>
        <w:t>IV. Magazine and Technical Articles</w:t>
        <w:tab/>
      </w:r>
      <w:r>
        <w:fldChar w:fldCharType="begin"/>
      </w:r>
      <w:r>
        <w:instrText xml:space="preserve">PAGEREF ref_group_4 \h</w:instrText>
      </w:r>
      <w:r>
        <w:fldChar w:fldCharType="separate"/>
      </w:r>
      <w:r>
        <w:t>86</w:t>
      </w:r>
      <w:r>
        <w:fldChar w:fldCharType="end"/>
      </w:r>
    </w:p>
    <w:p>
      <w:pPr>
        <w:pStyle w:val="TOC2"/>
        <w:tabs>
          <w:tab w:pos="8986" w:val="right" w:leader="dot"/>
        </w:tabs>
      </w:pPr>
      <w:r>
        <w:t>V. Standards, Documentation, and Online Resources</w:t>
        <w:tab/>
      </w:r>
      <w:r>
        <w:fldChar w:fldCharType="begin"/>
      </w:r>
      <w:r>
        <w:instrText xml:space="preserve">PAGEREF ref_group_5 \h</w:instrText>
      </w:r>
      <w:r>
        <w:fldChar w:fldCharType="separate"/>
      </w:r>
      <w:r>
        <w:t>86</w:t>
      </w:r>
      <w:r>
        <w:fldChar w:fldCharType="end"/>
      </w:r>
    </w:p>
    <w:p>
      <w:pPr>
        <w:pStyle w:val="TOC1"/>
        <w:tabs>
          <w:tab w:pos="8986" w:val="right" w:leader="dot"/>
        </w:tabs>
      </w:pPr>
      <w:r>
        <w:t>Appendices</w:t>
        <w:tab/>
      </w:r>
      <w:r>
        <w:fldChar w:fldCharType="begin"/>
      </w:r>
      <w:r>
        <w:instrText xml:space="preserve">PAGEREF head_100 \h</w:instrText>
      </w:r>
      <w:r>
        <w:fldChar w:fldCharType="separate"/>
      </w:r>
      <w:r>
        <w:t>88</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88</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88</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93</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95</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95</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95</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96</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96</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98</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98</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98</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99</w:t>
      </w:r>
      <w:r>
        <w:fldChar w:fldCharType="end"/>
      </w:r>
    </w:p>
    <w:p>
      <w:pPr>
        <w:pStyle w:val="TOC3"/>
        <w:tabs>
          <w:tab w:pos="8986" w:val="right" w:leader="dot"/>
        </w:tabs>
      </w:pPr>
      <w:r>
        <w:t>C.1 Evaluated source and evidence</w:t>
        <w:tab/>
      </w:r>
      <w:r>
        <w:fldChar w:fldCharType="begin"/>
      </w:r>
      <w:r>
        <w:instrText xml:space="preserve">PAGEREF head_113 \h</w:instrText>
      </w:r>
      <w:r>
        <w:fldChar w:fldCharType="separate"/>
      </w:r>
      <w:r>
        <w:t>99</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101</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103</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103</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104</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104</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104</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105</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106</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TUM-labelled H&amp;E patch TUM-TCGA-AAHIDTWA.tif, 224 × 224 pixels. Source: CRC-VAL-HE-7K, identified by the author; dataset DOI 10.5281/zenodo.1214456.</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11</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20</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35</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38</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39</w:t>
      </w:r>
      <w:r>
        <w:fldChar w:fldCharType="end"/>
      </w:r>
    </w:p>
    <w:p>
      <w:pPr>
        <w:pStyle w:val="TOC1"/>
        <w:tabs>
          <w:tab w:pos="8986" w:val="right" w:leader="dot"/>
        </w:tabs>
      </w:pPr>
      <w:r>
        <w:t>Figure 3.5. Implementation-level class diagram. Relationships show selected coordination dependencies and worker inheritance. Source: author, based on the implemented application.</w:t>
        <w:tab/>
      </w:r>
      <w:r>
        <w:fldChar w:fldCharType="begin"/>
      </w:r>
      <w:r>
        <w:instrText xml:space="preserve">PAGEREF cap_Figure_3_5 \h</w:instrText>
      </w:r>
      <w:r>
        <w:fldChar w:fldCharType="separate"/>
      </w:r>
      <w:r>
        <w:t>40</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42</w:t>
      </w:r>
      <w:r>
        <w:fldChar w:fldCharType="end"/>
      </w:r>
    </w:p>
    <w:p>
      <w:pPr>
        <w:pStyle w:val="TOC1"/>
        <w:tabs>
          <w:tab w:pos="8986" w:val="right" w:leader="dot"/>
        </w:tabs>
      </w:pPr>
      <w:r>
        <w:t>Figure 4.1. Windows application overview with Single image classification, probability chart and session/export panels. The displayed analysis is record #52. Source: author’s Windows capture.</w:t>
        <w:tab/>
      </w:r>
      <w:r>
        <w:fldChar w:fldCharType="begin"/>
      </w:r>
      <w:r>
        <w:instrText xml:space="preserve">PAGEREF cap_Figure_4_1 \h</w:instrText>
      </w:r>
      <w:r>
        <w:fldChar w:fldCharType="separate"/>
      </w:r>
      <w:r>
        <w:t>52</w:t>
      </w:r>
      <w:r>
        <w:fldChar w:fldCharType="end"/>
      </w:r>
    </w:p>
    <w:p>
      <w:pPr>
        <w:pStyle w:val="TOC1"/>
        <w:tabs>
          <w:tab w:pos="8986" w:val="right" w:leader="dot"/>
        </w:tabs>
      </w:pPr>
      <w:r>
        <w:t>Figure 4.2. Tiled classification interface with source/result comparison and revised result toggles. Source: author’s Qt-simulated development capture; synthetic fixture, not a model result.</w:t>
        <w:tab/>
      </w:r>
      <w:r>
        <w:fldChar w:fldCharType="begin"/>
      </w:r>
      <w:r>
        <w:instrText xml:space="preserve">PAGEREF cap_Figure_4_2 \h</w:instrText>
      </w:r>
      <w:r>
        <w:fldChar w:fldCharType="separate"/>
      </w:r>
      <w:r>
        <w:t>53</w:t>
      </w:r>
      <w:r>
        <w:fldChar w:fldCharType="end"/>
      </w:r>
    </w:p>
    <w:p>
      <w:pPr>
        <w:pStyle w:val="TOC1"/>
        <w:tabs>
          <w:tab w:pos="8986" w:val="right" w:leader="dot"/>
        </w:tabs>
      </w:pPr>
      <w:r>
        <w:t>Figure 4.3. Windows classification on crop.jpg_original.png: (a) Single image; (b) 49 numbered 512 × 512 source tiles; (c) crop inspection from the separately recorded analysis #48. The application uses raw255 and OpenCV linear resize to 224 × 224. Source: author’s Windows captures.</w:t>
        <w:tab/>
      </w:r>
      <w:r>
        <w:fldChar w:fldCharType="begin"/>
      </w:r>
      <w:r>
        <w:instrText xml:space="preserve">PAGEREF cap_Figure_4_3 \h</w:instrText>
      </w:r>
      <w:r>
        <w:fldChar w:fldCharType="separate"/>
      </w:r>
      <w:r>
        <w:t>54</w:t>
      </w:r>
      <w:r>
        <w:fldChar w:fldCharType="end"/>
      </w:r>
    </w:p>
    <w:p>
      <w:pPr>
        <w:pStyle w:val="TOC1"/>
        <w:tabs>
          <w:tab w:pos="8986" w:val="right" w:leader="dot"/>
        </w:tabs>
      </w:pPr>
      <w:r>
        <w:t>Figure 4.4. Original/segmentation-overlay comparison for a 3552 × 3536 image, with linked Fit views at 15.7%, opacity 30% and all nine pixel-coverage classes. The displayed analysis is record #49 using the supervisor-provided UPerNet model. Source: author’s Windows capture.</w:t>
        <w:tab/>
      </w:r>
      <w:r>
        <w:fldChar w:fldCharType="begin"/>
      </w:r>
      <w:r>
        <w:instrText xml:space="preserve">PAGEREF cap_Figure_4_4 \h</w:instrText>
      </w:r>
      <w:r>
        <w:fldChar w:fldCharType="separate"/>
      </w:r>
      <w:r>
        <w:t>56</w:t>
      </w:r>
      <w:r>
        <w:fldChar w:fldCharType="end"/>
      </w:r>
    </w:p>
    <w:p>
      <w:pPr>
        <w:pStyle w:val="TOC1"/>
        <w:tabs>
          <w:tab w:pos="8986" w:val="right" w:leader="dot"/>
        </w:tabs>
      </w:pPr>
      <w:r>
        <w:t>Figure 4.5. Windows parameter isolation: (a) History modes; (b) completed Re-run #83 with recorded 512 × 512/49 tiles and its parameter strip, despite current 256 × 256/196-tile defaults; (c) separate ordinary Run #77 with 256 × 256/196 tiles. Source: author’s Windows captures.</w:t>
        <w:tab/>
      </w:r>
      <w:r>
        <w:fldChar w:fldCharType="begin"/>
      </w:r>
      <w:r>
        <w:instrText xml:space="preserve">PAGEREF cap_Figure_4_5 \h</w:instrText>
      </w:r>
      <w:r>
        <w:fldChar w:fldCharType="separate"/>
      </w:r>
      <w:r>
        <w:t>58</w:t>
      </w:r>
      <w:r>
        <w:fldChar w:fldCharType="end"/>
      </w:r>
    </w:p>
    <w:p>
      <w:pPr>
        <w:pStyle w:val="TOC1"/>
        <w:tabs>
          <w:tab w:pos="8986" w:val="right" w:leader="dot"/>
        </w:tabs>
      </w:pPr>
      <w:r>
        <w:t>Figure 4.6. Actual Standard-quality segmentation PDF, its metadata page and Windows file listing. Analysis record #65 is dated 25 October; the PDF was exported on 30 October 2026. The listed PNG is not included in the uploaded evidence. Source: author’s report and captures.</w:t>
        <w:tab/>
      </w:r>
      <w:r>
        <w:fldChar w:fldCharType="begin"/>
      </w:r>
      <w:r>
        <w:instrText xml:space="preserve">PAGEREF cap_Figure_4_6 \h</w:instrText>
      </w:r>
      <w:r>
        <w:fldChar w:fldCharType="separate"/>
      </w:r>
      <w:r>
        <w:t>59</w:t>
      </w:r>
      <w:r>
        <w:fldChar w:fldCharType="end"/>
      </w:r>
    </w:p>
    <w:p>
      <w:pPr>
        <w:pStyle w:val="TOC1"/>
        <w:tabs>
          <w:tab w:pos="8986" w:val="right" w:leader="dot"/>
        </w:tabs>
      </w:pPr>
      <w:r>
        <w:t>Figure 4.7. Implemented Guide &amp; Support page with persistent Contents navigation and numbered guidance. Source: author’s Qt-simulated development capture; this is interface evidence.</w:t>
        <w:tab/>
      </w:r>
      <w:r>
        <w:fldChar w:fldCharType="begin"/>
      </w:r>
      <w:r>
        <w:instrText xml:space="preserve">PAGEREF cap_Figure_4_7 \h</w:instrText>
      </w:r>
      <w:r>
        <w:fldChar w:fldCharType="separate"/>
      </w:r>
      <w:r>
        <w:t>60</w:t>
      </w:r>
      <w:r>
        <w:fldChar w:fldCharType="end"/>
      </w:r>
    </w:p>
    <w:p>
      <w:pPr>
        <w:pStyle w:val="TOC1"/>
        <w:tabs>
          <w:tab w:pos="8986" w:val="right" w:leader="dot"/>
        </w:tabs>
      </w:pPr>
      <w:r>
        <w:t>Figure 4.8. English history-calendar popup with a simulated Chinese default locale. Source: author’s Qt-simulated development capture; the selected date is test input.</w:t>
        <w:tab/>
      </w:r>
      <w:r>
        <w:fldChar w:fldCharType="begin"/>
      </w:r>
      <w:r>
        <w:instrText xml:space="preserve">PAGEREF cap_Figure_4_8 \h</w:instrText>
      </w:r>
      <w:r>
        <w:fldChar w:fldCharType="separate"/>
      </w:r>
      <w:r>
        <w:t>60</w:t>
      </w:r>
      <w:r>
        <w:fldChar w:fldCharType="end"/>
      </w:r>
    </w:p>
    <w:p>
      <w:pPr>
        <w:pStyle w:val="TOC1"/>
        <w:tabs>
          <w:tab w:pos="8986" w:val="right" w:leader="dot"/>
        </w:tabs>
      </w:pPr>
      <w:r>
        <w:t>Figure 4.9. Windows cancellation and default-model controls: (a) 228/400 processing progress; (b) cancellation acknowledged with completed record #79 retained; (c) configuration using the controlled test model dummy_segmentation.pt; (d) restored built-in default. The transient Cancelling screen was not captured. Source: author’s Windows captures.</w:t>
        <w:tab/>
      </w:r>
      <w:r>
        <w:fldChar w:fldCharType="begin"/>
      </w:r>
      <w:r>
        <w:instrText xml:space="preserve">PAGEREF cap_Figure_4_9 \h</w:instrText>
      </w:r>
      <w:r>
        <w:fldChar w:fldCharType="separate"/>
      </w:r>
      <w:r>
        <w:t>62</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63</w:t>
      </w:r>
      <w:r>
        <w:fldChar w:fldCharType="end"/>
      </w:r>
    </w:p>
    <w:p>
      <w:pPr>
        <w:pStyle w:val="TOC1"/>
        <w:tabs>
          <w:tab w:pos="8986" w:val="right" w:leader="dot"/>
        </w:tabs>
      </w:pPr>
      <w:r>
        <w:t>Figure 4.11. Nine-class confusion matrix for CRC-VAL-HE-7K. Source: the classification experiment’s saved matrix; the Windows default-Pillow predictions independently reproduce every count. Rows are true labels and columns predicted labels.</w:t>
        <w:tab/>
      </w:r>
      <w:r>
        <w:fldChar w:fldCharType="begin"/>
      </w:r>
      <w:r>
        <w:instrText xml:space="preserve">PAGEREF new_Figure_4_12__Nine_class_confusion_matr \h</w:instrText>
      </w:r>
      <w:r>
        <w:fldChar w:fldCharType="separate"/>
      </w:r>
      <w:r>
        <w:t>65</w:t>
      </w:r>
      <w:r>
        <w:fldChar w:fldCharType="end"/>
      </w:r>
    </w:p>
    <w:p>
      <w:pPr>
        <w:pStyle w:val="TOC1"/>
        <w:tabs>
          <w:tab w:pos="8986" w:val="right" w:leader="dot"/>
        </w:tabs>
      </w:pPr>
      <w:r>
        <w:t>Figure 4.12. Complete Windows pytest report, 27 October 2026, revision 3a935ef. Source: the recorded full-suite log; selected text is reproduced with omissions marked.</w:t>
        <w:tab/>
      </w:r>
      <w:r>
        <w:fldChar w:fldCharType="begin"/>
      </w:r>
      <w:r>
        <w:instrText xml:space="preserve">PAGEREF cap_Figure_4_10 \h</w:instrText>
      </w:r>
      <w:r>
        <w:fldChar w:fldCharType="separate"/>
      </w:r>
      <w:r>
        <w:t>69</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15</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21</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22</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29</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31</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32</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46</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49</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64</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64</w:t>
      </w:r>
      <w:r>
        <w:fldChar w:fldCharType="end"/>
      </w:r>
    </w:p>
    <w:p>
      <w:pPr>
        <w:pStyle w:val="TOC1"/>
        <w:tabs>
          <w:tab w:pos="8986" w:val="right" w:leader="dot"/>
        </w:tabs>
      </w:pPr>
      <w:r>
        <w:t>Table 4.3. Complete Windows automated execution for the evaluated source.</w:t>
        <w:tab/>
      </w:r>
      <w:r>
        <w:fldChar w:fldCharType="begin"/>
      </w:r>
      <w:r>
        <w:instrText xml:space="preserve">PAGEREF cap_Table_4_1 \h</w:instrText>
      </w:r>
      <w:r>
        <w:fldChar w:fldCharType="separate"/>
      </w:r>
      <w:r>
        <w:t>68</w:t>
      </w:r>
      <w:r>
        <w:fldChar w:fldCharType="end"/>
      </w:r>
    </w:p>
    <w:p>
      <w:pPr>
        <w:pStyle w:val="TOC1"/>
        <w:tabs>
          <w:tab w:pos="8986" w:val="right" w:leader="dot"/>
        </w:tabs>
      </w:pPr>
      <w:r>
        <w:t>Table 4.4. Windows hardware record (19 October) and test runtime (27 October).</w:t>
        <w:tab/>
      </w:r>
      <w:r>
        <w:fldChar w:fldCharType="begin"/>
      </w:r>
      <w:r>
        <w:instrText xml:space="preserve">PAGEREF new_Table_4_2__Windows_test_host_and_actua \h</w:instrText>
      </w:r>
      <w:r>
        <w:fldChar w:fldCharType="separate"/>
      </w:r>
      <w:r>
        <w:t>68</w:t>
      </w:r>
      <w:r>
        <w:fldChar w:fldCharType="end"/>
      </w:r>
    </w:p>
    <w:p>
      <w:pPr>
        <w:pStyle w:val="TOC1"/>
        <w:tabs>
          <w:tab w:pos="8986" w:val="right" w:leader="dot"/>
        </w:tabs>
      </w:pPr>
      <w:r>
        <w:t>Table 4.5. Implementation challenges, corrections and supporting evidence.</w:t>
        <w:tab/>
      </w:r>
      <w:r>
        <w:fldChar w:fldCharType="begin"/>
      </w:r>
      <w:r>
        <w:instrText xml:space="preserve">PAGEREF cap_Table_4_2 \h</w:instrText>
      </w:r>
      <w:r>
        <w:fldChar w:fldCharType="separate"/>
      </w:r>
      <w:r>
        <w:t>70</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74</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74</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75</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77</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88</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90</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93</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96</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100</w:t>
      </w:r>
      <w:r>
        <w:fldChar w:fldCharType="end"/>
      </w:r>
    </w:p>
    <w:p>
      <w:pPr>
        <w:pStyle w:val="TOC1"/>
        <w:tabs>
          <w:tab w:pos="8986" w:val="right" w:leader="dot"/>
        </w:tabs>
      </w:pPr>
      <w:r>
        <w:t>Table C.2. Windows automated execution history.</w:t>
        <w:tab/>
      </w:r>
      <w:r>
        <w:fldChar w:fldCharType="begin"/>
      </w:r>
      <w:r>
        <w:instrText xml:space="preserve">PAGEREF cap_Table_C_2 \h</w:instrText>
      </w:r>
      <w:r>
        <w:fldChar w:fldCharType="separate"/>
      </w:r>
      <w:r>
        <w:t>102</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103</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w:t>
      </w:r>
      <w:hyperlink w:history="1" r:id="rId31">
        <w:r>
          <w:rPr>
            <w:rStyle w:val="Hyperlink"/>
          </w:rPr>
          <w:t>Litjens et al., 2017</w:t>
        </w:r>
      </w:hyperlink>
      <w:r>
        <w:t xml:space="preserve">; </w:t>
      </w:r>
      <w:hyperlink w:history="1" r:id="rId32">
        <w:r>
          <w:rPr>
            <w:rStyle w:val="Hyperlink"/>
          </w:rPr>
          <w:t>Kather et al., 2019</w:t>
        </w:r>
      </w:hyperlink>
      <w:r>
        <w:t>). Figure 1.1 illustrates this tissue context using a TUM-labelled patch from CRC-VAL-HE-7K.</w:t>
      </w:r>
    </w:p>
    <w:p>
      <w:pPr>
        <w:keepNext/>
        <w:spacing w:before="0" w:after="0" w:line="240" w:lineRule="auto"/>
        <w:ind w:firstLine="0"/>
        <w:jc w:val="center"/>
      </w:pPr>
      <w:r>
        <w:drawing>
          <wp:inline xmlns:a="http://schemas.openxmlformats.org/drawingml/2006/main" xmlns:pic="http://schemas.openxmlformats.org/drawingml/2006/picture">
            <wp:extent cx="2011680" cy="2011680"/>
            <wp:docPr id="15" name="Picture 15" descr="Author-provided screenshot; original pixels retained. TUM-TCGA-AAHIDTWA.tif"/>
            <wp:cNvGraphicFramePr>
              <a:graphicFrameLocks noChangeAspect="1"/>
            </wp:cNvGraphicFramePr>
            <a:graphic>
              <a:graphicData uri="http://schemas.openxmlformats.org/drawingml/2006/picture">
                <pic:pic>
                  <pic:nvPicPr>
                    <pic:cNvPr id="0" name="TUM-TCGA-AAHIDTWA.tif"/>
                    <pic:cNvPicPr/>
                  </pic:nvPicPr>
                  <pic:blipFill>
                    <a:blip r:embed="rId59"/>
                    <a:stretch>
                      <a:fillRect/>
                    </a:stretch>
                  </pic:blipFill>
                  <pic:spPr>
                    <a:xfrm>
                      <a:off x="0" y="0"/>
                      <a:ext cx="2011680" cy="2011680"/>
                    </a:xfrm>
                    <a:prstGeom prst="rect"/>
                  </pic:spPr>
                </pic:pic>
              </a:graphicData>
            </a:graphic>
          </wp:inline>
        </w:drawing>
      </w:r>
    </w:p>
    <w:p>
      <w:pPr>
        <w:pStyle w:val="FigureCaption"/>
        <w:keepNext w:val="0"/>
        <w:keepLines/>
      </w:pPr>
      <w:bookmarkStart w:id="7" w:name="cap_Figure_1_1"/>
      <w:r>
        <w:t>Figure 1.1. TUM-labelled H&amp;E patch TUM-TCGA-AAHIDTWA.tif, 224 × 224 pixels. Source: CRC-VAL-HE-7K, identified by the author; dataset DOI 10.5281/zenodo.1214456.</w:t>
      </w:r>
      <w:bookmarkEnd w:id="7"/>
    </w:p>
    <w:p>
      <w:pPr>
        <w:jc w:val="both"/>
      </w:pPr>
      <w:r>
        <w:t xml:space="preserve">Convolutional neural networks support classification and segmentation through learned visual representations. DenseNet provides feature reuse through dense connectivity </w:t>
      </w:r>
      <w:hyperlink w:history="1" r:id="rId33">
        <w:r>
          <w:rPr>
            <w:rStyle w:val="Hyperlink"/>
          </w:rPr>
          <w:t>(Huang et al., 2017)</w:t>
        </w:r>
      </w:hyperlink>
      <w:r>
        <w:t xml:space="preserve">. U-Net illustrates an encoder–decoder approach to spatial prediction </w:t>
      </w:r>
      <w:hyperlink w:history="1" r:id="rId34">
        <w:r>
          <w:rPr>
            <w:rStyle w:val="Hyperlink"/>
          </w:rPr>
          <w:t>(Ronneberger et al., 2015)</w:t>
        </w:r>
      </w:hyperlink>
      <w:r>
        <w:t xml:space="preserve">, while UPerNet combines multiscale processing for scene parsing </w:t>
      </w:r>
      <w:hyperlink w:history="1" r:id="rId35">
        <w:r>
          <w:rPr>
            <w:rStyle w:val="Hyperlink"/>
          </w:rPr>
          <w:t>(Xiao et al., 2018)</w:t>
        </w:r>
      </w:hyperlink>
      <w:r>
        <w:t>.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 xml:space="preserve">Existing pathology platforms offer graphical inspection and analysis. QuPath provides an extensible image-analysis environment </w:t>
      </w:r>
      <w:hyperlink w:history="1" r:id="rId36">
        <w:r>
          <w:rPr>
            <w:rStyle w:val="Hyperlink"/>
          </w:rPr>
          <w:t>(Bankhead et al., 2017)</w:t>
        </w:r>
      </w:hyperlink>
      <w:r>
        <w:t xml:space="preserve">. Slideflow Studio supports whole-slide visualisation </w:t>
      </w:r>
      <w:hyperlink w:history="1" r:id="rId37">
        <w:r>
          <w:rPr>
            <w:rStyle w:val="Hyperlink"/>
          </w:rPr>
          <w:t>(Dolezal et al., 2024)</w:t>
        </w:r>
      </w:hyperlink>
      <w:r>
        <w:t xml:space="preserve">. WSInfer integrates reusable pretrained models with QuPath </w:t>
      </w:r>
      <w:hyperlink w:history="1" r:id="rId38">
        <w:r>
          <w:rPr>
            <w:rStyle w:val="Hyperlink"/>
          </w:rPr>
          <w:t>(Kaczmarzyk et al., 2024)</w:t>
        </w:r>
      </w:hyperlink>
      <w:r>
        <w:t>.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research questions guide the implemented scope and its evaluation:</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w:t>
      </w:r>
      <w:hyperlink w:history="1" w:anchor="bib_ref_18">
        <w:r>
          <w:rPr>
            <w:rStyle w:val="Hyperlink"/>
          </w:rPr>
          <w:t>Brooke, 1996</w:t>
        </w:r>
      </w:hyperlink>
      <w:r>
        <w:t xml:space="preserve">; </w:t>
      </w:r>
      <w:hyperlink w:history="1" w:anchor="bib_ref_01">
        <w:r>
          <w:rPr>
            <w:rStyle w:val="Hyperlink"/>
          </w:rPr>
          <w:t>Bangor et al., 2009</w:t>
        </w:r>
      </w:hyperlink>
      <w:r>
        <w:t>).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source execution requires the selected model files and the verified UPerNet configuration in the local Hugging Face cache. Frozen-build support instead packages that configuration with the application. Windows source execution and real-classifier validation are documented in Section 4.3.3; building and validating a clean-machine offline distribution remain separate activities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 xml:space="preserve">Histopathology examines stained tissue to interpret cellular morphology and tissue architecture. H&amp;E images provide patterns relevant to diagnosis and research, while digital analysis translates those images into computational inputs </w:t>
      </w:r>
      <w:hyperlink w:history="1" r:id="rId31">
        <w:r>
          <w:rPr>
            <w:rStyle w:val="Hyperlink"/>
          </w:rPr>
          <w:t>(Litjens et al., 2017)</w:t>
        </w:r>
      </w:hyperlink>
      <w:r>
        <w:t>. The unit of analysis must be explicit because an image patch, a larger raster region and a whole-slide pyramid have different sampling and resource requirements.</w:t>
      </w:r>
    </w:p>
    <w:p>
      <w:pPr>
        <w:jc w:val="both"/>
      </w:pPr>
      <w:r>
        <w:t xml:space="preserve">NCT-CRC-HE-100K contains 100,000 colorectal tissue patches across nine categories, while CRC-VAL-HE-7K provides a separate labelled evaluation collection </w:t>
      </w:r>
      <w:hyperlink w:history="1" r:id="rId32">
        <w:r>
          <w:rPr>
            <w:rStyle w:val="Hyperlink"/>
          </w:rPr>
          <w:t>(Kather et al., 2019)</w:t>
        </w:r>
      </w:hyperlink>
      <w:r>
        <w:t>.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 xml:space="preserve">Image classification assigns a category to an image or patch, whereas semantic segmentation assigns categories to spatial locations. ZY-Path supports both tasks through separate model pathways. Residual networks use shortcut connections </w:t>
      </w:r>
      <w:hyperlink w:history="1" r:id="rId39">
        <w:r>
          <w:rPr>
            <w:rStyle w:val="Hyperlink"/>
          </w:rPr>
          <w:t>(He et al., 2016)</w:t>
        </w:r>
      </w:hyperlink>
      <w:r>
        <w:t xml:space="preserve">, DenseNet uses dense feature reuse </w:t>
      </w:r>
      <w:hyperlink w:history="1" r:id="rId33">
        <w:r>
          <w:rPr>
            <w:rStyle w:val="Hyperlink"/>
          </w:rPr>
          <w:t>(Huang et al., 2017)</w:t>
        </w:r>
      </w:hyperlink>
      <w:r>
        <w:t xml:space="preserve">, and EfficientNet applies compound scaling </w:t>
      </w:r>
      <w:hyperlink w:history="1" r:id="rId40">
        <w:r>
          <w:rPr>
            <w:rStyle w:val="Hyperlink"/>
          </w:rPr>
          <w:t>(Tan &amp; Le, 2019)</w:t>
        </w:r>
      </w:hyperlink>
      <w:r>
        <w:t>.</w:t>
      </w:r>
    </w:p>
    <w:p>
      <w:pPr>
        <w:jc w:val="both"/>
      </w:pPr>
      <w:r>
        <w:t xml:space="preserve">DenseNet concatenates earlier feature maps into later layers to encourage feature reuse </w:t>
      </w:r>
      <w:hyperlink w:history="1" r:id="rId33">
        <w:r>
          <w:rPr>
            <w:rStyle w:val="Hyperlink"/>
          </w:rPr>
          <w:t>(Huang et al., 2017)</w:t>
        </w:r>
      </w:hyperlink>
      <w:r>
        <w:t>.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w:t>
      </w:r>
      <w:hyperlink w:history="1" r:id="rId39">
        <w:r>
          <w:rPr>
            <w:rStyle w:val="Hyperlink"/>
          </w:rPr>
          <w:t>He et al., 2016</w:t>
        </w:r>
      </w:hyperlink>
      <w:r>
        <w:t xml:space="preserve">; </w:t>
      </w:r>
      <w:hyperlink w:history="1" r:id="rId40">
        <w:r>
          <w:rPr>
            <w:rStyle w:val="Hyperlink"/>
          </w:rPr>
          <w:t>Tan &amp; Le, 2019</w:t>
        </w:r>
      </w:hyperlink>
      <w:r>
        <w:t>),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 xml:space="preserve">U-Net established an influential encoder–decoder approach to biomedical segmentation with skip connections that preserve spatial information </w:t>
      </w:r>
      <w:hyperlink w:history="1" r:id="rId34">
        <w:r>
          <w:rPr>
            <w:rStyle w:val="Hyperlink"/>
          </w:rPr>
          <w:t>(Ronneberger et al., 2015)</w:t>
        </w:r>
      </w:hyperlink>
      <w:r>
        <w:t xml:space="preserve">. UPerNet combines multiscale feature processing for scene parsing </w:t>
      </w:r>
      <w:hyperlink w:history="1" r:id="rId35">
        <w:r>
          <w:rPr>
            <w:rStyle w:val="Hyperlink"/>
          </w:rPr>
          <w:t>(Xiao et al., 2018)</w:t>
        </w:r>
      </w:hyperlink>
      <w:r>
        <w:t xml:space="preserve">. The current built-in integration reconstructs UPerNet through Transformers using a Swin Base backbone </w:t>
      </w:r>
      <w:hyperlink w:history="1" r:id="rId41">
        <w:r>
          <w:rPr>
            <w:rStyle w:val="Hyperlink"/>
          </w:rPr>
          <w:t>(Liu et al., 2021)</w:t>
        </w:r>
      </w:hyperlink>
      <w:r>
        <w:t>.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 xml:space="preserve">The model's softmax output is a normalised score over its classes. It is not automatically calibrated as the probability that an interpretation is correct </w:t>
      </w:r>
      <w:hyperlink w:history="1" r:id="rId42">
        <w:r>
          <w:rPr>
            <w:rStyle w:val="Hyperlink"/>
          </w:rPr>
          <w:t>(Guo et al., 2017)</w:t>
        </w:r>
      </w:hyperlink>
      <w:r>
        <w:t>.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 Figure 2.1 distinguishes the three output meanings: whole-image classification, tile-class estimates and pixel segmentation.</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 xml:space="preserve">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w:t>
      </w:r>
      <w:hyperlink w:history="1" r:id="rId38">
        <w:r>
          <w:rPr>
            <w:rStyle w:val="Hyperlink"/>
          </w:rPr>
          <w:t>(Kaczmarzyk et al., 2024)</w:t>
        </w:r>
      </w:hyperlink>
      <w:r>
        <w:t>.</w:t>
      </w:r>
    </w:p>
    <w:p>
      <w:pPr>
        <w:jc w:val="both"/>
      </w:pPr>
      <w:r>
        <w:t xml:space="preserve">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w:t>
      </w:r>
      <w:hyperlink w:history="1" w:anchor="bib_ref_19">
        <w:r>
          <w:rPr>
            <w:rStyle w:val="Hyperlink"/>
          </w:rPr>
          <w:t>(Gamma et al., 1994)</w:t>
        </w:r>
      </w:hyperlink>
      <w:r>
        <w:t>.</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 xml:space="preserve">Usability inspection and empirical user evaluation answer complementary questions. Inspection can expose inconsistent feedback or inaccessible controls, whereas task observation and questionnaires show how intended users actually experience the system </w:t>
      </w:r>
      <w:hyperlink w:history="1" r:id="rId43">
        <w:r>
          <w:rPr>
            <w:rStyle w:val="Hyperlink"/>
          </w:rPr>
          <w:t>(Yen &amp; Bakken, 2012)</w:t>
        </w:r>
      </w:hyperlink>
      <w:r>
        <w:t xml:space="preserve">. Nielsen's heuristics support visible status, user control, consistency, error prevention and recognition rather than recall </w:t>
      </w:r>
      <w:hyperlink w:history="1" r:id="rId44">
        <w:r>
          <w:rPr>
            <w:rStyle w:val="Hyperlink"/>
          </w:rPr>
          <w:t>(Nielsen, 1994)</w:t>
        </w:r>
      </w:hyperlink>
      <w:r>
        <w:t>.</w:t>
      </w:r>
    </w:p>
    <w:p>
      <w:pPr>
        <w:jc w:val="both"/>
      </w:pPr>
      <w:r>
        <w:t xml:space="preserve">The System Usability Scale is a ten-item questionnaire for perceived usability </w:t>
      </w:r>
      <w:hyperlink w:history="1" w:anchor="bib_ref_18">
        <w:r>
          <w:rPr>
            <w:rStyle w:val="Hyperlink"/>
          </w:rPr>
          <w:t>(Brooke, 1996)</w:t>
        </w:r>
      </w:hyperlink>
      <w:r>
        <w:t xml:space="preserve">. </w:t>
      </w:r>
      <w:hyperlink w:history="1" w:anchor="bib_ref_01">
        <w:r>
          <w:rPr>
            <w:rStyle w:val="Hyperlink"/>
          </w:rPr>
          <w:t>Bangor et al. (2009)</w:t>
        </w:r>
      </w:hyperlink>
      <w:r>
        <w:t xml:space="preserve">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 xml:space="preserve">SUS provides a standard ten-item instrument, but its 0–100 score is not a percentage of tasks completed or a measure of diagnostic accuracy </w:t>
      </w:r>
      <w:hyperlink w:history="1" w:anchor="bib_ref_18">
        <w:r>
          <w:rPr>
            <w:rStyle w:val="Hyperlink"/>
          </w:rPr>
          <w:t>(Brooke, 1996)</w:t>
        </w:r>
      </w:hyperlink>
      <w:r>
        <w:t>.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 xml:space="preserve">QuPath is an open-source digital-pathology application with image visualisation, annotation, quantitative analysis and project-oriented workflows </w:t>
      </w:r>
      <w:hyperlink w:history="1" r:id="rId36">
        <w:r>
          <w:rPr>
            <w:rStyle w:val="Hyperlink"/>
          </w:rPr>
          <w:t>(Bankhead et al., 2017)</w:t>
        </w:r>
      </w:hyperlink>
      <w:r>
        <w:t>.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 xml:space="preserve">Slideflow supports deep-learning development for digital histopathology, with slide processing, model training and real-time whole-slide visualisation </w:t>
      </w:r>
      <w:hyperlink w:history="1" r:id="rId37">
        <w:r>
          <w:rPr>
            <w:rStyle w:val="Hyperlink"/>
          </w:rPr>
          <w:t>(Dolezal et al., 2024)</w:t>
        </w:r>
      </w:hyperlink>
      <w:r>
        <w:t>. Its official repository explicitly describes Slideflow Studio, model-development functionality, stain-processing tools and visualisation.</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 xml:space="preserve">WSInfer makes pretrained deep-learning models reusable in a pathology workflow and integrates inference with QuPath </w:t>
      </w:r>
      <w:hyperlink w:history="1" r:id="rId38">
        <w:r>
          <w:rPr>
            <w:rStyle w:val="Hyperlink"/>
          </w:rPr>
          <w:t>(Kaczmarzyk et al., 2024)</w:t>
        </w:r>
      </w:hyperlink>
      <w:r>
        <w:t>.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 xml:space="preserve">Cytomine supports collaborative analysis of very large images, image annotation and integration of analysis workflows </w:t>
      </w:r>
      <w:hyperlink w:history="1" r:id="rId45">
        <w:r>
          <w:rPr>
            <w:rStyle w:val="Hyperlink"/>
          </w:rPr>
          <w:t>(Marée et al., 2016)</w:t>
        </w:r>
      </w:hyperlink>
      <w:r>
        <w:t>.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 xml:space="preserve">Commercial platforms such as Aiforia Create provide an alternative model-development and deployment environment </w:t>
      </w:r>
      <w:hyperlink w:history="1" r:id="rId46">
        <w:r>
          <w:rPr>
            <w:rStyle w:val="Hyperlink"/>
          </w:rPr>
          <w:t>(Aiforia, n.d.)</w:t>
        </w:r>
      </w:hyperlink>
      <w:r>
        <w:t>.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System</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Documented emphasis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Interface/deployment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Relation to ZY-Path</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QuPath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Whole-slide viewing, annotation, quantitative analysis and extensions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Graphical desktop; optional scripting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Broader image-analysis scope; advanced extension setup differs from a constrained model-file workflow</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Slideflow/Studio</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Model development and whole-slide visualisation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Python research environment plus graphical Studio</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Includes training and WSI capabilities outside this project's scope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WSInfer + QuPath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Reusable pretrained pathology inference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Inference integrated with a desktop pathology viewer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Closest precedent for graphical model use; model-distribution and WSI focus differs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Cytomine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Collaborative large-image annotation and analysis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Web/server-oriented collaboration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Supports multi-user work excluded from ZY-Path</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Aiforia Create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Commercial AI model development/deployment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Vendor-managed product options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Import, licensing and history details not independently evaluated</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ZY-Path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Supported local inference, spatial inspection, record restoration and export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PyQt5 desktop with local CPU and SQLite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w:t>
      </w:r>
      <w:hyperlink w:history="1" w:anchor="bib_ref_20">
        <w:r>
          <w:rPr>
            <w:rStyle w:val="Hyperlink"/>
          </w:rPr>
          <w:t>Kreibich, 2010</w:t>
        </w:r>
      </w:hyperlink>
      <w:r>
        <w:t xml:space="preserve">; </w:t>
      </w:r>
      <w:hyperlink w:history="1" r:id="rId47">
        <w:r>
          <w:rPr>
            <w:rStyle w:val="Hyperlink"/>
          </w:rPr>
          <w:t>SQLite, n.d.</w:t>
        </w:r>
      </w:hyperlink>
      <w:r>
        <w:t>).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 xml:space="preserve">PyQt5 supplies windows, layouts, signals and worker threads </w:t>
      </w:r>
      <w:hyperlink w:history="1" r:id="rId48">
        <w:r>
          <w:rPr>
            <w:rStyle w:val="Hyperlink"/>
          </w:rPr>
          <w:t>(Riverbank Computing, n.d.)</w:t>
        </w:r>
      </w:hyperlink>
      <w:r>
        <w:t xml:space="preserve">. Qt’s QGraphicsView provides source-coordinate transformations, linked navigation and vector grid painting </w:t>
      </w:r>
      <w:hyperlink w:history="1" r:id="rId49">
        <w:r>
          <w:rPr>
            <w:rStyle w:val="Hyperlink"/>
          </w:rPr>
          <w:t>(The Qt Company, n.d.)</w:t>
        </w:r>
      </w:hyperlink>
      <w:r>
        <w:t xml:space="preserve">. PyTorch supplies model execution and inference_mode </w:t>
      </w:r>
      <w:hyperlink w:history="1" r:id="rId50">
        <w:r>
          <w:rPr>
            <w:rStyle w:val="Hyperlink"/>
          </w:rPr>
          <w:t>(Paszke et al., 2019)</w:t>
        </w:r>
      </w:hyperlink>
      <w:r>
        <w:t xml:space="preserve">. NumPy supports array-based image conversion </w:t>
      </w:r>
      <w:hyperlink w:history="1" r:id="rId51">
        <w:r>
          <w:rPr>
            <w:rStyle w:val="Hyperlink"/>
          </w:rPr>
          <w:t>(NumPy Developers, n.d.)</w:t>
        </w:r>
      </w:hyperlink>
      <w:r>
        <w:t xml:space="preserve">, while Pillow supplies image decoding and resampling </w:t>
      </w:r>
      <w:hyperlink w:history="1" r:id="rId52">
        <w:r>
          <w:rPr>
            <w:rStyle w:val="Hyperlink"/>
          </w:rPr>
          <w:t>(Pillow Contributors, n.d.)</w:t>
        </w:r>
      </w:hyperlink>
      <w:r>
        <w:t xml:space="preserve">. Matplotlib renders the Single image probability chart </w:t>
      </w:r>
      <w:hyperlink w:history="1" r:id="rId53">
        <w:r>
          <w:rPr>
            <w:rStyle w:val="Hyperlink"/>
          </w:rPr>
          <w:t>(Hunter, 2007)</w:t>
        </w:r>
      </w:hyperlink>
      <w:r>
        <w:t xml:space="preserve">, and fpdf2 generates structured PDF reports </w:t>
      </w:r>
      <w:hyperlink w:history="1" r:id="rId54">
        <w:r>
          <w:rPr>
            <w:rStyle w:val="Hyperlink"/>
          </w:rPr>
          <w:t>(fpdf2 Contributors, n.d.)</w:t>
        </w:r>
      </w:hyperlink>
      <w:r>
        <w:t>.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 xml:space="preserve">Source-based UPerNet reconstruction loads its configuration from the local Hugging Face cache with local_files_only=True. The Windows build script and PyInstaller specification now describe how to collect the permitted weights, verified configuration, report font and runtime dependencies </w:t>
      </w:r>
      <w:hyperlink w:history="1" r:id="rId55">
        <w:r>
          <w:rPr>
            <w:rStyle w:val="Hyperlink"/>
          </w:rPr>
          <w:t>(PyInstaller Development Team, n.d.)</w:t>
        </w:r>
      </w:hyperlink>
      <w:r>
        <w:t>. Frozen execution reads the bundled configuration. These implemented build preparations are distinct from an actual version-matched build and clean-machine offline acceptance, whose status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 Figure 3.1 shows these layers and the flow of model, image, result and history artifacts.</w:t>
      </w:r>
    </w:p>
    <w:p>
      <w:pPr>
        <w:keepNext/>
        <w:spacing w:before="140"/>
        <w:jc w:val="center"/>
      </w:pPr>
      <w:r>
        <w:drawing>
          <wp:inline xmlns:a="http://schemas.openxmlformats.org/drawingml/2006/main" xmlns:pic="http://schemas.openxmlformats.org/drawingml/2006/picture">
            <wp:extent cx="5623560" cy="5623560"/>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623560" cy="5623560"/>
                    </a:xfrm>
                    <a:prstGeom prst="rect"/>
                  </pic:spPr>
                </pic:pic>
              </a:graphicData>
            </a:graphic>
          </wp:inline>
        </w:drawing>
      </w:r>
    </w:p>
    <w:p>
      <w:bookmarkStart w:id="39" w:name="cap_Figure_3_1"/>
      <w:pPr>
        <w:pStyle w:val="FigureCaption"/>
        <w:keepNext w:val="0"/>
        <w:keepLines/>
      </w:pPr>
      <w:r>
        <w:t>Figure 3.1. Implemented logical architecture and artifact flow. Source: author, based on the project’s Python modules.</w:t>
      </w:r>
      <w:bookmarkEnd w:id="39"/>
    </w:p>
    <w:p>
      <w:pPr>
        <w:jc w:val="both"/>
      </w:pPr>
      <w:r>
        <w:t>The implementation evaluated in this thesis is revision 3a935ef. Its complete Windows execution on 27 October 2026 passed all 508 automated cases. Classification methods are documented by the training code provided by my supervisor, my training/validation records and corresponding test outputs. The segmentation pathway follows the model and reference inference notebook provided by my supervisor. Appendix C identifies the evaluated source and the earlier Windows records.</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 Table 3.1 specifies each functional requirement and its observable acceptance condition.</w:t>
      </w:r>
    </w:p>
    <w:p>
      <w:bookmarkStart w:id="42" w:name="cap_Table_3_1"/>
      <w:pPr>
        <w:pStyle w:val="TableCaption"/>
      </w:pPr>
      <w:r>
        <w:t>Table 3.1. Functional requirements and acceptance conditions</w:t>
      </w:r>
      <w:bookmarkEnd w:id="42"/>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624"/>
        <w:gridCol w:w="2948"/>
        <w:gridCol w:w="5454"/>
      </w:tblGrid>
      <w:tr>
        <w:trPr>
          <w:cantSplit/>
          <w:tblHeader/>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ID</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Requirement</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Observable acceptance condition</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F01</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Load supported raster images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Selected input is identified and rendered; invalid files produce a clear error</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F02</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Load and validate trusted compatible models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Supported representations load; finite output/task/class checks reject unsupported inputs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F03</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Run single-image classification</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The complete selected image is processed once and yields ordered class probabilities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F04</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Run explicit tiled classification</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Selected width/height generate non-overlapping real crops, including partial edges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F05</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Show classification statistics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Nine-class legend, numbered tiles, linked image/table selection, original-crop preview, per-tile confidence and actual-area estimates agree with stored tiles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F06</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Run compatible segmentation</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The segmentation model produces a restored label map, overlay and its own legend/counts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F07</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Inspect spatial results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Overlay/map/original, opacity, linked navigation and vector grid remain aligned during zoom, panning and divider resizing</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F08</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Save completed history</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 record connects actual model/task/mode/parameters to saved artifacts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F09</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Search and filter history</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Keyword and inclusive local-date queries return the expected records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F10</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Restore a stored result</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Restoration displays the recorded result without initiating a new forward pass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F11</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Rerun a record</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The recorded model, image, task and parameters take precedence over current defaults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F12</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 results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PNG/PDF retain recorded identity/statistics; PDF quality is selectable, background export can be cancelled and an existing destination is replaced only after successful completion</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F13</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Cancel inference</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Cooperative cancellation leaves no new completed record and preserves the previous result</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F14</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Configure task-specific model defaults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 validated local default can be saved/restored independently for each task</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F15</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Configure analysis and interface preferences</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Mode, tile dimensions and resize method persist; ordinary Run uses current preferences and Re-run uses the selected record snapshot</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F16</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Manage records safely</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Confirmed deletion removes selected records/app-owned artifacts without deleting source inputs</w:t>
            </w:r>
          </w:p>
        </w:tc>
      </w:tr>
      <w:tr>
        <w:trPr>
          <w:cantSplit/>
        </w:trPr>
        <w:tc>
          <w:tcPr>
            <w:tcW w:type="dxa" w:w="62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F17</w:t>
            </w:r>
          </w:p>
        </w:tc>
        <w:tc>
          <w:tcPr>
            <w:tcW w:type="dxa" w:w="2948"/>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Clear the workspace and history selection</w:t>
            </w:r>
          </w:p>
        </w:tc>
        <w:tc>
          <w:tcPr>
            <w:tcW w:type="dxa" w:w="545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Clear view removes transient input/result/session state while retaining saved history/files/settings; Clear Selection leaves no selected history row</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pPr/>
      <w:r>
        <w:t>Table 3.2 links the non-functional requirements to their verification approaches and current implementation boundaries.</w:t>
      </w:r>
    </w:p>
    <w:p>
      <w:bookmarkStart w:id="44" w:name="cap_Table_3_2"/>
      <w:pPr>
        <w:pStyle w:val="TableCaption"/>
      </w:pPr>
      <w:r>
        <w:t>Table 3.2. Non-functional requirements and verification boundaries</w:t>
      </w:r>
      <w:bookmarkEnd w:id="44"/>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ID</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Quality requirement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Verification approach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Present boundary</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N01</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Responsive interaction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Worker-thread signals; cancellation and close-lifecycle tests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 model operation may delay cancellation acknowledgement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Traceable analysis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parameters, restored metadata and rerun isolation tests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File hashes and complete environment snapshots are not persisted per run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Local data handling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Code-path inspection; local SQLite/artifact storage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Local files are not automatically encrypted or backed up</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Readable/resizable interface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Small logical screens, font/DPI simulation, theme and focus tests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Native Windows automated layout cases passed at revision 3a935ef. Formal real-image manual and assistive-technology acceptance remain separate evaluations.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N05</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Measurable runtime/resource use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Fixed-workload CPU timings with predefined repetitions, separate cold/warm cases, file sizes and process memory</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 independent performance benchmark is available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N06</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Predictable error handling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Missing-file, invalid-model, export/database and cancellation tests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Structural model validation is not a security or accuracy certificate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Deployable offline runtime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Local configuration/weights and clean-machine packaging checks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Build script/specification and local-resource checks implemented; actual packaged artifact, clean-machine and offline acceptance unverified</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N08</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Maintainability and regression control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Layered modules, named tests, source revision and preserved failure reporting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Regression requirements are linked to named cases and source versions; a passing test count is not a code-coverage percentage.</w:t>
            </w:r>
          </w:p>
        </w:tc>
      </w:tr>
    </w:tbl>
    <w:p>
      <w:pPr/>
      <w:r>
        <w:t>Source: author’s quality requirements and recorded verification scope.</w:t>
      </w:r>
    </w:p>
    <w:p>
      <w:pPr>
        <w:spacing w:after="40"/>
      </w:pPr>
    </w:p>
    <w:p>
      <w:pPr>
        <w:jc w:val="both"/>
      </w:pPr>
      <w:r>
        <w:t>The CP1 core/data coverage target remains an evaluation objective in the proposal baseline. This edition reports the completed Windows automated execution with its source version and named assertions; it does not infer code coverage from the number of passing cases. Requirements retain separate implementation and verification status.</w:t>
      </w:r>
    </w:p>
    <w:p>
      <w:pPr/>
      <w:r>
        <w:t>The final acceptance record must state its tested logical window sizes and display scales, whether essential controls remain reachable, and any failure to resize or restore. Performance observations will use the predefined workload and timing boundaries in Appendix E.3. Thresholds requiring user or institutional agreement remain protocol decisions rather than retrospectively selected pass criteria.</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 xml:space="preserve">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w:t>
      </w:r>
      <w:hyperlink w:history="1" r:id="rId56">
        <w:r>
          <w:rPr>
            <w:rStyle w:val="Hyperlink"/>
          </w:rPr>
          <w:t>(PyTorch Contributors, n.d.)</w:t>
        </w:r>
      </w:hyperlink>
      <w:r>
        <w:t>.</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 xml:space="preserve">WCAG 2.2 informs the review of keyboard access, contrast and non-colour cues, adapted to a desktop interface </w:t>
      </w:r>
      <w:hyperlink w:history="1" r:id="rId57">
        <w:r>
          <w:rPr>
            <w:rStyle w:val="Hyperlink"/>
          </w:rPr>
          <w:t>(W3C, 2023)</w:t>
        </w:r>
      </w:hyperlink>
      <w:r>
        <w:t>.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r>
        <w:t>Inference uses PyTorch on CPU. The 27 October Windows resource manifest records 1,726,089 bytes (1.646 MiB) for the classification checkpoint and 489,488,187 bytes (466.812 MiB) for the segmentation checkpoint. Both files were present and unchanged through the test execution; Appendix E records their SHA-256 identities. These are stored checkpoint sizes. Structural compatibility permits supported model representations, not arbitrary task or label semantics.</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r>
        <w:t>The augmentation order and parameters are reproducible from the training script: Resize(224, 224); VerticalFlip(p=0.5); HorizontalFlip(p=0.5); HueSaturationValue(hue_shift_limit=(-25, 0), sat_shift_limit=0, val_shift_limit=0, p=1); Rotate(p=1, border_mode=cv2.BORDER_CONSTANT, value=0); RandomSizedCrop((224, 224), 224, 224); and ToTensorV2 followed by float conversion. Arguments not explicitly set use the defaults of the recorded Albumentations 1.3.1 environment. Because the crop height range is fixed at 224 after resizing to 224 × 224, this crop operation does not provide evidence of training with different source fields of view.</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r>
        <w:t>Class weights are calculated as w_c = 1 − n_c / Σ_j n_j from the training counts; they are not inverse-frequency weights. Cross-entropy uses a summed reduction, with epoch reporting normalised by the accumulated class-weight denominator. The script seeds Python, NumPy, PyTorch and the data-loader generator with 42, seeds workers from their PyTorch worker seed, disables cuDNN benchmarking and requests deterministic cuDNN behaviour. Continuation restores the model, optimizer and scheduler states. The reported results describe this recorded run; no multi-seed training-variation study was conducted.</w:t>
      </w:r>
    </w:p>
    <w:p>
      <w:pPr>
        <w:jc w:val="both"/>
      </w:pPr>
      <w:r>
        <w:t>The formal nine-class run is identified by its manifests, completed metrics, checkpoint and test-7k outputs. Older three-class scripts and smoke-check experiments remain development materials and are not used to establish the CRC results. The internal training/validation manifests have disjoint image paths, but the stratified random split operates on patches and does not enforce patient- or slide-level separation.</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original evaluation used Albumentations 1.3.1 and OpenCV 4.8.1, with A.Resize(224, 224) retaining its default linear interpolation. Pillow bilinear and OpenCV INTER_LINEAR can differ when resampling is necessary. A Windows rerun through the default Pillow pathway is now reported in Section 4.2.6; all 7,180 source patches were already 224 × 224, so this run validates the native-sized patch pathway rather than general equivalence when larger crops are resized.</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At the source dataset’s nominal 0.5 μm/pixel, a 224-pixel edge spans 112 μm. If a new raster’s resolution r is known in μm/pixel, a candidate crop edge covering that field is approximately 112/r pixels; this is a physical-scale calculation, not evidence of optimal predictive performance. The interface retains 512 × 512 as an editable starting value. Values such as 256 and 300 are exploratory source-crop candidates, while the network input remains 224 × 224. A controlled comparison should keep the crop centre, source image, model, backend and display dimensions fixed. No outcomes from those new-size trials are supplied here.</w:t>
      </w:r>
    </w:p>
    <w:p>
      <w:pPr/>
      <w:r>
        <w:t>Ordinary Run Inference snapshots the current preference width, height and resize backend at launch. Restoring a history result does not replace those new-run defaults. Re-run alone supplies the recorded parameter snapshot, and the input summary returns to current preferences when it finishes. A change made while inference is active applies to the next run. The 11-case preference-lifetime regression verifies actual crop boxes, recorded geometry, same-value re-entry, mode/image changes, clear view and parameter isolation.</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 Table 3.3 records the classifier’s fixed class order and dedicated nine-colour display palette.</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680"/>
        <w:gridCol w:w="1020"/>
        <w:gridCol w:w="4762"/>
        <w:gridCol w:w="2563"/>
      </w:tblGrid>
      <w:tr>
        <w:trPr>
          <w:cantSplit/>
          <w:tblHeader/>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Index</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Label</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Tissue category</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RGB</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ADI</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Adipose</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(230, 159, 0)</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BACK</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Background</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(210, 210, 210)</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DEB</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Debris</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(86, 180, 233)</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LYM</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Lymphocytes</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(0, 158, 115)</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4</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MUC</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Mucus</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(240, 228, 66)</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5</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MUS</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Smooth muscle</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(0, 114, 178)</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NORM</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Normal colon mucosa</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(213, 94, 0)</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STR</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Stroma</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(204, 121, 167)</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8</w:t>
            </w:r>
          </w:p>
        </w:tc>
        <w:tc>
          <w:tcPr>
            <w:tcW w:type="dxa" w:w="102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TUM</w:t>
            </w:r>
          </w:p>
        </w:tc>
        <w:tc>
          <w:tcPr>
            <w:tcW w:type="dxa" w:w="476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Tumour epithelium</w:t>
            </w:r>
          </w:p>
        </w:tc>
        <w:tc>
          <w:tcPr>
            <w:tcW w:type="dxa" w:w="256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737"/>
        <w:gridCol w:w="5102"/>
        <w:gridCol w:w="3186"/>
      </w:tblGrid>
      <w:tr>
        <w:trPr>
          <w:cantSplit/>
          <w:tblHeader/>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Index</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Model label</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RGB</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Exclude</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(0, 0, 0)</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Cancerous epithelium</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(255, 0, 0)</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Stroma</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(0, 255, 0)</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TILs</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(0, 0, 255)</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4</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Normal epithelium</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(255, 255, 0)</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5</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Junk/Debris</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(128, 0, 128)</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Blood</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(0, 255, 255)</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Other</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(255, 165, 0)</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8</w:t>
            </w:r>
          </w:p>
        </w:tc>
        <w:tc>
          <w:tcPr>
            <w:tcW w:type="dxa" w:w="510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Whitespace/Empty</w:t>
            </w:r>
          </w:p>
        </w:tc>
        <w:tc>
          <w:tcPr>
            <w:tcW w:type="dxa" w:w="318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pPr/>
      <w:r>
        <w:t>A final lifetime guard also waits for an active worker before Qt destroys its owning widget. Model-validation signals connect to QObject-bound receivers, so destruction disconnects pending callbacks instead of allowing them to access deleted controls. Regression cases cover forced parent deletion and both successful and failed validation signals for built-in models, custom models and task-default settings.</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 Table 3.5 summarises the persistent structures and the purpose of their principal fields.</w:t>
      </w:r>
    </w:p>
    <w:p>
      <w:bookmarkStart w:id="58" w:name="cap_Table_3_5"/>
      <w:pPr>
        <w:pStyle w:val="TableCaption"/>
      </w:pPr>
      <w:r>
        <w:t>Table 3.5. Implemented persistent data structures</w:t>
      </w:r>
      <w:bookmarkEnd w:id="58"/>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Structure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Principal fields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Purpose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inference_records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id, image_path, model_path, task_type, result_label, confidence, result_image_path, timestamp</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Searchable completed-analysis identity and base metadata</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segmentation_artifacts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record_id, result_labels_path, result_color_mask_path, result_overlay_path, analysis_json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Optional spatial artifacts and recorded analysis/presentation metadata</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Classification analysis JSON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mode, resize_backend, classes/colours, source/input sizes, tiles/probabilities, counts, areas, scale_status, presentation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Preserve tile semantics and restore/reuse the actual parameters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Segmentation analysis JSON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task/model, labels/colours, dimensions, tile/stride/input, counts, presentation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Restore spatial results without borrowing classification semantics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QSettings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theme, current/default classification settings, per-task default model paths, reminders, window geometry</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r>
        <w:t>Clear view removes the current input, visible result and session metadata and clears history selection. It does not delete saved analyses or source files. Clear Selection, Esc in the history table and a click on empty table space can leave no row selected. Restoring history also synchronises the left-side original-image thumbnail; the completed record retains its own identity independently of subsequent model selections.</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r>
        <w:t>PdfExportWorker snapshots the selected result, metadata, map and export options before background generation. Progress and cooperative cancellation keep the GUI responsive; the destination is atomically replaced only after a complete report is written. Standard PDF quality is the default: report display copies are sized for up to 300 DPI, large photographs and overlays use high-quality JPEG, and class maps use nearest-neighbour resizing with lossless encoding. Original resolution retains full image pixels with lossless encoding. Text, numerical tables, predictions, saved masks and source files are unchanged. The report distinguishes original image dimensions from display-copy quality and an export-time file checksum from an identity actually recorded at inference.</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pPr/>
      <w:r>
        <w:t>The inference panel’s built-in/custom selector is a session choice. Selecting the built-in model clears the visible local-model filename while remembering that local choice for a later explicit return in the same session. This does not change either task’s saved startup default or relabel the completed result’s Session metadata. Interrupted custom validation is resumed when required rather than leaving a stale loading state.</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 Figure 3.2 presents an annotated wireframe of this arrangement and its main user actions.</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w:t>
      </w:r>
      <w:hyperlink w:history="1" r:id="rId44">
        <w:r>
          <w:rPr>
            <w:rStyle w:val="Hyperlink"/>
          </w:rPr>
          <w:t>Nielsen, 1994</w:t>
        </w:r>
      </w:hyperlink>
      <w:r>
        <w:t xml:space="preserve">; </w:t>
      </w:r>
      <w:hyperlink w:history="1" r:id="rId43">
        <w:r>
          <w:rPr>
            <w:rStyle w:val="Hyperlink"/>
          </w:rPr>
          <w:t>Yen &amp; Bakken, 2012</w:t>
        </w:r>
      </w:hyperlink>
      <w:r>
        <w:t>);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r>
        <w:t>Tile boundaries and optional one-based numbers share image coordinates. Selecting a tile or its detail row identifies the same source crop, rectangle, label and confidence. This supports spatial inspection without requiring a separate page for each result component.</w:t>
      </w:r>
    </w:p>
    <w:p>
      <w:pPr>
        <w:jc w:val="both"/>
      </w:pPr>
      <w:r>
        <w:t>Linked comparison uses a common Fit scale and source-coordinate centre for the original and result. The pair stacks vertically in narrow windows and returns to a horizontal layout when space permits. Panning, zooming and divider resizing preserve spatial correspondence without changing predictions or statistics.</w:t>
      </w:r>
    </w:p>
    <w:p>
      <w:pPr>
        <w:jc w:val="both"/>
      </w:pPr>
      <w:r>
        <w:t>The classification grid is drawn over the image through the same coordinate transform, with a line width that remains legible during Fit and zoom. Image/grid alignment is preserved after resize and history restoration. The scale display accounts for device pixel ratio: 1:1 represents one source pixel per physical display pixel, while window bounds use Qt logical coordinates.</w:t>
      </w:r>
    </w:p>
    <w:p>
      <w:bookmarkStart w:id="64" w:name="head_54"/>
      <w:pPr>
        <w:pStyle w:val="Heading3"/>
      </w:pPr>
      <w:r>
        <w:t>3.4.3 Control states, settings and help</w:t>
      </w:r>
      <w:bookmarkEnd w:id="64"/>
    </w:p>
    <w:p>
      <w:pPr>
        <w:jc w:val="both"/>
      </w:pPr>
      <w:r>
        <w:t>Result controls provide a consistent clickable area and visible keyboard focus. Mouse, keyboard and scrolling interactions are designed to prevent unintended parameter changes while keeping essential actions accessible.</w:t>
      </w:r>
    </w:p>
    <w:p>
      <w:pPr>
        <w:jc w:val="both"/>
      </w:pPr>
      <w:r>
        <w:t>Settings provides a resizable, scrollable interface for export reminders, classification mode, tile dimensions, resize backend, task-specific colour references and layout reset. Changes apply to the main panel and new-run defaults without rewriting stored analyses. The Square action copies tile width to height, while the resize guide explains backend choices.</w:t>
      </w:r>
    </w:p>
    <w:p>
      <w:pPr>
        <w:jc w:val="both"/>
      </w:pPr>
      <w:r>
        <w:t>Guide &amp; Support presents structured workflow guidance and reading-aware navigation. System Information displays runtime and dependency details that can be copied for support; About identifies version 1.0 and contact information.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Inner scroll areas may shrink vertically while Run, Cancel and Re-run retain usable space; their preferred content heights must not stretch the entire three-panel splitter beyond its viewport.</w:t>
      </w:r>
    </w:p>
    <w:p>
      <w:pPr>
        <w:jc w:val="both"/>
      </w:pPr>
      <w:r>
        <w:t>Automated checks address small logical screens, repeated narrow/wide transitions and Qt scale-factor simulation. The complete Windows suite at revision 3a935ef passed its maximise/restore, saved-geometry, comparison/grid, large-font input and compact-viewport cases. These programmatic cases support layout behaviour on the recorded runtime. Appendix D defines the separate native real-image manual tasks.</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Selecting a model includes compatibility validation. Tiled analysis is an explicit classification variant. Restore saved result and Re-run recorded analysis are separate use cases because only rerun performs inference and creates a new record; Search/filter locates records without executing either operation. Figure 3.3 maps these actions and their scope.</w:t>
      </w:r>
    </w:p>
    <w:p>
      <w:pPr>
        <w:keepNext/>
        <w:spacing w:before="140"/>
        <w:jc w:val="center"/>
      </w:pPr>
      <w:r>
        <w:drawing>
          <wp:inline xmlns:a="http://schemas.openxmlformats.org/drawingml/2006/main" xmlns:pic="http://schemas.openxmlformats.org/drawingml/2006/picture">
            <wp:extent cx="5623560" cy="7157258"/>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623560" cy="7157258"/>
                    </a:xfrm>
                    <a:prstGeom prst="rect"/>
                  </pic:spPr>
                </pic:pic>
              </a:graphicData>
            </a:graphic>
          </wp:inline>
        </w:drawing>
      </w:r>
    </w:p>
    <w:p>
      <w:bookmarkStart w:id="68" w:name="cap_Figure_3_3"/>
      <w:pPr>
        <w:pStyle w:val="FigureCaption"/>
        <w:keepNext w:val="0"/>
        <w:keepLines/>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run after image, task and model selection. MainWindow snapshots the current preferences for ordinary Run or the selected record for Re-run, then starts the worker. Signals deliver progress and a completed result. The coordinator saves completed artifacts and inserts a record only after successful persistence. Figure 3.4 uses guarded alternative fragments for cancellation, pipeline error and persistence failure; these exits are distinct from completed history.</w:t>
      </w:r>
    </w:p>
    <w:p>
      <w:pPr>
        <w:keepNext/>
        <w:spacing w:before="140"/>
        <w:jc w:val="center"/>
      </w:pPr>
      <w:r>
        <w:drawing>
          <wp:inline xmlns:a="http://schemas.openxmlformats.org/drawingml/2006/main" xmlns:pic="http://schemas.openxmlformats.org/drawingml/2006/picture">
            <wp:extent cx="5623560" cy="608366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623560" cy="6083669"/>
                    </a:xfrm>
                    <a:prstGeom prst="rect"/>
                  </pic:spPr>
                </pic:pic>
              </a:graphicData>
            </a:graphic>
          </wp:inline>
        </w:drawing>
      </w:r>
    </w:p>
    <w:p>
      <w:bookmarkStart w:id="70" w:name="cap_Figure_3_4"/>
      <w:pPr>
        <w:pStyle w:val="FigureCaption"/>
        <w:keepNext w:val="0"/>
        <w:keepLines/>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selected runtime responsibilities rather than every widget. MainWindow coordinates input, history, inference, persistence and export. InferenceEngine depends on model loading, preprocessing and output parsing. PdfExportWorker delegates report generation to ExportManager. Spatial result pages use ImageComparison and ZoomableImageView. Figure 3.5 distinguishes coordination dependencies and worker inheritance for the current implementation.</w:t>
      </w:r>
    </w:p>
    <w:p>
      <w:pPr>
        <w:keepNext/>
        <w:spacing w:before="140"/>
        <w:jc w:val="center"/>
      </w:pPr>
      <w:r>
        <w:drawing>
          <wp:inline xmlns:a="http://schemas.openxmlformats.org/drawingml/2006/main" xmlns:pic="http://schemas.openxmlformats.org/drawingml/2006/picture">
            <wp:extent cx="5623560" cy="5981423"/>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5623560" cy="5981423"/>
                    </a:xfrm>
                    <a:prstGeom prst="rect"/>
                  </pic:spPr>
                </pic:pic>
              </a:graphicData>
            </a:graphic>
          </wp:inline>
        </w:drawing>
      </w:r>
    </w:p>
    <w:p>
      <w:pPr>
        <w:pStyle w:val="FigureCaption"/>
        <w:keepNext w:val="0"/>
        <w:keepLines/>
      </w:pPr>
      <w:bookmarkStart w:id="72" w:name="cap_Figure_3_5"/>
      <w:r>
        <w:t>Figure 3.5. Implementation-level class diagram. Relationships show selected coordination dependencies and worker inheritance. Source: author, based on the implemented application.</w:t>
      </w:r>
      <w:bookmarkEnd w:id="72"/>
    </w:p>
    <w:p>
      <w:bookmarkStart w:id="73" w:name="head_60"/>
      <w:pPr>
        <w:pStyle w:val="Heading3"/>
      </w:pPr>
      <w:r>
        <w:t>3.5.4 Activity Diagram</w:t>
      </w:r>
      <w:bookmarkEnd w:id="73"/>
    </w:p>
    <w:p>
      <w:pPr>
        <w:jc w:val="both"/>
      </w:pPr>
      <w:r>
        <w:t>The activity diagram distinguishes current-preference Run from recorded-parameter Re-run before selecting the task/mode pathway. Classification crops and segmentation processing regions retain independent geometry. Cancellation is checked at safe points before/after model work and between processing regions. Figure 3.6 labels the decisions and success/error exits; a request does not forcibly interrupt a running forward operation.</w:t>
      </w:r>
    </w:p>
    <w:p>
      <w:pPr>
        <w:keepNext/>
        <w:spacing w:before="140"/>
        <w:jc w:val="center"/>
      </w:pPr>
      <w:r>
        <w:drawing>
          <wp:inline xmlns:a="http://schemas.openxmlformats.org/drawingml/2006/main" xmlns:pic="http://schemas.openxmlformats.org/drawingml/2006/picture">
            <wp:extent cx="5623560" cy="7055012"/>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623560" cy="7055012"/>
                    </a:xfrm>
                    <a:prstGeom prst="rect"/>
                  </pic:spPr>
                </pic:pic>
              </a:graphicData>
            </a:graphic>
          </wp:inline>
        </w:drawing>
      </w:r>
    </w:p>
    <w:p>
      <w:bookmarkStart w:id="74" w:name="cap_Figure_3_6"/>
      <w:pPr>
        <w:pStyle w:val="FigureCaption"/>
        <w:keepNext w:val="0"/>
        <w:keepLines/>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r>
        <w:t>Default application settings and application-data directories are isolated per test. On Windows, the organisation/application QSettings constructor normally reads the Registry; the test fixture redirects that constructor to a per-test INI store while preserving explicit file-based settings. Separate cases verify fresh defaults and persistence between instances in the same store. This prevents a saved Tiled analysis choice or maximised window from becoming an unintended precondition of unrelated tests. Production preference storage is unchanged.</w:t>
      </w:r>
    </w:p>
    <w:p>
      <w:pPr>
        <w:jc w:val="both"/>
      </w:pPr>
      <w:r>
        <w:t>The 27 October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A formal case receives a Pass status only when its expected outcome has a completed manual execution record. Section 4.3.3 separates these records from the completed native Windows automated suite.</w:t>
      </w:r>
    </w:p>
    <w:p>
      <w:bookmarkStart w:id="79" w:name="head_65"/>
      <w:pPr>
        <w:pStyle w:val="Heading3"/>
      </w:pPr>
      <w:r>
        <w:t>3.6.4 User Acceptance Testing (UAT)</w:t>
      </w:r>
      <w:bookmarkEnd w:id="79"/>
    </w:p>
    <w:p>
      <w:pPr>
        <w:jc w:val="both"/>
      </w:pPr>
      <w:r>
        <w:t>The planned pilot targets approximately 8–10 intended educational/research users, subject to recruitment, consent and institutional requirements. Purposive/convenience recruitment should include varied programming and pathology experience. Protocol revision 1.0 in Appendix B fixes material identifiers, task geometry, assistance categories and stop rules before the first participant; selecting and authorising the actual material pack remains a prerequisite. This is a formative usability study, not a representative clinical sample.</w:t>
      </w:r>
    </w:p>
    <w:p>
      <w:pPr>
        <w:jc w:val="both"/>
      </w:pPr>
      <w:r>
        <w:t>Participants receive the same five-minute orientation and the approved material pack, then attempt the ten tasks in Table B.1. P01 is an authorised native 224 × 224 classification patch; P02 is an authorised 1024 × 768 raster crop prepared consistently from its source; S01 is a saved real-model segmentation record. R01 is a prepared P02 classification record using 256 × 256 source tiles and Pillow bilinear. Those dimensions standardise the interaction task and are not a validated training-scale recommendation. T07 explicitly contrasts Re-run of R01 with ordinary Run after changing current dimensions to 512 × 512. Actual filenames, checksums, permissions and the tested commit must be entered in the supplied material register before testing.</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Four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supports predictive claims; no amount of GUI testing replaces it.</w:t>
      </w:r>
    </w:p>
    <w:p>
      <w:pPr>
        <w:jc w:val="both"/>
      </w:pPr>
      <w:r>
        <w:t>On 27 October 2026, revision 3a935ef completed the full native Windows Qt suite: 508 passed, 0 failed, 0 errors and 0 skipped, with 16 warnings in 268.74 seconds (exit 0). Table 4.3 presents this current-source result. Appendix C retains earlier Windows invocations with their original dates and versions; they are not added to the current total.</w:t>
      </w:r>
    </w:p>
    <w:p>
      <w:bookmarkStart w:id="81" w:name="head_67"/>
      <w:pPr>
        <w:pStyle w:val="Heading3"/>
      </w:pPr>
      <w:r>
        <w:t>3.6.6 Requirements Traceability Matrix</w:t>
      </w:r>
      <w:bookmarkEnd w:id="81"/>
    </w:p>
    <w:p>
      <w:pPr>
        <w:jc w:val="both"/>
      </w:pPr>
      <w:r>
        <w:t>Table 3.6 connects objectives and requirements to source modules and named tests. Its statuses distinguish the completed native Windows automated checks, recorded classifier evaluation, outstanding manual acceptance, UAT and further model studies.</w:t>
      </w:r>
    </w:p>
    <w:p>
      <w:bookmarkStart w:id="82" w:name="cap_Table_3_6"/>
      <w:pPr>
        <w:pStyle w:val="TableCaption"/>
      </w:pPr>
      <w:r>
        <w:t>Table 3.6. Requirements traceability matrix</w:t>
      </w:r>
      <w:bookmarkEnd w:id="82"/>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1531"/>
        <w:gridCol w:w="1814"/>
        <w:gridCol w:w="2891"/>
        <w:gridCol w:w="2789"/>
      </w:tblGrid>
      <w:tr>
        <w:trPr>
          <w:cantSplit/>
          <w:tblHeader/>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Requirement / objective</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Implementation</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Principal executable evidence</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Status and boundary</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F01 / O3</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InferencePanel; image opening in InferenceEngine</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test_inference_panel.py; test_inference_engine.py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full-suite image-loading and input-error cases passed; representative real-image manual tasks pending.</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F02 / O2</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ModelLoader; ModelValidationThread</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test_model_loader.py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loader/probe and genuine built-in-path cases passed. Probes establish structural compatibility, not predictive accuracy.</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F03 / O3</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Preprocessor; OutputParser</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test_preprocessor.py; test_output_parser.py; test_inference_engine.py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software cases passed; default-Pillow patch accuracy 90.68%, macro-F1 88.59% on native 224 × 224 inputs (Section 4.2.6).</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F04–F05 / O3–O4</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ClassificationTileSpec; predict_classification_tiles</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test_classification_tiles.py; test_classification_modes_display.py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crop, mode, legend and actual-area fixture cases passed; tiled-map predictive evaluation pending.</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F06 / O3–O4</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large_image_segmentation; SegmentationResult</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test_large_image_segmentation.py; test_segmentation_results_layout.py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automated segmentation cases passed. Figure 4.4 and the supplied report add actual-image output/coverage observations; ground-truth evaluation and formal manual acceptance remain pending.</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F07 / O4</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ImageComparison; ZoomableImageView</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test_linked_image_comparison.py; test_screen_fit_and_tile_grid.py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coordinate, linked-view, Fit/zoom/grid and compact-viewport cases passed; formal real-image manual acceptance pending.</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F08 / O6</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DatabaseManager; MainWindow artifact saving</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test_database_manager.py; test_main_window_inference.py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persistence and artifact cases passed with temporary test records; real-image manual workflow evidence pending.</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F09 / O7</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HistoryPanel search/local-date queries</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test_history_panel.py; test_result_controls_and_calendar.py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query, calendar and history-interaction cases passed; user task outcomes await UAT.</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F10–F11 / O7</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Stored restoration and recorded rerun</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test_main_window_rerun.py; test_classification_modes_display.py; test_tile_preferences_lifetime.py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automated restore and recorded-rerun cases passed. Follow-up actual captures show completed record #83 retaining recorded crop/input/backend parameters while the current-run setting remains independent. Source-stamped formal manual acceptance and user-efficiency assessment remain separate.</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F12 / O5</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ExportManager and export coordinator</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test_export_manager.py; test_main_window_export.py; test_background_pdf_export.py; test_pdf_report_layout.py; test_pdf_image_quality.py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automated export cases passed. Figure 4.6 and the actual two-page PDF/JSON provide real export evidence; the listed PNG itself was not supplied.</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F13 / O1</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Cooperative cancel and close lifecycle</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test_cancellation_and_model_defaults.py; test_worker_lifetime.py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automated cancellation/lifecycle cases passed. Figure 4.9 shows a real operation and acknowledged cancellation with the prior displayed result retained; transient Cancelling and full manual protocol evidence are incomplete.</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F14–F15 / O1–O3</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ModelSettingsPage; SettingsDialog; QSettings</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test_cancellation_and_model_defaults.py; test_preferences_interaction.py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defaults, validation, preferences and history-isolation cases passed.</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F16 / O6–O7</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Confirmed record/artifact deletion</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test_main_window_delete.py; test_database_manager.py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app-owned artifact cleanup and source-preservation cases passed.</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F17 / O1, O6–O7</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MainWindow; InferencePanel; HistoryPanel</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test_clear_view_and_history_sync.py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Passed in the current Windows suite: clear view, zero-selection, synchronised history thumbnail and source/history preservation. Manual tasks and UAT are separate.</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N01, N04 / O1, O4</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Worker signals; logical screen bounds; scroll layouts</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test_window_lifecycle_and_theme.py; test_settings_polish_and_resize.py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window-state, restore, small-viewport and layout cases passed; multi-monitor/assistive-technology manual acceptance pending.</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N02, N06 / O2, O6–O7</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Metadata validation and explicit errors</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test_main_window_rerun.py; test_cancellation_and_model_defaults.py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missing-file/error handling and recorded-parameter cases passed; immutable provenance is not implemented.</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N03 / O1</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Local filesystem/SQLite; no inference service</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Source inspection of core/data and utils/paths.py</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Local execution established by design and recorded source startup; security audit not performed.</w:t>
            </w:r>
          </w:p>
        </w:tc>
      </w:tr>
      <w:tr>
        <w:trPr>
          <w:cantSplit/>
        </w:trPr>
        <w:tc>
          <w:tcPr>
            <w:tcW w:type="dxa" w:w="153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N05, N07–N08 / O1</w:t>
            </w:r>
          </w:p>
        </w:tc>
        <w:tc>
          <w:tcPr>
            <w:tcW w:type="dxa" w:w="1814"/>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Runtime/deployment/regression process</w:t>
            </w:r>
          </w:p>
        </w:tc>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pytest logs; planned benchmark/package protocol</w:t>
            </w:r>
          </w:p>
        </w:tc>
        <w:tc>
          <w:tcPr>
            <w:tcW w:type="dxa" w:w="278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full suite: 508 passed; no failures, errors or skips. Repeated inference-performance measurement and clean-machine deployment retain their separate protocols.</w:t>
            </w:r>
          </w:p>
        </w:tc>
      </w:tr>
    </w:tbl>
    <w:p>
      <w:pPr/>
      <w:r>
        <w:t>Source: the complete 27 October Windows log/XML at revision 3a935ef and the named project tests. Executable cases in this matrix were included in the 508-case invocation. Recorded classifier evaluation, source-inspection findings, manual tasks and UAT have their own evidence scope.</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Risk</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Consequence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Existing control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Remaining action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R1: model/preprocessing mismatch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Structurally valid but wrong input semantics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Metadata checks, explicit profiles/backends and ordered labels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Confirm physical scale, resampling beyond native-sized patches and dataset grouping; retain the selected checkpoint checksum.</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R2: missing weights/cache/package dependencies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Default model cannot run offline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Clear errors; local-only UPerNet configuration request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Verify segmentation resources and permitted caches in a clean Windows package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R3: class-map/coverage misunderstanding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Tile estimates mistaken for pixel boundaries or diagnosis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Separate modes, palettes, legends and area labels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UAT interpretation task and confirmation of the uploaded image’s physical scale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R4: CPU/resource limits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Long runs or unresponsive experience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Worker execution, progress, cooperative cancel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Fixed-workload time/RAM benchmark and memory-boundary study</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R5: window/DPI regressions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Hidden actions, clipped text or misaligned views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Logical-coordinate bounds, scroll areas, repeated resize tests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Native Windows docking/multi-monitor verification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R6: history/artifact loss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Incomplete restore or rerun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Transactions, file checks and app-owned deletion bounds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Backup/recovery policy and stronger artifact transaction design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R7: mutable paths/dependency drift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Rerun differs from the original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task/model path/parameters and revision logs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Per-run hashes, environment manifests and migration/version policy</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R8: malicious or untrusted model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Code execution during deserialisation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Trusted-source workflow; weights-only load attempt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Signed/checksummed releases and restricted supported formats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R9: limited UAT recruitment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Uncertain usability/generalisation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Prepared protocol, questionnaire and task logs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Recruit intended users and report actual sample limitations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R10: overstatement of evidence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Unsupported accuracy or clinical claims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Separate software, model, platform and user evidence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 UAT, formal real-image Windows acceptance and segmentation evaluation; retain each executed result with its environment and source state.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combines controlled software tests completed on native Windows, the classification training/test records and source-startup observations; UAT and formal manual acceptance follow separate protocols. Chapter 4 presents these results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the implemented system and the evaluated source state identified in Appendix C. Section 4.2 presents implemented workflows and a distinct classifier evaluation; Section 4.3 reports software tests and native observations; Section 4.4 reserves the UAT results. Environment and date labels identify each completed or interrupted invocation.</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startup record on 19 October 2026 establishes classifier loading and validation. Figure 4.1 now supplies a direct Windows application capture with an actual Single image result, showing the input, probability chart and export/session regions. Its displayed record #52 identifies a NORM-labelled 224 × 224 input and 99.9% model confidence. This is an observed prediction, not an additional accuracy experiment.</w:t>
      </w:r>
    </w:p>
    <w:p>
      <w:pPr/>
      <w:r>
        <w:t>Current-version additions comprise numbered tile inspection and original-crop preview, Square and resize guidance, Clear view and zero-row history selection, synchronised history input previews, stable linked navigation, clearer built-in/local model state, task-specific progress, background PDF generation and selectable report image quality. Ordinary Run now reads current preferences independently of restored or rerun records. Their execution-evidence scope is defined in Section 4.3.1.</w:t>
      </w:r>
    </w:p>
    <w:p>
      <w:pPr>
        <w:keepNext/>
        <w:spacing w:before="0" w:after="0" w:line="240" w:lineRule="auto"/>
        <w:ind w:firstLine="0"/>
        <w:jc w:val="center"/>
      </w:pPr>
      <w:r>
        <w:drawing>
          <wp:inline xmlns:a="http://schemas.openxmlformats.org/drawingml/2006/main" xmlns:pic="http://schemas.openxmlformats.org/drawingml/2006/picture">
            <wp:extent cx="5623560" cy="3332398"/>
            <wp:docPr id="16" name="Picture 16" descr="Author-provided screenshot; original pixels retained. F4.1.png"/>
            <wp:cNvGraphicFramePr>
              <a:graphicFrameLocks noChangeAspect="1"/>
            </wp:cNvGraphicFramePr>
            <a:graphic>
              <a:graphicData uri="http://schemas.openxmlformats.org/drawingml/2006/picture">
                <pic:pic>
                  <pic:nvPicPr>
                    <pic:cNvPr id="0" name="F4.1.png"/>
                    <pic:cNvPicPr/>
                  </pic:nvPicPr>
                  <pic:blipFill>
                    <a:blip r:embed="rId60"/>
                    <a:stretch>
                      <a:fillRect/>
                    </a:stretch>
                  </pic:blipFill>
                  <pic:spPr>
                    <a:xfrm>
                      <a:off x="0" y="0"/>
                      <a:ext cx="5623560" cy="3332398"/>
                    </a:xfrm>
                    <a:prstGeom prst="rect"/>
                  </pic:spPr>
                </pic:pic>
              </a:graphicData>
            </a:graphic>
          </wp:inline>
        </w:drawing>
      </w:r>
    </w:p>
    <w:p>
      <w:pPr>
        <w:pStyle w:val="FigureCaption"/>
        <w:keepNext w:val="0"/>
        <w:keepLines/>
      </w:pPr>
      <w:bookmarkStart w:id="90" w:name="cap_Figure_4_1"/>
      <w:r>
        <w:t>Figure 4.1. Windows application overview with Single image classification, probability chart and session/export panels. The displayed analysis is record #52. Source: author’s Windows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r>
        <w:t>In the current viewer, optional tile numbers identify the same one-based entry in the image, detail table and original-crop preview. The input summary displays the current Run dimensions and planned grid. Restoring an older result preserves its recorded geometry in the result panel while leaving current new-run preferences intact.</w:t>
      </w:r>
    </w:p>
    <w:p>
      <w:pPr>
        <w:jc w:val="both"/>
      </w:pPr>
      <w:r>
        <w:t>Figure 4.2 is a retained earlier Qt result-view capture using a deterministic synthetic fixture. It illustrates the grid, paired views and statistics placement. The fixture contains 49 tiles with 47 STR, one NORM and one MUC assignments. These are prescribed test data, not predictions on the coloured source pattern. Figure 4.3 provides separate actual-image Windows observations, including tile numbers and original-crop inspection.</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pPr>
        <w:pStyle w:val="FigureCaption"/>
      </w:pPr>
      <w:bookmarkStart w:id="92" w:name="cap_Figure_4_2"/>
      <w:r>
        <w:t>Figure 4.2. Tiled classification interface with source/result comparison and revised result toggles. Source: author’s Qt-simulated development capture; synthetic fixture, not a model result.</w:t>
      </w:r>
      <w:bookmarkEnd w:id="92"/>
    </w:p>
    <w:p>
      <w:pPr/>
      <w:r>
        <w:t>Figure 4.3(a–b) shows Single image and Tiled analysis for the same named 3552 × 3536 raster. The Single image result selects STR with 42.6% confidence. The tiled view reports 40 STR, five MUC, one MUS and three NORM tiles, with estimated area coverage 82.06%, 9.98%, 1.89% and 6.07%, respectively. Its 512-pixel source crops use RGB/raw255 and OpenCV linear resize to 224 × 224. Panel (c), from a separate analysis, identifies tile 31 as NORM at 59.47%, with rectangle [1024, 2048, 1536, 2560]. These observations demonstrate presentation and crop inspection; they do not supply ground-truth tile accuracy.</w:t>
      </w:r>
    </w:p>
    <w:p>
      <w:pPr>
        <w:pStyle w:val="Caption"/>
        <w:keepNext/>
        <w:spacing w:before="60" w:after="40" w:line="240" w:lineRule="auto"/>
      </w:pPr>
      <w:r>
        <w:t>(a) Single image classification</w:t>
      </w:r>
    </w:p>
    <w:p>
      <w:pPr>
        <w:keepNext/>
        <w:spacing w:before="0" w:after="0" w:line="240" w:lineRule="auto"/>
        <w:ind w:firstLine="0"/>
        <w:jc w:val="center"/>
      </w:pPr>
      <w:r>
        <w:drawing>
          <wp:inline xmlns:a="http://schemas.openxmlformats.org/drawingml/2006/main" xmlns:pic="http://schemas.openxmlformats.org/drawingml/2006/picture">
            <wp:extent cx="5257800" cy="3115657"/>
            <wp:docPr id="17" name="Picture 17" descr="Author-provided screenshot; original pixels retained. F4.3(a).png"/>
            <wp:cNvGraphicFramePr>
              <a:graphicFrameLocks noChangeAspect="1"/>
            </wp:cNvGraphicFramePr>
            <a:graphic>
              <a:graphicData uri="http://schemas.openxmlformats.org/drawingml/2006/picture">
                <pic:pic>
                  <pic:nvPicPr>
                    <pic:cNvPr id="0" name="F4.3(a).png"/>
                    <pic:cNvPicPr/>
                  </pic:nvPicPr>
                  <pic:blipFill>
                    <a:blip r:embed="rId61"/>
                    <a:stretch>
                      <a:fillRect/>
                    </a:stretch>
                  </pic:blipFill>
                  <pic:spPr>
                    <a:xfrm>
                      <a:off x="0" y="0"/>
                      <a:ext cx="5257800" cy="3115657"/>
                    </a:xfrm>
                    <a:prstGeom prst="rect"/>
                  </pic:spPr>
                </pic:pic>
              </a:graphicData>
            </a:graphic>
          </wp:inline>
        </w:drawing>
      </w:r>
    </w:p>
    <w:p>
      <w:pPr>
        <w:pStyle w:val="Caption"/>
        <w:keepNext/>
        <w:spacing w:before="60" w:after="40" w:line="240" w:lineRule="auto"/>
      </w:pPr>
      <w:r>
        <w:t>(b) Numbered tiled classification and estimated coverage</w:t>
      </w:r>
    </w:p>
    <w:p>
      <w:pPr>
        <w:keepNext/>
        <w:spacing w:before="0" w:after="0" w:line="240" w:lineRule="auto"/>
        <w:ind w:firstLine="0"/>
        <w:jc w:val="center"/>
      </w:pPr>
      <w:r>
        <w:drawing>
          <wp:inline xmlns:a="http://schemas.openxmlformats.org/drawingml/2006/main" xmlns:pic="http://schemas.openxmlformats.org/drawingml/2006/picture">
            <wp:extent cx="5257800" cy="3115657"/>
            <wp:docPr id="18" name="Picture 18" descr="Author-provided screenshot; original pixels retained. F4.3(b).png"/>
            <wp:cNvGraphicFramePr>
              <a:graphicFrameLocks noChangeAspect="1"/>
            </wp:cNvGraphicFramePr>
            <a:graphic>
              <a:graphicData uri="http://schemas.openxmlformats.org/drawingml/2006/picture">
                <pic:pic>
                  <pic:nvPicPr>
                    <pic:cNvPr id="0" name="F4.3(b).png"/>
                    <pic:cNvPicPr/>
                  </pic:nvPicPr>
                  <pic:blipFill>
                    <a:blip r:embed="rId62"/>
                    <a:stretch>
                      <a:fillRect/>
                    </a:stretch>
                  </pic:blipFill>
                  <pic:spPr>
                    <a:xfrm>
                      <a:off x="0" y="0"/>
                      <a:ext cx="5257800" cy="3115657"/>
                    </a:xfrm>
                    <a:prstGeom prst="rect"/>
                  </pic:spPr>
                </pic:pic>
              </a:graphicData>
            </a:graphic>
          </wp:inline>
        </w:drawing>
      </w:r>
    </w:p>
    <w:p>
      <w:pPr>
        <w:pStyle w:val="Caption"/>
        <w:keepNext/>
        <w:spacing w:before="60" w:after="40" w:line="240" w:lineRule="auto"/>
      </w:pPr>
      <w:r>
        <w:t>(c) Original-crop inspection from a separate recorded analysis</w:t>
      </w:r>
    </w:p>
    <w:p>
      <w:pPr>
        <w:keepNext/>
        <w:spacing w:before="0" w:after="0" w:line="240" w:lineRule="auto"/>
        <w:ind w:firstLine="0"/>
        <w:jc w:val="center"/>
      </w:pPr>
      <w:r>
        <w:drawing>
          <wp:inline xmlns:a="http://schemas.openxmlformats.org/drawingml/2006/main" xmlns:pic="http://schemas.openxmlformats.org/drawingml/2006/picture">
            <wp:extent cx="5257800" cy="727142"/>
            <wp:docPr id="19" name="Picture 19" descr="Author-provided screenshot; original pixels retained. F4.3(c).png"/>
            <wp:cNvGraphicFramePr>
              <a:graphicFrameLocks noChangeAspect="1"/>
            </wp:cNvGraphicFramePr>
            <a:graphic>
              <a:graphicData uri="http://schemas.openxmlformats.org/drawingml/2006/picture">
                <pic:pic>
                  <pic:nvPicPr>
                    <pic:cNvPr id="0" name="F4.3(c).png"/>
                    <pic:cNvPicPr/>
                  </pic:nvPicPr>
                  <pic:blipFill>
                    <a:blip r:embed="rId63"/>
                    <a:srcRect l="23438" t="56691" r="21484" b="30455"/>
                    <a:stretch>
                      <a:fillRect/>
                    </a:stretch>
                  </pic:blipFill>
                  <pic:spPr>
                    <a:xfrm>
                      <a:off x="0" y="0"/>
                      <a:ext cx="5257800" cy="727142"/>
                    </a:xfrm>
                    <a:prstGeom prst="rect"/>
                  </pic:spPr>
                </pic:pic>
              </a:graphicData>
            </a:graphic>
          </wp:inline>
        </w:drawing>
      </w:r>
    </w:p>
    <w:p>
      <w:pPr>
        <w:pStyle w:val="FigureCaption"/>
        <w:keepNext w:val="0"/>
        <w:keepLines/>
      </w:pPr>
      <w:bookmarkStart w:id="93" w:name="cap_Figure_4_3"/>
      <w:r>
        <w:t>Figure 4.3. Windows classification on crop.jpg_original.png: (a) Single image; (b) 49 numbered 512 × 512 source tiles; (c) crop inspection from the separately recorded analysis #48. The application uses raw255 and OpenCV linear resize to 224 × 224. Source: author’s Windows captures.</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 fusion. Figure 4.4 now shows a direct Windows run with the supervisor-provided UPerNet model, aligned source/overlay views and nine-class pixel coverage. The supplied segmentation analysis metadata records imagenet preprocessing, a 1000-pixel source window, stride 512 and network input 224 on CPU. The actual PDF and JSON counts sum to 12,559,872 pixels, equal to 3552 × 3536. The export and screen concern different analysis records; their matching counts are not independent accuracy measurements. Annotated-mask evaluation remains unavailable (Section 4.5.3).</w:t>
      </w:r>
    </w:p>
    <w:p>
      <w:pPr>
        <w:keepNext/>
        <w:spacing w:before="0" w:after="0" w:line="240" w:lineRule="auto"/>
        <w:ind w:firstLine="0"/>
        <w:jc w:val="center"/>
      </w:pPr>
      <w:r>
        <w:drawing>
          <wp:inline xmlns:a="http://schemas.openxmlformats.org/drawingml/2006/main" xmlns:pic="http://schemas.openxmlformats.org/drawingml/2006/picture">
            <wp:extent cx="5623560" cy="3332398"/>
            <wp:docPr id="20" name="Picture 20" descr="Author-provided screenshot; original pixels retained. F4.4.png"/>
            <wp:cNvGraphicFramePr>
              <a:graphicFrameLocks noChangeAspect="1"/>
            </wp:cNvGraphicFramePr>
            <a:graphic>
              <a:graphicData uri="http://schemas.openxmlformats.org/drawingml/2006/picture">
                <pic:pic>
                  <pic:nvPicPr>
                    <pic:cNvPr id="0" name="F4.4.png"/>
                    <pic:cNvPicPr/>
                  </pic:nvPicPr>
                  <pic:blipFill>
                    <a:blip r:embed="rId64"/>
                    <a:stretch>
                      <a:fillRect/>
                    </a:stretch>
                  </pic:blipFill>
                  <pic:spPr>
                    <a:xfrm>
                      <a:off x="0" y="0"/>
                      <a:ext cx="5623560" cy="3332398"/>
                    </a:xfrm>
                    <a:prstGeom prst="rect"/>
                  </pic:spPr>
                </pic:pic>
              </a:graphicData>
            </a:graphic>
          </wp:inline>
        </w:drawing>
      </w:r>
    </w:p>
    <w:p>
      <w:pPr>
        <w:pStyle w:val="FigureCaption"/>
        <w:keepNext w:val="0"/>
        <w:keepLines/>
      </w:pPr>
      <w:bookmarkStart w:id="95" w:name="cap_Figure_4_4"/>
      <w:r>
        <w:t>Figure 4.4. Original/segmentation-overlay comparison for a 3552 × 3536 image, with linked Fit views at 15.7%, opacity 30% and all nine pixel-coverage classes. The displayed analysis is record #49 using the supervisor-provided UPerNet model. Source: author’s Windows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 Figure 4.5 reserves the Windows history and recorded-rerun demonstration.</w:t>
      </w:r>
    </w:p>
    <w:p>
      <w:pPr>
        <w:jc w:val="both"/>
      </w:pPr>
      <w:r>
        <w:t>Figure 4.5 documents parameter isolation on Windows. History contains both classification modes. The author identifies the follow-up operation as a recorded Re-run: its completed record #83 displays 512 × 512 source tiles and 49 tiles, while the current input summary remains at 256 × 256 and 196 planned tiles. The second capture confirms 224 × 224 network input, raw255 and OpenCV linear resize. The Done indicator, restored Run Inference button and new session record distinguish this pair from the earlier busy 49/49 capture. The separate ordinary Run #77 uses the current 256-pixel setting. Figure 4.6 shows the actual report and companion-file listing.</w:t>
      </w:r>
    </w:p>
    <w:p>
      <w:pPr/>
      <w:r>
        <w:t>The current export implementation adds a background worker, cancellation and atomic replacement of completed PDF files. Standard and Original resolution settings distinguish sharing copies from full-pixel inspection. A controlled 2100 × 1500 synthetic texture/label fixture produced a classification report of 652,957 bytes in Standard versus 18,668,531 bytes at Original resolution, and a segmentation report of 652,071 versus 18,747,945 bytes. These measurements describe synthetic export fixtures, not model accuracy, a native Windows benchmark or a guaranteed Google Drive preview limit.</w:t>
      </w:r>
    </w:p>
    <w:p>
      <w:pPr/>
      <w:r>
        <w:t>The supplied two-page PDF is 875,021 bytes and identifies Standard quality, software version 1.0, CPU execution, source dimensions and segmentation parameters. It records an analysis timestamp of 25 October 2026 and an export timestamp of 30 October 2026. Its export-time model hash matches the genuine UPerNet resource identity in Appendix E, while the report explicitly states that an export-time hash does not establish the historical inference file. The companion JSON agrees with the PDF’s nine pixel counts. The file listing also shows a PNG, whose source file was not uploaded.</w:t>
      </w:r>
    </w:p>
    <w:p>
      <w:pPr>
        <w:pStyle w:val="Caption"/>
        <w:keepNext/>
        <w:spacing w:before="60" w:after="40" w:line="240" w:lineRule="auto"/>
      </w:pPr>
      <w:r>
        <w:t>(a) History contains both Single image and Tiled analysis</w:t>
      </w:r>
    </w:p>
    <w:p>
      <w:pPr>
        <w:keepNext/>
        <w:spacing w:before="0" w:after="0" w:line="240" w:lineRule="auto"/>
        <w:ind w:firstLine="0"/>
        <w:jc w:val="center"/>
      </w:pPr>
      <w:r>
        <w:drawing>
          <wp:inline xmlns:a="http://schemas.openxmlformats.org/drawingml/2006/main" xmlns:pic="http://schemas.openxmlformats.org/drawingml/2006/picture">
            <wp:extent cx="4846320" cy="1448722"/>
            <wp:docPr id="21" name="Picture 21" descr="Author-provided screenshot; original pixels retained. F4.5(a).png"/>
            <wp:cNvGraphicFramePr>
              <a:graphicFrameLocks noChangeAspect="1"/>
            </wp:cNvGraphicFramePr>
            <a:graphic>
              <a:graphicData uri="http://schemas.openxmlformats.org/drawingml/2006/picture">
                <pic:pic>
                  <pic:nvPicPr>
                    <pic:cNvPr id="0" name="F4.5(a).png"/>
                    <pic:cNvPicPr/>
                  </pic:nvPicPr>
                  <pic:blipFill>
                    <a:blip r:embed="rId65"/>
                    <a:srcRect l="23828" t="25049" r="21289" b="47264"/>
                    <a:stretch>
                      <a:fillRect/>
                    </a:stretch>
                  </pic:blipFill>
                  <pic:spPr>
                    <a:xfrm>
                      <a:off x="0" y="0"/>
                      <a:ext cx="4846320" cy="1448722"/>
                    </a:xfrm>
                    <a:prstGeom prst="rect"/>
                  </pic:spPr>
                </pic:pic>
              </a:graphicData>
            </a:graphic>
          </wp:inline>
        </w:drawing>
      </w:r>
    </w:p>
    <w:p>
      <w:pPr>
        <w:pStyle w:val="Caption"/>
        <w:keepNext/>
        <w:spacing w:before="60" w:after="40" w:line="240" w:lineRule="auto"/>
      </w:pPr>
      <w:r>
        <w:t>(b) Completed Re-run #83; parameter strip from the second capture</w:t>
      </w:r>
    </w:p>
    <w:p>
      <w:pPr>
        <w:keepNext/>
        <w:spacing w:before="0" w:after="0" w:line="240" w:lineRule="auto"/>
        <w:ind w:firstLine="0"/>
        <w:jc w:val="center"/>
      </w:pPr>
      <w:r>
        <w:drawing>
          <wp:inline xmlns:a="http://schemas.openxmlformats.org/drawingml/2006/main" xmlns:pic="http://schemas.openxmlformats.org/drawingml/2006/picture">
            <wp:extent cx="4846320" cy="2871823"/>
            <wp:docPr id="22" name="Picture 22" descr="Author-provided completed Re-run screenshot; original pixels retained. F4_5_Rerun_completed_83.png"/>
            <wp:cNvGraphicFramePr>
              <a:graphicFrameLocks noChangeAspect="1"/>
            </wp:cNvGraphicFramePr>
            <a:graphic>
              <a:graphicData uri="http://schemas.openxmlformats.org/drawingml/2006/picture">
                <pic:pic>
                  <pic:nvPicPr>
                    <pic:cNvPr id="0" name="4.5(b).png"/>
                    <pic:cNvPicPr/>
                  </pic:nvPicPr>
                  <pic:blipFill>
                    <a:blip r:embed="rId66"/>
                    <a:stretch>
                      <a:fillRect/>
                    </a:stretch>
                  </pic:blipFill>
                  <pic:spPr>
                    <a:xfrm>
                      <a:off x="0" y="0"/>
                      <a:ext cx="4846320" cy="2871823"/>
                    </a:xfrm>
                    <a:prstGeom prst="rect"/>
                  </pic:spPr>
                </pic:pic>
              </a:graphicData>
            </a:graphic>
          </wp:inline>
        </w:drawing>
      </w:r>
    </w:p>
    <w:p>
      <w:pPr>
        <w:keepNext/>
        <w:spacing w:before="0" w:after="0" w:line="240" w:lineRule="auto"/>
        <w:ind w:firstLine="0"/>
        <w:jc w:val="center"/>
      </w:pPr>
      <w:r>
        <w:drawing>
          <wp:inline xmlns:a="http://schemas.openxmlformats.org/drawingml/2006/main" xmlns:pic="http://schemas.openxmlformats.org/drawingml/2006/picture">
            <wp:extent cx="4846320" cy="289079"/>
            <wp:docPr id="31" name="Picture 31" descr="Author-provided parameter capture for record83; native Word crop, pixels unchanged. F4_5_Rerun_parameters_83.png"/>
            <wp:cNvGraphicFramePr>
              <a:graphicFrameLocks noChangeAspect="1"/>
            </wp:cNvGraphicFramePr>
            <a:graphic>
              <a:graphicData uri="http://schemas.openxmlformats.org/drawingml/2006/picture">
                <pic:pic>
                  <pic:nvPicPr>
                    <pic:cNvPr id="0" name="F4_5_Rerun_parameters_83.png"/>
                    <pic:cNvPicPr/>
                  </pic:nvPicPr>
                  <pic:blipFill>
                    <a:blip r:embed="rId75"/>
                    <a:srcRect l="23438" t="26368" r="20898" b="68029"/>
                    <a:stretch>
                      <a:fillRect/>
                    </a:stretch>
                  </pic:blipFill>
                  <pic:spPr>
                    <a:xfrm>
                      <a:off x="0" y="0"/>
                      <a:ext cx="4846320" cy="289079"/>
                    </a:xfrm>
                    <a:prstGeom prst="rect"/>
                  </pic:spPr>
                </pic:pic>
              </a:graphicData>
            </a:graphic>
          </wp:inline>
        </w:drawing>
      </w:r>
    </w:p>
    <w:p>
      <w:pPr>
        <w:pStyle w:val="Caption"/>
        <w:keepNext/>
        <w:spacing w:before="60" w:after="40" w:line="240" w:lineRule="auto"/>
      </w:pPr>
      <w:r>
        <w:t>(c) Ordinary Run uses the current 256-pixel preferences</w:t>
      </w:r>
    </w:p>
    <w:p>
      <w:pPr>
        <w:keepNext/>
        <w:spacing w:before="0" w:after="0" w:line="240" w:lineRule="auto"/>
        <w:ind w:firstLine="0"/>
        <w:jc w:val="center"/>
      </w:pPr>
      <w:r>
        <w:drawing>
          <wp:inline xmlns:a="http://schemas.openxmlformats.org/drawingml/2006/main" xmlns:pic="http://schemas.openxmlformats.org/drawingml/2006/picture">
            <wp:extent cx="4846320" cy="2871823"/>
            <wp:docPr id="23" name="Picture 23" descr="Author-provided screenshot; original pixels retained. F4.5(d).png"/>
            <wp:cNvGraphicFramePr>
              <a:graphicFrameLocks noChangeAspect="1"/>
            </wp:cNvGraphicFramePr>
            <a:graphic>
              <a:graphicData uri="http://schemas.openxmlformats.org/drawingml/2006/picture">
                <pic:pic>
                  <pic:nvPicPr>
                    <pic:cNvPr id="0" name="F4.5(d).png"/>
                    <pic:cNvPicPr/>
                  </pic:nvPicPr>
                  <pic:blipFill>
                    <a:blip r:embed="rId67"/>
                    <a:stretch>
                      <a:fillRect/>
                    </a:stretch>
                  </pic:blipFill>
                  <pic:spPr>
                    <a:xfrm>
                      <a:off x="0" y="0"/>
                      <a:ext cx="4846320" cy="2871823"/>
                    </a:xfrm>
                    <a:prstGeom prst="rect"/>
                  </pic:spPr>
                </pic:pic>
              </a:graphicData>
            </a:graphic>
          </wp:inline>
        </w:drawing>
      </w:r>
    </w:p>
    <w:p>
      <w:pPr>
        <w:pStyle w:val="FigureCaption"/>
        <w:keepNext w:val="0"/>
        <w:keepLines/>
      </w:pPr>
      <w:bookmarkStart w:id="97" w:name="cap_Figure_4_5"/>
      <w:r>
        <w:t>Figure 4.5. Windows parameter isolation: (a) History modes; (b) completed Re-run #83 with recorded 512 × 512/49 tiles and its parameter strip, despite current 256 × 256/196-tile defaults; (c) separate ordinary Run #77 with 256 × 256/196 tiles. Source: author’s Windows captures.</w:t>
      </w:r>
      <w:bookmarkEnd w:id="97"/>
    </w:p>
    <w:p>
      <w:pPr>
        <w:pStyle w:val="Caption"/>
        <w:keepNext/>
        <w:spacing w:before="60" w:after="40" w:line="240" w:lineRule="auto"/>
      </w:pPr>
      <w:r>
        <w:t>(a) Opened report; (b) actual report metadata page</w:t>
      </w:r>
    </w:p>
    <w:p>
      <w:pPr>
        <w:keepNext/>
        <w:spacing w:before="0" w:after="0" w:line="240" w:lineRule="auto"/>
        <w:ind w:firstLine="0"/>
        <w:jc w:val="center"/>
      </w:pPr>
      <w:r>
        <w:drawing>
          <wp:inline xmlns:a="http://schemas.openxmlformats.org/drawingml/2006/main" xmlns:pic="http://schemas.openxmlformats.org/drawingml/2006/picture">
            <wp:extent cx="2423160" cy="3431490"/>
            <wp:docPr id="24" name="Picture 24" descr="Author-provided screenshot; original pixels retained. F4.6(a).png"/>
            <wp:cNvGraphicFramePr>
              <a:graphicFrameLocks noChangeAspect="1"/>
            </wp:cNvGraphicFramePr>
            <a:graphic>
              <a:graphicData uri="http://schemas.openxmlformats.org/drawingml/2006/picture">
                <pic:pic>
                  <pic:nvPicPr>
                    <pic:cNvPr id="0" name="F4.6(a).png"/>
                    <pic:cNvPicPr/>
                  </pic:nvPicPr>
                  <pic:blipFill>
                    <a:blip r:embed="rId68"/>
                    <a:stretch>
                      <a:fillRect/>
                    </a:stretch>
                  </pic:blipFill>
                  <pic:spPr>
                    <a:xfrm>
                      <a:off x="0" y="0"/>
                      <a:ext cx="2423160" cy="3431490"/>
                    </a:xfrm>
                    <a:prstGeom prst="rect"/>
                  </pic:spPr>
                </pic:pic>
              </a:graphicData>
            </a:graphic>
          </wp:inline>
        </w:drawing>
      </w:r>
      <w:r>
        <w:t xml:space="preserve"> </w:t>
      </w:r>
      <w:r>
        <w:drawing>
          <wp:inline xmlns:a="http://schemas.openxmlformats.org/drawingml/2006/main" xmlns:pic="http://schemas.openxmlformats.org/drawingml/2006/picture">
            <wp:extent cx="2423160" cy="3426197"/>
            <wp:docPr id="25" name="Picture 25" descr="Author-provided screenshot; original pixels retained. Report_Page2_Render.png"/>
            <wp:cNvGraphicFramePr>
              <a:graphicFrameLocks noChangeAspect="1"/>
            </wp:cNvGraphicFramePr>
            <a:graphic>
              <a:graphicData uri="http://schemas.openxmlformats.org/drawingml/2006/picture">
                <pic:pic>
                  <pic:nvPicPr>
                    <pic:cNvPr id="0" name="Report_Page2_Render.png"/>
                    <pic:cNvPicPr/>
                  </pic:nvPicPr>
                  <pic:blipFill>
                    <a:blip r:embed="rId69"/>
                    <a:stretch>
                      <a:fillRect/>
                    </a:stretch>
                  </pic:blipFill>
                  <pic:spPr>
                    <a:xfrm>
                      <a:off x="0" y="0"/>
                      <a:ext cx="2423160" cy="3426197"/>
                    </a:xfrm>
                    <a:prstGeom prst="rect"/>
                  </pic:spPr>
                </pic:pic>
              </a:graphicData>
            </a:graphic>
          </wp:inline>
        </w:drawing>
      </w:r>
    </w:p>
    <w:p>
      <w:pPr>
        <w:pStyle w:val="Caption"/>
        <w:keepNext/>
        <w:spacing w:before="60" w:after="40" w:line="240" w:lineRule="auto"/>
      </w:pPr>
      <w:r>
        <w:t>(c) Exported files listed in Windows</w:t>
      </w:r>
    </w:p>
    <w:p>
      <w:pPr>
        <w:keepNext/>
        <w:spacing w:before="0" w:after="0" w:line="240" w:lineRule="auto"/>
        <w:ind w:firstLine="0"/>
        <w:jc w:val="center"/>
      </w:pPr>
      <w:r>
        <w:drawing>
          <wp:inline xmlns:a="http://schemas.openxmlformats.org/drawingml/2006/main" xmlns:pic="http://schemas.openxmlformats.org/drawingml/2006/picture">
            <wp:extent cx="5303520" cy="835520"/>
            <wp:docPr id="26" name="Picture 26" descr="Author-provided screenshot; original pixels retained. F4.6(b).png"/>
            <wp:cNvGraphicFramePr>
              <a:graphicFrameLocks noChangeAspect="1"/>
            </wp:cNvGraphicFramePr>
            <a:graphic>
              <a:graphicData uri="http://schemas.openxmlformats.org/drawingml/2006/picture">
                <pic:pic>
                  <pic:nvPicPr>
                    <pic:cNvPr id="0" name="F4.6(b).png"/>
                    <pic:cNvPicPr/>
                  </pic:nvPicPr>
                  <pic:blipFill>
                    <a:blip r:embed="rId70"/>
                    <a:stretch>
                      <a:fillRect/>
                    </a:stretch>
                  </pic:blipFill>
                  <pic:spPr>
                    <a:xfrm>
                      <a:off x="0" y="0"/>
                      <a:ext cx="5303520" cy="835520"/>
                    </a:xfrm>
                    <a:prstGeom prst="rect"/>
                  </pic:spPr>
                </pic:pic>
              </a:graphicData>
            </a:graphic>
          </wp:inline>
        </w:drawing>
      </w:r>
    </w:p>
    <w:p>
      <w:pPr>
        <w:pStyle w:val="FigureCaption"/>
        <w:keepNext w:val="0"/>
        <w:keepLines/>
      </w:pPr>
      <w:bookmarkStart w:id="98" w:name="cap_Figure_4_6"/>
      <w:r>
        <w:t>Figure 4.6. Actual Standard-quality segmentation PDF, its metadata page and Windows file listing. Analysis record #65 is dated 25 October; the PDF was exported on 30 October 2026. The listed PNG is not included in the uploaded evidence. Source: author’s report and captures.</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 Figure 4.7 shows the implemented Guide &amp; Support page and its navigation.</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pPr>
        <w:pStyle w:val="FigureCaption"/>
      </w:pPr>
      <w:bookmarkStart w:id="100" w:name="cap_Figure_4_7"/>
      <w:r>
        <w:t>Figure 4.7. Implemented Guide &amp; Support page with persistent Contents navigation and numbered guidance. Source: author’s Qt-simulated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pPr>
        <w:pStyle w:val="FigureCaption"/>
      </w:pPr>
      <w:bookmarkStart w:id="101" w:name="cap_Figure_4_8"/>
      <w:r>
        <w:t>Figure 4.8. English history-calendar popup with a simulated Chinese default locale. Source: author’s Qt-simulated development capture; the selected date is test input.</w:t>
      </w:r>
      <w:bookmarkEnd w:id="101"/>
    </w:p>
    <w:p>
      <w:pPr>
        <w:jc w:val="both"/>
      </w:pPr>
      <w:r>
        <w:t>Figure 4.9(a–b) documents an actual classification operation at 228/400 processing regions and the subsequent acknowledgement, “Inference cancelled. Previous completed results are unchanged.” Completed record #79 remains displayed. The transient Cancelling state was not captured, and this pair does not by itself audit every history/database entry. Panels (c–d) show default-path configuration with a test model and restoration of the built-in segmentation default. The author identifies dummy_segmentation.pt as a test model; these panels demonstrate settings interaction rather than genuine trained-model predictive performance.</w:t>
      </w:r>
    </w:p>
    <w:p>
      <w:pPr>
        <w:pStyle w:val="Caption"/>
        <w:keepNext/>
        <w:spacing w:before="60" w:after="40" w:line="240" w:lineRule="auto"/>
      </w:pPr>
      <w:r>
        <w:t>(a) A new classification operation is running</w:t>
      </w:r>
    </w:p>
    <w:p>
      <w:pPr>
        <w:keepNext/>
        <w:spacing w:before="0" w:after="0" w:line="240" w:lineRule="auto"/>
        <w:ind w:firstLine="0"/>
        <w:jc w:val="center"/>
      </w:pPr>
      <w:r>
        <w:drawing>
          <wp:inline xmlns:a="http://schemas.openxmlformats.org/drawingml/2006/main" xmlns:pic="http://schemas.openxmlformats.org/drawingml/2006/picture">
            <wp:extent cx="5120640" cy="3034379"/>
            <wp:docPr id="27" name="Picture 27" descr="Author-provided screenshot; original pixels retained. F4.9(a).png"/>
            <wp:cNvGraphicFramePr>
              <a:graphicFrameLocks noChangeAspect="1"/>
            </wp:cNvGraphicFramePr>
            <a:graphic>
              <a:graphicData uri="http://schemas.openxmlformats.org/drawingml/2006/picture">
                <pic:pic>
                  <pic:nvPicPr>
                    <pic:cNvPr id="0" name="F4.9(a).png"/>
                    <pic:cNvPicPr/>
                  </pic:nvPicPr>
                  <pic:blipFill>
                    <a:blip r:embed="rId71"/>
                    <a:stretch>
                      <a:fillRect/>
                    </a:stretch>
                  </pic:blipFill>
                  <pic:spPr>
                    <a:xfrm>
                      <a:off x="0" y="0"/>
                      <a:ext cx="5120640" cy="3034379"/>
                    </a:xfrm>
                    <a:prstGeom prst="rect"/>
                  </pic:spPr>
                </pic:pic>
              </a:graphicData>
            </a:graphic>
          </wp:inline>
        </w:drawing>
      </w:r>
    </w:p>
    <w:p>
      <w:pPr>
        <w:pStyle w:val="Caption"/>
        <w:keepNext/>
        <w:spacing w:before="60" w:after="40" w:line="240" w:lineRule="auto"/>
      </w:pPr>
      <w:r>
        <w:t>(b) Cancellation acknowledged; previous result remains visible</w:t>
      </w:r>
    </w:p>
    <w:p>
      <w:pPr>
        <w:keepNext/>
        <w:spacing w:before="0" w:after="0" w:line="240" w:lineRule="auto"/>
        <w:ind w:firstLine="0"/>
        <w:jc w:val="center"/>
      </w:pPr>
      <w:r>
        <w:drawing>
          <wp:inline xmlns:a="http://schemas.openxmlformats.org/drawingml/2006/main" xmlns:pic="http://schemas.openxmlformats.org/drawingml/2006/picture">
            <wp:extent cx="5120640" cy="3034379"/>
            <wp:docPr id="28" name="Picture 28" descr="Author-provided screenshot; original pixels retained. F4.9(c).png"/>
            <wp:cNvGraphicFramePr>
              <a:graphicFrameLocks noChangeAspect="1"/>
            </wp:cNvGraphicFramePr>
            <a:graphic>
              <a:graphicData uri="http://schemas.openxmlformats.org/drawingml/2006/picture">
                <pic:pic>
                  <pic:nvPicPr>
                    <pic:cNvPr id="0" name="F4.9(c).png"/>
                    <pic:cNvPicPr/>
                  </pic:nvPicPr>
                  <pic:blipFill>
                    <a:blip r:embed="rId72"/>
                    <a:stretch>
                      <a:fillRect/>
                    </a:stretch>
                  </pic:blipFill>
                  <pic:spPr>
                    <a:xfrm>
                      <a:off x="0" y="0"/>
                      <a:ext cx="5120640" cy="3034379"/>
                    </a:xfrm>
                    <a:prstGeom prst="rect"/>
                  </pic:spPr>
                </pic:pic>
              </a:graphicData>
            </a:graphic>
          </wp:inline>
        </w:drawing>
      </w:r>
    </w:p>
    <w:p>
      <w:pPr>
        <w:pStyle w:val="Caption"/>
        <w:keepNext/>
        <w:spacing w:before="60" w:after="40" w:line="240" w:lineRule="auto"/>
      </w:pPr>
      <w:r>
        <w:t>(c) Test-model default; (d) built-in segmentation default restored</w:t>
      </w:r>
    </w:p>
    <w:p>
      <w:pPr>
        <w:keepNext/>
        <w:spacing w:before="0" w:after="0" w:line="240" w:lineRule="auto"/>
        <w:ind w:firstLine="0"/>
        <w:jc w:val="center"/>
      </w:pPr>
      <w:r>
        <w:drawing>
          <wp:inline xmlns:a="http://schemas.openxmlformats.org/drawingml/2006/main" xmlns:pic="http://schemas.openxmlformats.org/drawingml/2006/picture">
            <wp:extent cx="2560320" cy="896111"/>
            <wp:docPr id="29" name="Picture 29" descr="Author-provided screenshot; original pixels retained. F4.9(d).png"/>
            <wp:cNvGraphicFramePr>
              <a:graphicFrameLocks noChangeAspect="1"/>
            </wp:cNvGraphicFramePr>
            <a:graphic>
              <a:graphicData uri="http://schemas.openxmlformats.org/drawingml/2006/picture">
                <pic:pic>
                  <pic:nvPicPr>
                    <pic:cNvPr id="0" name="F4.9(d).png"/>
                    <pic:cNvPicPr/>
                  </pic:nvPicPr>
                  <pic:blipFill>
                    <a:blip r:embed="rId73"/>
                    <a:srcRect l="24956" t="63032" r="3076" b="0"/>
                    <a:stretch>
                      <a:fillRect/>
                    </a:stretch>
                  </pic:blipFill>
                  <pic:spPr>
                    <a:xfrm>
                      <a:off x="0" y="0"/>
                      <a:ext cx="2560320" cy="896111"/>
                    </a:xfrm>
                    <a:prstGeom prst="rect"/>
                  </pic:spPr>
                </pic:pic>
              </a:graphicData>
            </a:graphic>
          </wp:inline>
        </w:drawing>
      </w:r>
      <w:r>
        <w:t xml:space="preserve"> </w:t>
      </w:r>
      <w:r>
        <w:drawing>
          <wp:inline xmlns:a="http://schemas.openxmlformats.org/drawingml/2006/main" xmlns:pic="http://schemas.openxmlformats.org/drawingml/2006/picture">
            <wp:extent cx="2560320" cy="896111"/>
            <wp:docPr id="30" name="Picture 30" descr="Author-provided screenshot; original pixels retained. F4.9(e).png"/>
            <wp:cNvGraphicFramePr>
              <a:graphicFrameLocks noChangeAspect="1"/>
            </wp:cNvGraphicFramePr>
            <a:graphic>
              <a:graphicData uri="http://schemas.openxmlformats.org/drawingml/2006/picture">
                <pic:pic>
                  <pic:nvPicPr>
                    <pic:cNvPr id="0" name="F4.9(e).png"/>
                    <pic:cNvPicPr/>
                  </pic:nvPicPr>
                  <pic:blipFill>
                    <a:blip r:embed="rId74"/>
                    <a:srcRect l="24956" t="63032" r="3076" b="0"/>
                    <a:stretch>
                      <a:fillRect/>
                    </a:stretch>
                  </pic:blipFill>
                  <pic:spPr>
                    <a:xfrm>
                      <a:off x="0" y="0"/>
                      <a:ext cx="2560320" cy="896111"/>
                    </a:xfrm>
                    <a:prstGeom prst="rect"/>
                  </pic:spPr>
                </pic:pic>
              </a:graphicData>
            </a:graphic>
          </wp:inline>
        </w:drawing>
      </w:r>
    </w:p>
    <w:p>
      <w:pPr>
        <w:pStyle w:val="FigureCaption"/>
        <w:keepNext w:val="0"/>
        <w:keepLines/>
      </w:pPr>
      <w:bookmarkStart w:id="102" w:name="cap_Figure_4_9"/>
      <w:r>
        <w:t>Figure 4.9. Windows cancellation and default-model controls: (a) 228/400 processing progress; (b) cancellation acknowledged with completed record #79 retained; (c) configuration using the controlled test model dummy_segmentation.pt; (d) restored built-in default. The transient Cancelling screen was not captured. Source: author’s Windows captures.</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pPr/>
      <w:r>
        <w:t>Table 4.1 summarises the classifier’s training selection and external-test evaluation; Table 4.2 reports precision, recall and F1 for each class.</w:t>
      </w:r>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Measure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Recorded / recomputed result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Scope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 collection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CRC-VAL-HE-7K; 7,180 images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Separate from the internal training/validation manifests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Correct / incorrect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6,511 / 669</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Both runs: independently recomputed from their prediction CSVs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 accuracy</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90.682451%</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Original and default-Pillow runs: 6,511 / 7,180</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 macro-F1</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0.885879 (88.59%)</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Both runs; unweighted mean of nine class F1 values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Internal validation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99.09% accuracy; 99.09% macro-F1</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Selected epoch 26; not the external test result</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Checkpoint identity</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Epoch-26 best_model.pth</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SHA-256 matches summary.json; renamed for application use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Default application input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7,180 native 224 × 224 RGB patches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Pillow; float32 raw255; CPU batch 1</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Prediction agreement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7,180 / 7,180 reference labels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Max probability difference: 0.002732</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Original checkpoint size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1,726,089 bytes (1.646 MiB)</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Measured genuine classification checkpoint; no model conversion performed</w:t>
            </w:r>
          </w:p>
        </w:tc>
      </w:tr>
    </w:tbl>
    <w:p>
      <w:pPr/>
      <w:r>
        <w:t>Source: the classification experiment’s metrics.csv and test-7k outputs, together with the Windows default-Pillow evaluation of 19 October 2026. Per-image predictions from both runs reproduce the displayed aggregate results.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Class (support)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Precision (%)</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Recall (%)</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F1 (%)</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ADI (1,338)</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97.43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84.90</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90.73</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BACK (847)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98.83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100.00</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99.41</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DEB (339)</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79.76</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98.82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88.27</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LYM (634)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95.17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99.37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97.22</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MUC (1,035)</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96.59</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93.14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94.84</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MUS (592)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61.24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73.14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66.67</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NORM (741)</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90.21</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94.47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92.29</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STR (421)</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79.14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65.80</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71.85</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TUM (1,233)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95.58</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96.43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96.00</w:t>
            </w:r>
          </w:p>
        </w:tc>
      </w:tr>
    </w:tbl>
    <w:p>
      <w:pPr/>
      <w:r>
        <w:t>Source: class-wise reports and per-image predictions from the original evaluation and Windows default-Pillow rerun. Both runs give the same class counts and metrics; support is the number of true-class images. Displayed values are rounded.</w:t>
      </w:r>
    </w:p>
    <w:p>
      <w:pPr/>
      <w:r>
        <w:t>Figure 4.11 shows the external-test confusion matrix, allowing the class-wise error patterns to be examined alongside the aggregate metrics.</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the classification experiment’s saved matrix; the Windows default-Pillow predictions independently reproduce every count.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 xml:space="preserve">The selected-epoch validation accuracy exceeds external test accuracy by approximately 8.41 percentage points. Internal validation uses a stratified random patch-level split of the same 100,000-image pool as training, without patient grouping. In contrast, the CRC-VAL-HE-7K dataset documentation describes a test cohort of 50 patients with no patient overlap with NCT-CRC-HE-100K </w:t>
      </w:r>
      <w:hyperlink w:history="1" r:id="rId58">
        <w:r>
          <w:rPr>
            <w:rStyle w:val="Hyperlink"/>
          </w:rPr>
          <w:t>(Kather et al., 2018)</w:t>
        </w:r>
      </w:hyperlink>
      <w:r>
        <w:t>. The two estimates therefore assess different generalisation conditions. Class proportions also differ: ADI represents 10.41% of the 100K pool versus 18.64% of the test set, DEB 11.51% versus 4.72%, and MUS 13.54% versus 8.25%. These results do not isolate the contribution of patient grouping, cohort differences or class composition to the observed gap.</w:t>
      </w:r>
    </w:p>
    <w:p>
      <w:pPr/>
      <w:r>
        <w:t xml:space="preserve">Training used NCT-CRC-HE-100K.zip, the standard Macenko stain-normalised release, rather than the separately distributed NONORM version </w:t>
      </w:r>
      <w:hyperlink w:history="1" r:id="rId58">
        <w:r>
          <w:rPr>
            <w:rStyle w:val="Hyperlink"/>
          </w:rPr>
          <w:t>(Kather et al., 2018)</w:t>
        </w:r>
      </w:hyperlink>
      <w:r>
        <w:t>. The dataset documentation specifies 224 × 224 pixels at 0.5 μm/pixel for both NCT-CRC-HE-100K and CRC-VAL-HE-7K. Stain normalisation of source images is distinct from raw255 or ImageNet numerical preprocessing of input tensors. Both validation and original test scripts use deterministic Resize, ToTensorV2 and float32 raw255; the Windows application-default Pillow rerun preserves every external-test predicted label. The observed score gap is not evidence of a stain-processing mismatch.</w:t>
      </w:r>
    </w:p>
    <w:p>
      <w:pPr/>
      <w:r>
        <w:t>Both the class-wise results and the lower macro-F1 show that a global accuracy number alone is insufficient. The external test provides patient-independent patch evaluation according to the dataset design, while the internal validation score should not be interpreted as a patient-separated estimate. Patient-grouped internal validation and additional external cohorts would help assess how performance transfers across patients and collection conditions.</w:t>
      </w:r>
    </w:p>
    <w:p>
      <w:pPr/>
      <w:r>
        <w:t>Both prediction CSVs contain 7,180 unique image paths with matching true labels, valid class argmax, maximum softmax score and probability sums. Recalculation gives 6,511 correct predictions, 90.682451% accuracy and 88.587944% macro-F1 for each run. Every class-wise metric and confusion-matrix entry agrees. The deployed classifier has the same checkpoint checksum as the original evaluated model; Appendix E records the execution configurations.</w:t>
      </w:r>
    </w:p>
    <w:p>
      <w:pPr/>
      <w:r>
        <w:t>On 19 October 2026, I evaluated the labelled patches on Windows through the project’s ModelLoader, Preprocessor and OutputParser using the unchanged Pillow default, RGB float32 raw255, a 224 × 224 input and CPU batch size 1. All source patches were already 224 × 224. Input diagnostics against the installed OpenCV decoder and INTER_LINEAR produced zero tensor differences; the reference comparison retained all 7,180 predicted labels. Probability vectors were not identical: the maximum absolute probability difference was 0.002732. This comparison confirms native-sized patch predictions across the recorded runs, without establishing identical numerical output or resize behaviour at other source sizes.</w:t>
      </w:r>
    </w:p>
    <w:p>
      <w:pPr/>
      <w:r>
        <w:t>The application-default Single image core therefore has a measured result on this labelled patch collection. Arbitrary 512-pixel source crops, tiled maps and physical-scale changes require their own ground-truth and scale design. These generalisation limits are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On 27 October 2026, revision 3a935ef completed all 508 collected tests on native Windows Qt: 508 passed, 0 failed, 0 errors and 0 skipped. The pytest summary reports 16 warnings and 268.74 seconds, with exit code 0. Table 4.3 presents this source-matched result. The recorded commit and source/resource manifests agree before and after the execution.</w:t>
      </w:r>
    </w:p>
    <w:p>
      <w:pPr/>
      <w:r>
        <w:t>The completed invocation includes numbered tiles and original-crop inspection, Square, Clear view, background PDF export and quality selection, and current-preference Run versus recorded Re-run. The native Qt probe reported the windows platform. Programmatic regression completion is distinct from the real-image manual tasks in Appendix D and participant-based evaluation in Section 4.4.</w:t>
      </w:r>
    </w:p>
    <w:p>
      <w:pPr>
        <w:pStyle w:val="TableCaption"/>
      </w:pPr>
      <w:bookmarkStart w:id="105" w:name="cap_Table_4_1"/>
      <w:r>
        <w:t>Table 4.3. Complete Windows automated execution for the evaluated source.</w:t>
      </w:r>
      <w:bookmarkEnd w:id="105"/>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891"/>
        <w:gridCol w:w="935"/>
        <w:gridCol w:w="879"/>
        <w:gridCol w:w="1304"/>
        <w:gridCol w:w="3016"/>
      </w:tblGrid>
      <w:tr>
        <w:trPr>
          <w:cantSplit/>
          <w:tblHeader/>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Run / environment</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sz w:val="19"/>
                <w:color w:val="000000"/>
              </w:rPr>
              <w:t>Passed</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sz w:val="19"/>
                <w:color w:val="000000"/>
              </w:rPr>
              <w:t>Failed</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sz w:val="19"/>
                <w:color w:val="000000"/>
              </w:rPr>
              <w:t>Errors</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Execution details</w:t>
            </w:r>
          </w:p>
        </w:tc>
      </w:tr>
      <w:tr>
        <w:trPr>
          <w:cantSplit/>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27 Oct 2026; revision 3a935ef</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508</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0</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0</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skipped; 16 warnings; 268.74 s; exit 0. Native Windows Qt; source and resources unchanged.</w:t>
            </w:r>
          </w:p>
        </w:tc>
      </w:tr>
    </w:tbl>
    <w:p>
      <w:pPr/>
      <w:r>
        <w:t>Source: the complete Windows log/XML, exit record and source manifests of 27 October 2026. Earlier Windows executions are listed separately in Appendix C.</w:t>
      </w:r>
    </w:p>
    <w:p>
      <w:pPr>
        <w:spacing w:after="40"/>
      </w:pPr>
    </w:p>
    <w:p>
      <w:pPr/>
      <w:r>
        <w:t>The invocation ran without test-case selection or skipped cases. The 268.74-second value is the pytest console summary duration, not inference latency. The 16 warnings concern deprecated Matplotlib/Pyparsing, PyTorch TypedStorage and Hugging Face download interfaces. They did not prevent completion of the suite.</w:t>
      </w:r>
    </w:p>
    <w:p>
      <w:pPr>
        <w:pStyle w:val="TableCaption"/>
      </w:pPr>
      <w:bookmarkStart w:id="160" w:name="new_Table_4_2__Windows_test_host_and_actua"/>
      <w:r>
        <w:t>Table 4.4. Windows hardware record (19 October) and test runtime (27 October).</w:t>
      </w:r>
      <w:bookmarkEnd w:id="160"/>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Category</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Recorded specification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Interpretation</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Operating system</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Microsoft Windows 11 Home Chinese Edition; 10.0.22621, Build 22621; 64-bit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Python/Qt environment; native acceptance assessed separately</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CPU</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13th Gen Intel Core i9-13900HX; 24 cores; 32 logical processors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PyTorch CPU threads: 24</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Memory</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15.81 GiB physical RAM</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Physical system memory</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Installed GPU</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NVIDIA GeForce RTX 4060 Laptop GPU; driver 32.0.15.6094</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Installed hardware only; not used for these runs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Actual compute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PyTorch 2.1.2+cpu; CUDA available=False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CPU execution; no GPU acceleration claim</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Python/test stack</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Python 3.10.22; pytest 9.1.1; pluggy 1.6.0; anyio 4.15.1; pytest-qt 4.5.0</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Versions from the Windows test record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GUI stack</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PyQt5 5.15.11; Qt runtime 5.15.2; Qt compiled 5.15.2</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27 Oct: native windows Qt platform confirmed. Earlier 19 Oct display/DPR measurements remain separate observations.</w:t>
            </w:r>
          </w:p>
        </w:tc>
      </w:tr>
    </w:tbl>
    <w:p>
      <w:pPr/>
      <w:r>
        <w:t>Source: hardware recorded on 19 October 2026 and runtime/dependency records from the completed 27 October invocation. The later collection did not remeasure physical RAM or GPU specifications; its runtime probe directly confirms CPU execution. The records are distinguished by date, and their same-device identity awaits confirmation.</w:t>
      </w:r>
    </w:p>
    <w:p>
      <w:pPr/>
      <w:r>
        <w:t>Figure 4.12 reproduces selected lines from the completed 27 October Windows pytest log at revision 3a935ef; it is a test-log excerpt rather than an application screenshot.</w:t>
      </w:r>
    </w:p>
    <w:p>
      <w:pPr>
        <w:keepNext/>
        <w:spacing w:before="140"/>
        <w:jc w:val="center"/>
      </w:pPr>
      <w:r>
        <w:drawing>
          <wp:inline xmlns:a="http://schemas.openxmlformats.org/drawingml/2006/main" xmlns:pic="http://schemas.openxmlformats.org/drawingml/2006/picture">
            <wp:extent cx="5731200" cy="2765113"/>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765113"/>
                    </a:xfrm>
                    <a:prstGeom prst="rect"/>
                  </pic:spPr>
                </pic:pic>
              </a:graphicData>
            </a:graphic>
          </wp:inline>
        </w:drawing>
      </w:r>
    </w:p>
    <w:p>
      <w:pPr>
        <w:pStyle w:val="FigureCaption"/>
      </w:pPr>
      <w:bookmarkStart w:id="106" w:name="cap_Figure_4_10"/>
      <w:r>
        <w:t>Figure 4.12. Complete Windows pytest report, 27 October 2026, revision 3a935ef. Source: the recorded full-suite log; selected text is reproduced with omissions marked.</w:t>
      </w:r>
      <w:bookmarkEnd w:id="106"/>
    </w:p>
    <w:p>
      <w:pPr>
        <w:jc w:val="both"/>
      </w:pPr>
      <w:r>
        <w:t>The current Windows suite passed its genuine built-in-model availability assertion and the history, rerun, worker-lifetime and layout cases. Its resource manifest includes both production checkpoints. The separate classifier evaluation in Section 4.2.6 supplies predictive measurements; file availability and synthetic fixtures do not measure segmentation accuracy.</w:t>
      </w:r>
    </w:p>
    <w:p>
      <w:pPr>
        <w:jc w:val="both"/>
      </w:pPr>
      <w:r>
        <w:t>Earlier Windows executions encountered a missing training script and thread-lifetime faults. The subsequent 8c4830c invocation reached execution but reported 17 failures and three teardown errors, attributable to settings leakage, compact layouts and platform-dependent path handling. Revision 3a935ef corrected these issues and completed all 508 cases. Table 4.5 summarises the resolutions; Appendix C distinguishes the executions and identifies the source changes.</w:t>
      </w:r>
    </w:p>
    <w:p>
      <w:bookmarkStart w:id="107" w:name="head_80"/>
      <w:pPr>
        <w:pStyle w:val="Heading3"/>
      </w:pPr>
      <w:r>
        <w:t>4.3.2 Challenges, resolutions and evidence</w:t>
      </w:r>
      <w:bookmarkEnd w:id="107"/>
    </w:p>
    <w:p>
      <w:pPr>
        <w:pStyle w:val="TableCaption"/>
      </w:pPr>
      <w:bookmarkStart w:id="108" w:name="cap_Table_4_2"/>
      <w:r>
        <w:t>Table 4.5. Implementation challenges, corrections and supporting evidence.</w:t>
      </w:r>
      <w:bookmarkEnd w:id="108"/>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Challenge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Actual cause or risk</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Resolution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Evidence and limit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Missing/incorrect classifier assumptions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CP1 ResNet/ImageNet description disagreed with implemented DenseNet/raw255 contract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Use the actual nine-class DenseNet/raw255 metadata, training records and class order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default-Pillow patch accuracy 90.68%, macro-F1 88.59%; agreement measured on native 224 × 224 images.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Misleading tiled history confidence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Aggregate tile output could appear to be a whole-image label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Tile summary and estimated coverage; separate aggregate PDF terminology</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History/export semantic tests; no prediction values changed</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Fit grid lines disappearing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Fine rasterised grid could vanish when the large image was reduced</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Paint vector grid after the image using the same transform</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Source-coordinate/grid tests across Fit, zoom and resize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Comparison stayed stacked after widening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 side legend could shrink the comparison below its breakpoint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Keep segmentation legend below paired images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Repeated main-window narrow/wide regression for both tasks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Oversized/clipped windows and settings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Child minimum sizes and wrapped-text sizing constrained the layout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Logical screen bounds, inner scrolling, measured legend/card sizes and pinned action space.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small-screen/font, maximise/restore and compact-viewport cases passed; formal manual task evidence pending.</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Tight focus box and unreliable label/padding clicks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Global focus border and native checkbox hit region differed</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Stable rounded surface; full-rectangle hit area; keyboard-only focus cue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Mouse edge/text/padding, disabled and Tab/Space tests in both themes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Accidental preference changes by wheel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Closed combo boxes consumed scroll as selection input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Explicit selection; wheel forwarded to page scrolling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Popup/keyboard/wheel integration tests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Unclear cancellation/default ownership</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Late worker results or current defaults could affect a record</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Cooperative stop/late-result rejection; per-task defaults and recorded rerun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Cancellation/default/rerun tests with temporary artifacts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Calendar followed local language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Date popup inherited locale-dependent text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Explicit English locale for editors and calendars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Actual popup/day selection under Chinese default locale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Worker destroyed during model loading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Forced parent deletion bypassed deferred close while a QThread was still running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Wait for worker completion before destroying child threads; retain asynchronous normal close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Native fatal message identified the original cause; worker-destruction regressions also passed in the current 508-case Windows suite.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Validation callback accessed deleted controls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Queued lambda outlived its owning window or settings page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Use QObject-bound receivers disconnected with their owner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Six successful/error callback lifecycle cases passed for built-in, custom and task-default validation.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Run/Re-run clipped in short viewports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Right-side inner scroll-area height hint enlarged the full three-panel splitter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Allow vertical shrinking of scrolling content; retain pinned action space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16/30px-scrollbar compact-body regressions and the original 480 × 360 Windows case passed.</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Tile preference appeared to be ignored</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History/re-run metadata remained in the input-panel cache; unchanged widget values emitted no refresh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Ordinary Run reads current preferences; only recorded Re-run supplies old parameters; finish/restore refresh the new-run summary</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preference-lifetime cases passed with actual crop boxes, current values and recorded rerun geometry.</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PDF size and blocking export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Full image pixels embedded in small report panels; report generation was synchronous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Export-only display copies, Standard/Original resolution, task-preserving report metadata and cancellable atomic background generation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PDF encoding, complete-path, data-preservation, layout and worker-lifecycle cases passed; online preview and real-image captures require their own observations.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Comparison drag/resize drift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Driver view was recentered during linked updates; viewport resize reused the wrong centre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Update the peer only, preserve source centre, proportional wheel zoom and rubber-band divider resizing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navigation and Fit/grid cases passed; formal real-image manual acceptance remains separate.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Default settings affected unrelated tests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The organisation/application QSettings overload read saved native preferences, including Tiled mode and maximised state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Per-test INI settings and temporary application data; preserve ordinary preference persistence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settings-sandbox, inference, history and window cases passed</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Large-font controls and short action panel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Status text, scrollbar extent and implicit minimum-height hints consumed the available space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Upload before verbose status; reserve scrollbar width; aligned stacked tile inputs; compact pinned actions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large-font, input-alignment and compact-body cases passed</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Platform-dependent path representation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audit messages used backslashes; PDF extraction added visual line breaks to long paths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Portable audit identifiers; retain exact path assertions after removing CR/LF layout characters; add a Windows path case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build-input and complete segmentation-report path cases passed</w:t>
            </w:r>
          </w:p>
        </w:tc>
      </w:tr>
    </w:tbl>
    <w:p>
      <w:pPr/>
      <w:r>
        <w:t>Source: implementation changes and named regression cases in the complete Windows suite of 27 October 2026, with earlier records identified in Appendix C.</w:t>
      </w:r>
    </w:p>
    <w:p>
      <w:pPr>
        <w:spacing w:after="40"/>
      </w:pPr>
    </w:p>
    <w:p>
      <w:pPr>
        <w:jc w:val="both"/>
      </w:pPr>
      <w:r>
        <w:t>The corrections preserve the required behaviours. Test-only QSettings isolation removes dependence on saved user preferences without changing production storage. The PDF path check still requires the complete recorded path, allowing only extracted carriage-return and line-feed layout characters, and adds a Windows-path case. No test was deleted or skipped. Appendix C identifies the saved before/after diff; classification performance is reported separately in Section 4.2.6.</w:t>
      </w:r>
    </w:p>
    <w:p>
      <w:bookmarkStart w:id="109" w:name="head_81"/>
      <w:pPr>
        <w:pStyle w:val="Heading3"/>
      </w:pPr>
      <w:r>
        <w:t>4.3.3 Windows startup and window-state observations</w:t>
      </w:r>
      <w:bookmarkEnd w:id="109"/>
    </w:p>
    <w:p>
      <w:pPr>
        <w:jc w:val="both"/>
      </w:pPr>
      <w:r>
        <w:t>Windows source execution recorded successful loading and validation of the built-in classifier at approximately 14:23 on 19 October 2026. Loading completed from the checkpoint; validation identified DenseNet, classification, nine classes and output shape (1, 9), and the main window accepted the model. The later default-Pillow evaluation completed 7,180 real-patch predictions (Section 4.2.6).</w:t>
      </w:r>
    </w:p>
    <w:p>
      <w:pPr>
        <w:jc w:val="both"/>
      </w:pPr>
      <w:r>
        <w:t>The 19 October source-startup session reported devicePixelRatio=2.0 and availableGeometry=[0, 0, 1280, 758] in Qt logical coordinates, with normal, maximised and minimised state entries. The separate 19 October automated Windows application reported DPR 1.0, logical DPI 168 and availableGeometry=[0, 0, 2560, 1516]. Each record is interpreted within its own Qt application; these logical values are not substituted for a measured physical monitor resolution.</w:t>
      </w:r>
    </w:p>
    <w:p>
      <w:pPr>
        <w:jc w:val="both"/>
      </w:pPr>
      <w:r>
        <w:t>The 27 October native Windows suite passed programmatic maximise/restore, saved-geometry, comparison/grid, compact-panel, navigation, metadata wrapping, task-progress, model-source and tile-preference cases. Formal real-image manual acceptance in Appendix D remains distinct from these automated inputs and assertions.</w:t>
      </w:r>
    </w:p>
    <w:p>
      <w:pPr/>
      <w:r>
        <w:t>The supplied Windows screenshots add representative actual-image observations of classification, segmentation, linked display, history/default isolation, export and cancellation. They are not a completed W01–W15 acceptance sheet. Their session source commit was not supplied, so they are not attributed to the automated 3a935ef execution. Figure 4.1, Figure 4.3 and Figure 4.4 retain their actual displayed record IDs; the author confirms that these were direct-run captures, not history-restoration demonstrations.</w:t>
      </w:r>
    </w:p>
    <w:p>
      <w:bookmarkStart w:id="166" w:name="new_4_3_5_Runtime_and_deployment_verificat"/>
      <w:pPr>
        <w:pStyle w:val="Heading3"/>
      </w:pPr>
      <w:r>
        <w:t>4.3.4 Runtime and deployment verification status</w:t>
      </w:r>
      <w:bookmarkEnd w:id="166"/>
    </w:p>
    <w:p>
      <w:pPr/>
      <w:r>
        <w:t>The Windows hardware and CPU runtime are documented in Table 4.4. No repeated inference-stage or memory benchmark has been supplied, so model loading, preprocessing, forward inference, reconstruction/statistics, GUI display, saving and export retain unmeasured status. Appendix E.3 now specifies workload IDs, cold/warm boundaries, repetition counts, raw-record fields and summary rules. Existing export fixture file sizes are a separate file-size observation, not an inference-latency benchmark.</w:t>
      </w:r>
    </w:p>
    <w:p>
      <w:pPr/>
      <w:r>
        <w:t>The demonstrated delivery route is source execution. The current repository contains a Windows PyInstaller specification, build script, genuine-resource preflight, bundled-configuration support and release-manifest generation. No corresponding completed build log, distributable artifact or clean-machine/offline acceptance was supplied. Tooling implementation is therefore reported separately from unverified deployment.</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pPr/>
      <w:r>
        <w:t>Table 4.6 reserves the participant profile; its entries will be completed only after actual UAT recruitment and consent.</w:t>
      </w:r>
    </w:p>
    <w:p>
      <w:bookmarkStart w:id="112" w:name="cap_Table_4_3"/>
      <w:pPr>
        <w:pStyle w:val="TableCaption"/>
      </w:pPr>
      <w:r>
        <w:t>Table 4.6. UAT participant profile — awaiting actual responses</w:t>
      </w:r>
      <w:bookmarkEnd w:id="112"/>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Characteristic</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Required result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Status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Recruited/consented/completed participants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 actual counts and exclusions]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Not collected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Participant role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 role counts, with actual denominator]</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Not collected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Pathology experience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 predefined experience groups]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Not collected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Programming/AI experience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 experience groups]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Not collected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Prior use of pathology tools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 actual distribution]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Not collected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Testing devices/display scales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 actual configurations]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pPr/>
      <w:r>
        <w:t>Table 4.7 defines the reporting fields for valid SUS responses and task outcomes; the numerical results remain pending.</w:t>
      </w:r>
    </w:p>
    <w:p>
      <w:bookmarkStart w:id="114" w:name="cap_Table_4_4"/>
      <w:pPr>
        <w:pStyle w:val="TableCaption"/>
      </w:pPr>
      <w:r>
        <w:t>Table 4.7. UAT quantitative summary — awaiting valid data</w:t>
      </w:r>
      <w:bookmarkEnd w:id="114"/>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Measure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Reporting rule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Result</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Valid SUS responses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All ten items in 1–5</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SUS mean and standard deviation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Score each participant before averaging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SUS median, IQR and range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Report alongside the small-sample mean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Independent task completion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Independent successes / actual attempts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Assisted completion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Report separately from independent success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Critical errors and assistance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Count using the predefined task rules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bl>
    <w:p>
      <w:pPr/>
      <w:r>
        <w:t xml:space="preserve">Source: planned SUS/task analysis rules </w:t>
      </w:r>
      <w:hyperlink w:history="1" w:anchor="bib_ref_18">
        <w:r>
          <w:rPr>
            <w:rStyle w:val="Hyperlink"/>
          </w:rPr>
          <w:t>(Brooke, 1996)</w:t>
        </w:r>
      </w:hyperlink>
      <w:r>
        <w:t>;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pPr/>
      <w:r>
        <w:t>Table 4.8 reserves the feature-use and rating results, distinguishing features actually used from those not attempted.</w:t>
      </w:r>
    </w:p>
    <w:p>
      <w:bookmarkStart w:id="116" w:name="cap_Table_4_5"/>
      <w:pPr>
        <w:pStyle w:val="TableCaption"/>
      </w:pPr>
      <w:r>
        <w:t>Table 4.8. Feature ratings — awaiting actual use and responses</w:t>
      </w:r>
      <w:bookmarkEnd w:id="116"/>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Feature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Required usage/result evidence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Result</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Single-image workflow</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Actual attempts, completion and ease rating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Tiled map/legend/tile details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Actual use, interpretation correctness and rating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Comparison and linked navigation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Alignment task completion and rating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Segmentation inspection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Use of overlay/map/legend and rating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History and rerun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Recorded-mode task completion and rating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 cancel and defaults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Completion, assistance and feature-specific rating</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Test-suite durations and the diagnostic evaluation-loop duration are excluded from inference latency claims. The Windows evaluation includes input comparison and CSV writing, and no repeated stage-level benchmark has been recorded. Runtime observations in UAT will be reported separately from the protocol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The engineering observations, startup record and completed Windows regressions are discussed in Section 4.3. UAT responses will be analysed under the participant and task protocol in Appendix B rather than pooled with software tests.</w:t>
      </w:r>
    </w:p>
    <w:p>
      <w:bookmarkStart w:id="119" w:name="head_88"/>
      <w:pPr>
        <w:pStyle w:val="Heading2"/>
      </w:pPr>
      <w:r>
        <w:t>4.5 Discussion</w:t>
      </w:r>
      <w:bookmarkEnd w:id="119"/>
    </w:p>
    <w:p>
      <w:bookmarkStart w:id="120" w:name="head_89"/>
      <w:pPr>
        <w:pStyle w:val="Heading3"/>
      </w:pPr>
      <w:r>
        <w:t>4.5.1 Achievement of Research Objectives</w:t>
      </w:r>
      <w:bookmarkEnd w:id="120"/>
    </w:p>
    <w:p>
      <w:pPr/>
      <w:r>
        <w:t>Table 4.9 maps each research objective to the implemented outcome and the evidence available for assessing its achievement.</w:t>
      </w:r>
    </w:p>
    <w:p>
      <w:bookmarkStart w:id="121" w:name="cap_Table_4_6"/>
      <w:pPr>
        <w:pStyle w:val="TableCaption"/>
      </w:pPr>
      <w:r>
        <w:t>Table 4.9. Objective achievement and outstanding evidence</w:t>
      </w:r>
      <w:bookmarkEnd w:id="121"/>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Objective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Implemented outcome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Evidence-based assessment</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O1: local no-code workflow</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PyQt5 application, background CPU work and cancel</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Local PyTorch CPU workflow implemented; the source-matched Windows suite passed 508 cases. Clean-machine/offline delivery remains outside the completed verification.</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O2: model loading/validation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Supported formats, metadata reconstruction and probe checks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loader, task-default and genuine built-in-path cases passed. Structural compatibility is distinguished from model-specific predictive performance.</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O3: inference tasks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Whole-image/tiled classification and segmentation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Default-Pillow patch evaluation remains 90.68% accuracy / 88.59% macro-F1 on 7,180 patches. Actual Windows captures demonstrate Single image, 49-tile classification and supervisor-model segmentation; tiled accuracy and segmentation ground truth remain unevaluated.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O4: result inspection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Charts, overlays, legends, spatial detail and linked comparison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automated inspection cases passed. Actual captures show numbered tiles, a source-crop preview and aligned segmentation comparison. User interpretation and formal acceptance remain separate evaluations.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O5: export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PNG/PDF with task-specific metadata/artifacts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Automated export cases passed; Figure 4.6 and the supplied actual PDF/JSON add real report evidence. The 875,021-byte Standard PDF is one export observation, not a general performance benchmark.</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O6: persistent records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SQLite and saved analysis/presentation artifacts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Windows persistence, clear-view and history/source-preservation cases passed. Immutable per-run file identities, backup and recovery remain further work.</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O7: retrieval/rerun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Search, local-date filter, restore and recorded rerun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Automated retrieval/rerun cases passed. Windows captures show both modes in History, completed recorded Re-run #83 retaining 512-pixel parameters despite current 256-pixel preferences, and a separate current-setting Run. User efficiency remains unmeasured.</w:t>
            </w:r>
          </w:p>
        </w:tc>
      </w:tr>
    </w:tbl>
    <w:p>
      <w:pPr/>
      <w:r>
        <w:t>Source: the implementation, completed Windows software tests, classifier evaluation and source-startup records; manual acceptance and UAT retain separate statuses.</w:t>
      </w:r>
    </w:p>
    <w:p>
      <w:pPr>
        <w:spacing w:after="40"/>
      </w:pPr>
    </w:p>
    <w:p>
      <w:pPr>
        <w:jc w:val="both"/>
      </w:pPr>
      <w:r>
        <w:t>The implementation makes task/mode, source crop versus network input, resize backend and coverage semantics visible. Current refinements strengthen numbered inspection, navigation, export and the separation of new-run preferences from recorded rerun settings. The patch evaluation supplies a measured classifier result; the completed 508-case Windows execution supplies verification for the evaluated source.</w:t>
      </w:r>
    </w:p>
    <w:p>
      <w:pPr>
        <w:jc w:val="both"/>
      </w:pPr>
      <w:r>
        <w:t>H1 has supporting implementation tests, real-classifier loading and patch-level prediction evidence. Passing native Windows restoration and recorded-rerun checks support the technical component of H3. H2 and user-efficiency claims await UAT; the predictive and system-level limits are consolidated in Section 4.5.3.</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 xml:space="preserve">Classification performance is specific to its data and preprocessing. The 90.68% accuracy and 88.59% macro-F1 are reproduced by the original evaluation and the application-default Single image core on native 224 × 224 external-test patches. The dataset documentation identifies the external cohort as patient-independent from NCT-CRC-HE-100K; the internal training/validation split, however, is patch-based and does not enforce patient or slide separation </w:t>
      </w:r>
      <w:hyperlink w:history="1" r:id="rId58">
        <w:r>
          <w:rPr>
            <w:rStyle w:val="Hyperlink"/>
          </w:rPr>
          <w:t>(Kather et al., 2018)</w:t>
        </w:r>
      </w:hyperlink>
      <w:r>
        <w:t>. Its 99.09% validation accuracy may therefore be optimistic for cross-patient generalisation. The observed gap does not isolate a principal causal factor. Performance on arbitrary resized crops, different physical scales and tiled maps, together with calibration and content-duplicate checks, requires further evaluation.</w:t>
      </w:r>
    </w:p>
    <w:p>
      <w:pPr>
        <w:jc w:val="both"/>
      </w:pPr>
      <w:r>
        <w:t>Large raster tiling is implemented, but native WSI pyramid reading, physical-scale extraction and memory-bounded streaming remain outside scope. Full-resolution arrays and restored masks consume memory. The source datasets have a nominal resolution of 0.5 μm/pixel, but the application does not establish the physical resolution of arbitrary raster inputs. Its editable 512 × 512 classification starting value therefore has unverified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The 508-case Windows suite verifies its source revision under the recorded runtime. Actual Windows captures and a segmentation PDF/JSON document representative image workflows, including overlays, numbered crop inspection, a completed recorded Re-run with parameter isolation, export and acknowledged cancellation. A complete source-stamped manual acceptance record, participant UAT and assistive-technology assessment remain incomplete. The transient Cancelling view was not captured; default-path interaction is shown with an explicitly identified test model.</w:t>
      </w:r>
    </w:p>
    <w:p>
      <w:pPr>
        <w:jc w:val="both"/>
      </w:pPr>
      <w:r>
        <w:t>Runtime and deployment require further measurement. The recorded Windows execution uses PyTorch CPU; the installed RTX 4060 GPU was not used. A fixed cold/warm benchmark protocol is prepared, but repeated timing and memory results remain unavailable. Windows build tooling is implemented; an actual version-matched package, clean-machine acceptance and offline execution are unverified. The demonstrated delivery remains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Following completion of the current-source Windows regression, the immediate priorities are authorised real-image manual acceptance and execution of the UAT protocol. The documented patch evaluation remains the classifier result; larger-crop and tiled predictive work requires its own authorised ground-truth design. The software regression does not add a new biological generalisation result.</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with current refinements to numbered tiles, preferences, reset operations and background report export. The default-Pillow Single image core achieves 90.68% accuracy and 88.59% macro-F1 on the documented native-sized patch test. Revision 3a935ef passed all 508 cases in the complete 27 October Windows execution. The remaining user, manual, performance and deployment evidence is specified in Section 4.5.3.</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independent segmentation presentation, numbered crop inspection, linked original/result navigation, task-specific defaults, cooperative cancellation and background PDF export with two quality settings. Ordinary Run reads current preferences, while recorded rerun restores its own snapshot. Clear view resets transient state without deleting history. These behaviours connect the interface to the meaning and provenance of each completed result.</w:t>
      </w:r>
    </w:p>
    <w:p>
      <w:pPr>
        <w:jc w:val="both"/>
      </w:pPr>
      <w:r>
        <w:t>The Windows default-Pillow evaluation produced 6,511 correct labels from 7,180 native-sized test patches: 90.68% accuracy and 88.59% macro-F1. Every predicted label agrees with the recorded reference pipeline, with small probability differences. Software verification remains separate: revision 3a935ef passed all 508 automated cases on Windows, with no failures, errors or skipped cases. Actual Windows screenshots and report artifacts additionally document representative image workflows. Formal manual acceptance, UAT, performance/deployment measurements and broader predictive claims retain the limits in Section 4.5.3.</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 or slide-grouped internal validation, additional authorised cohorts and larger-crop/tiled predictive behaviour under documented source geometry. The immediate engineering follow-up is real-image manual acceptance and UAT, followed by the predefined timing/memory protocol. Passing subsets must not replace the full-suite result, and unavailable resources must remain reported rather than substituted.</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Complete version-matched Windows build and clean-machine/offline acceptance using the implemented tooling; retain required resource permissions. Per-run file checksums, dependency manifests, versioned metadata, artifact recovery and backups remain further work. An export-time checksum identifies the currently accessible file and does not establish which immutable weight file produced an older record.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unverified physical-scale equivalence of uploaded images are exposed rather than hidden behind a visually plausible output.</w:t>
      </w:r>
    </w:p>
    <w:p>
      <w:pPr>
        <w:jc w:val="both"/>
      </w:pPr>
      <w:r>
        <w:t>The third contribution is an implementation approach to inspection and state continuity: shared coordinate transforms, linked views, vector tile boundaries, responsive layouts, recorded rerun settings and safe cancellation preserve meaning across user actions. The named regression cases document defects that static screenshots alone had not been sufficient to assess.</w:t>
      </w:r>
    </w:p>
    <w:p>
      <w:pPr>
        <w:jc w:val="both"/>
      </w:pPr>
      <w:r>
        <w:t>The fourth contribution is an evaluation package linking requirements, named software tests, the classification training/test outputs and platform-specific execution records. It includes class-wise metrics, a confusion matrix, the completed native Windows suite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numbered inspection and stronger state/export management. The measured classifier result and dated Windows automated record support different aspects of the work. The source scope and remaining evaluations are defined in Sections 4.3.1 and 4.5.3.</w:t>
      </w:r>
    </w:p>
    <w:p>
      <w:bookmarkStart w:id="131" w:name="head_99"/>
      <w:pPr>
        <w:pStyle w:val="Heading1"/>
      </w:pPr>
      <w:r>
        <w:t>References</w:t>
      </w:r>
      <w:bookmarkEnd w:id="131"/>
    </w:p>
    <w:p>
      <w:pPr>
        <w:pStyle w:val="Heading2"/>
      </w:pPr>
      <w:bookmarkStart w:id="168" w:name="ref_group_1"/>
      <w:r>
        <w:t>I. Peer-Reviewed Journal Articles</w:t>
      </w:r>
      <w:bookmarkEnd w:id="168"/>
    </w:p>
    <w:p>
      <w:pPr>
        <w:pStyle w:val="Reference"/>
        <w:jc w:val="left"/>
      </w:pPr>
      <w:bookmarkStart w:name="bib_ref_01" w:id="173"/>
      <w:r>
        <w:t xml:space="preserve">[1] Bangor, A., Kortum, P., &amp; Miller, J. (2009). Determining what individual SUS scores mean: Adding an adjective rating scale. </w:t>
      </w:r>
      <w:r>
        <w:rPr>
          <w:rStyle w:val="Emphasis"/>
        </w:rPr>
        <w:t>Journal of Usability Studies</w:t>
      </w:r>
      <w:r>
        <w:t xml:space="preserve">, </w:t>
      </w:r>
      <w:r>
        <w:rPr>
          <w:rStyle w:val="Emphasis"/>
        </w:rPr>
        <w:t>4</w:t>
      </w:r>
      <w:r>
        <w:t>(3), 114–123.</w:t>
      </w:r>
      <w:bookmarkEnd w:id="173"/>
    </w:p>
    <w:p>
      <w:pPr>
        <w:pStyle w:val="Reference"/>
        <w:jc w:val="left"/>
      </w:pPr>
      <w:bookmarkStart w:name="bib_ref_02" w:id="174"/>
      <w:r>
        <w:t xml:space="preserve">[2] Bankhead, P., et al. (2017). QuPath: Open source software for digital pathology image analysis. </w:t>
      </w:r>
      <w:r>
        <w:rPr>
          <w:rStyle w:val="Emphasis"/>
        </w:rPr>
        <w:t>Scientific Reports</w:t>
      </w:r>
      <w:r>
        <w:t xml:space="preserve">, </w:t>
      </w:r>
      <w:r>
        <w:rPr>
          <w:rStyle w:val="Emphasis"/>
        </w:rPr>
        <w:t>7</w:t>
      </w:r>
      <w:r>
        <w:t>, article 16878. https://doi.org/10.1038/s41598-017-17204-5</w:t>
      </w:r>
      <w:bookmarkEnd w:id="174"/>
    </w:p>
    <w:p>
      <w:pPr>
        <w:pStyle w:val="Reference"/>
        <w:jc w:val="left"/>
      </w:pPr>
      <w:bookmarkStart w:name="bib_ref_03" w:id="175"/>
      <w:r>
        <w:t xml:space="preserve">[3] Dolezal, J. M., Kochanny, S., Dyer, E., Ramesh, S., Srisuwananukorn, A., Sacco, M., Howard, F. M., Li, A., Mohan, P., &amp; Pearson, A. T. (2024). Slideflow: Deep learning for digital histopathology with real-time whole-slide visualization. </w:t>
      </w:r>
      <w:r>
        <w:rPr>
          <w:rStyle w:val="Emphasis"/>
        </w:rPr>
        <w:t>BMC Bioinformatics</w:t>
      </w:r>
      <w:r>
        <w:t xml:space="preserve">, </w:t>
      </w:r>
      <w:r>
        <w:rPr>
          <w:rStyle w:val="Emphasis"/>
        </w:rPr>
        <w:t>25</w:t>
      </w:r>
      <w:r>
        <w:t>, article 134. https://doi.org/10.1186/s12859-024-05758-x</w:t>
      </w:r>
      <w:bookmarkEnd w:id="175"/>
    </w:p>
    <w:p>
      <w:pPr>
        <w:pStyle w:val="Reference"/>
        <w:jc w:val="left"/>
      </w:pPr>
      <w:bookmarkStart w:name="bib_ref_04" w:id="176"/>
      <w:r>
        <w:t xml:space="preserve">[4] Kaczmarzyk, J. R., O’Callaghan, A., Inglis, F., Gat, S., Kurc, T., Gupta, R., Bremer, E., Bankhead, P., &amp; Saltz, J. H. (2024). Open and reusable deep learning for pathology with WSInfer and QuPath. </w:t>
      </w:r>
      <w:r>
        <w:rPr>
          <w:rStyle w:val="Emphasis"/>
        </w:rPr>
        <w:t>npj Precision Oncology</w:t>
      </w:r>
      <w:r>
        <w:t xml:space="preserve">, </w:t>
      </w:r>
      <w:r>
        <w:rPr>
          <w:rStyle w:val="Emphasis"/>
        </w:rPr>
        <w:t>8</w:t>
      </w:r>
      <w:r>
        <w:t>, article 9. https://doi.org/10.1038/s41698-024-00499-9</w:t>
      </w:r>
      <w:bookmarkEnd w:id="176"/>
    </w:p>
    <w:p>
      <w:pPr>
        <w:pStyle w:val="Reference"/>
        <w:jc w:val="left"/>
      </w:pPr>
      <w:bookmarkStart w:name="bib_ref_05" w:id="177"/>
      <w:r>
        <w:t xml:space="preserve">[5] Kather, J. N., et al. (2019). Predicting survival from colorectal cancer histology slides using deep learning: A retrospective multicenter study. </w:t>
      </w:r>
      <w:r>
        <w:rPr>
          <w:rStyle w:val="Emphasis"/>
        </w:rPr>
        <w:t>PLOS Medicine</w:t>
      </w:r>
      <w:r>
        <w:t xml:space="preserve">, </w:t>
      </w:r>
      <w:r>
        <w:rPr>
          <w:rStyle w:val="Emphasis"/>
        </w:rPr>
        <w:t>16</w:t>
      </w:r>
      <w:r>
        <w:t>(1), e1002730. https://doi.org/10.1371/journal.pmed.1002730</w:t>
      </w:r>
      <w:bookmarkEnd w:id="177"/>
    </w:p>
    <w:p>
      <w:pPr>
        <w:pStyle w:val="Reference"/>
        <w:jc w:val="left"/>
      </w:pPr>
      <w:bookmarkStart w:name="bib_ref_06" w:id="178"/>
      <w:r>
        <w:t xml:space="preserve">[6] Litjens, G., et al. (2017). A survey on deep learning in medical image analysis. </w:t>
      </w:r>
      <w:r>
        <w:rPr>
          <w:rStyle w:val="Emphasis"/>
        </w:rPr>
        <w:t>Medical Image Analysis</w:t>
      </w:r>
      <w:r>
        <w:t xml:space="preserve">, </w:t>
      </w:r>
      <w:r>
        <w:rPr>
          <w:rStyle w:val="Emphasis"/>
        </w:rPr>
        <w:t>42</w:t>
      </w:r>
      <w:r>
        <w:t>, 60–88. https://doi.org/10.1016/j.media.2017.07.005</w:t>
      </w:r>
      <w:bookmarkEnd w:id="178"/>
    </w:p>
    <w:p>
      <w:pPr>
        <w:pStyle w:val="Reference"/>
        <w:jc w:val="left"/>
      </w:pPr>
      <w:bookmarkStart w:name="bib_ref_07" w:id="179"/>
      <w:r>
        <w:t xml:space="preserve">[7] Marée, R., et al. (2016). Collaborative analysis of multi-gigapixel imaging data using Cytomine. </w:t>
      </w:r>
      <w:r>
        <w:rPr>
          <w:rStyle w:val="Emphasis"/>
        </w:rPr>
        <w:t>Bioinformatics</w:t>
      </w:r>
      <w:r>
        <w:t xml:space="preserve">, </w:t>
      </w:r>
      <w:r>
        <w:rPr>
          <w:rStyle w:val="Emphasis"/>
        </w:rPr>
        <w:t>32</w:t>
      </w:r>
      <w:r>
        <w:t>(9), 1395–1401. https://doi.org/10.1093/bioinformatics/btw013</w:t>
      </w:r>
      <w:bookmarkEnd w:id="179"/>
    </w:p>
    <w:p>
      <w:pPr>
        <w:pStyle w:val="Reference"/>
        <w:jc w:val="left"/>
      </w:pPr>
      <w:bookmarkStart w:name="bib_ref_08" w:id="180"/>
      <w:r>
        <w:t xml:space="preserve">[8] Yen, P.-Y., &amp; Bakken, S. (2012). Review of health information technology usability study methodologies. </w:t>
      </w:r>
      <w:r>
        <w:rPr>
          <w:rStyle w:val="Emphasis"/>
        </w:rPr>
        <w:t>Journal of the American Medical Informatics Association</w:t>
      </w:r>
      <w:r>
        <w:t xml:space="preserve">, </w:t>
      </w:r>
      <w:r>
        <w:rPr>
          <w:rStyle w:val="Emphasis"/>
        </w:rPr>
        <w:t>19</w:t>
      </w:r>
      <w:r>
        <w:t>(3), 413–422. https://doi.org/10.1136/amiajnl-2010-000020</w:t>
      </w:r>
      <w:bookmarkEnd w:id="180"/>
    </w:p>
    <w:p>
      <w:pPr>
        <w:pStyle w:val="Heading2"/>
      </w:pPr>
      <w:bookmarkStart w:id="169" w:name="ref_group_2"/>
      <w:r>
        <w:t>II. Peer-Reviewed Conference Papers</w:t>
      </w:r>
      <w:bookmarkEnd w:id="169"/>
    </w:p>
    <w:p>
      <w:pPr>
        <w:pStyle w:val="Reference"/>
        <w:jc w:val="left"/>
      </w:pPr>
      <w:bookmarkStart w:name="bib_ref_09" w:id="181"/>
      <w:r>
        <w:t xml:space="preserve">[9] Guo, C., Pleiss, G., Sun, Y., &amp; Weinberger, K. Q. (2017). On calibration of modern neural networks. In </w:t>
      </w:r>
      <w:r>
        <w:rPr>
          <w:rStyle w:val="Emphasis"/>
        </w:rPr>
        <w:t>Proceedings of the 34th International Conference on Machine Learning, Proceedings of Machine Learning Research, 70</w:t>
      </w:r>
      <w:r>
        <w:t xml:space="preserve"> (pp. 1321–1330). https://proceedings.mlr.press/v70/guo17a.html</w:t>
      </w:r>
      <w:bookmarkEnd w:id="181"/>
    </w:p>
    <w:p>
      <w:pPr>
        <w:pStyle w:val="Reference"/>
        <w:jc w:val="left"/>
      </w:pPr>
      <w:bookmarkStart w:name="bib_ref_10" w:id="182"/>
      <w:r>
        <w:t xml:space="preserve">[10] He, K., Zhang, X., Ren, S., &amp; Sun, J. (2016). Deep residual learning for image recognition. In </w:t>
      </w:r>
      <w:r>
        <w:rPr>
          <w:rStyle w:val="Emphasis"/>
        </w:rPr>
        <w:t>Proceedings of the IEEE Conference on Computer Vision and Pattern Recognition</w:t>
      </w:r>
      <w:r>
        <w:t xml:space="preserve"> (pp. 770–778). https://doi.org/10.1109/CVPR.2016.90</w:t>
      </w:r>
      <w:bookmarkEnd w:id="182"/>
    </w:p>
    <w:p>
      <w:pPr>
        <w:pStyle w:val="Reference"/>
        <w:jc w:val="left"/>
      </w:pPr>
      <w:bookmarkStart w:name="bib_ref_11" w:id="183"/>
      <w:r>
        <w:t xml:space="preserve">[11] Huang, G., Liu, Z., van der Maaten, L., &amp; Weinberger, K. Q. (2017). Densely connected convolutional networks. In </w:t>
      </w:r>
      <w:r>
        <w:rPr>
          <w:rStyle w:val="Emphasis"/>
        </w:rPr>
        <w:t>Proceedings of the IEEE Conference on Computer Vision and Pattern Recognition</w:t>
      </w:r>
      <w:r>
        <w:t xml:space="preserve"> (pp. 2261–2269). https://arxiv.org/abs/1608.06993</w:t>
      </w:r>
      <w:bookmarkEnd w:id="183"/>
    </w:p>
    <w:p>
      <w:pPr>
        <w:pStyle w:val="Reference"/>
        <w:jc w:val="left"/>
      </w:pPr>
      <w:bookmarkStart w:name="bib_ref_12" w:id="184"/>
      <w:r>
        <w:t xml:space="preserve">[12] Liu, Z., Lin, Y., Cao, Y., Hu, H., Wei, Y., Zhang, Z., Lin, S., &amp; Guo, B. (2021). Swin Transformer: Hierarchical vision transformer using shifted windows. In </w:t>
      </w:r>
      <w:r>
        <w:rPr>
          <w:rStyle w:val="Emphasis"/>
        </w:rPr>
        <w:t>Proceedings of the IEEE/CVF International Conference on Computer Vision</w:t>
      </w:r>
      <w:r>
        <w:t xml:space="preserve"> (pp. 10012–10022). https://arxiv.org/abs/2103.14030</w:t>
      </w:r>
      <w:bookmarkEnd w:id="184"/>
    </w:p>
    <w:p>
      <w:pPr>
        <w:pStyle w:val="Reference"/>
        <w:jc w:val="left"/>
      </w:pPr>
      <w:bookmarkStart w:name="bib_ref_13" w:id="185"/>
      <w:r>
        <w:t xml:space="preserve">[13] Nielsen, J. (1994). Enhancing the explanatory power of usability heuristics. In </w:t>
      </w:r>
      <w:r>
        <w:rPr>
          <w:rStyle w:val="Emphasis"/>
        </w:rPr>
        <w:t>Proceedings of the SIGCHI Conference on Human Factors in Computing Systems</w:t>
      </w:r>
      <w:r>
        <w:t xml:space="preserve"> (pp. 152–158). https://doi.org/10.1145/191666.191729</w:t>
      </w:r>
      <w:bookmarkEnd w:id="185"/>
    </w:p>
    <w:p>
      <w:pPr>
        <w:pStyle w:val="Reference"/>
        <w:jc w:val="left"/>
      </w:pPr>
      <w:bookmarkStart w:name="bib_ref_14" w:id="186"/>
      <w:r>
        <w:t xml:space="preserve">[14] Paszke, A., et al. (2019). PyTorch: An imperative style, high-performance deep learning library. In </w:t>
      </w:r>
      <w:r>
        <w:rPr>
          <w:rStyle w:val="Emphasis"/>
        </w:rPr>
        <w:t>Advances in Neural Information Processing Systems, 32</w:t>
      </w:r>
      <w:r>
        <w:t>. https://proceedings.neurips.cc/paper/2019/hash/bdbca288fee7f92f2bfa9f7012727740-Abstract.html</w:t>
      </w:r>
      <w:bookmarkEnd w:id="186"/>
    </w:p>
    <w:p>
      <w:pPr>
        <w:pStyle w:val="Reference"/>
        <w:jc w:val="left"/>
      </w:pPr>
      <w:bookmarkStart w:name="bib_ref_15" w:id="187"/>
      <w:r>
        <w:t xml:space="preserve">[15] Ronneberger, O., Fischer, P., &amp; Brox, T. (2015). U-Net: Convolutional networks for biomedical image segmentation. In </w:t>
      </w:r>
      <w:r>
        <w:rPr>
          <w:rStyle w:val="Emphasis"/>
        </w:rPr>
        <w:t>Medical Image Computing and Computer-Assisted Intervention – MICCAI 2015</w:t>
      </w:r>
      <w:r>
        <w:t xml:space="preserve"> (pp. 234–241). https://doi.org/10.1007/978-3-319-24574-4_28</w:t>
      </w:r>
      <w:bookmarkEnd w:id="187"/>
    </w:p>
    <w:p>
      <w:pPr>
        <w:pStyle w:val="Reference"/>
        <w:jc w:val="left"/>
      </w:pPr>
      <w:bookmarkStart w:name="bib_ref_16" w:id="188"/>
      <w:r>
        <w:t xml:space="preserve">[16] Tan, M., &amp; Le, Q. V. (2019). EfficientNet: Rethinking model scaling for convolutional neural networks. In </w:t>
      </w:r>
      <w:r>
        <w:rPr>
          <w:rStyle w:val="Emphasis"/>
        </w:rPr>
        <w:t>Proceedings of the 36th International Conference on Machine Learning, Proceedings of Machine Learning Research, 97</w:t>
      </w:r>
      <w:r>
        <w:t xml:space="preserve"> (pp. 6105–6114). https://proceedings.mlr.press/v97/tan19a.html</w:t>
      </w:r>
      <w:bookmarkEnd w:id="188"/>
    </w:p>
    <w:p>
      <w:pPr>
        <w:pStyle w:val="Reference"/>
        <w:jc w:val="left"/>
      </w:pPr>
      <w:bookmarkStart w:name="bib_ref_17" w:id="189"/>
      <w:r>
        <w:t xml:space="preserve">[17] Xiao, T., Liu, Y., Zhou, B., Jiang, Y., &amp; Sun, J. (2018). Unified perceptual parsing for scene understanding. In </w:t>
      </w:r>
      <w:r>
        <w:rPr>
          <w:rStyle w:val="Emphasis"/>
        </w:rPr>
        <w:t>Proceedings of the European Conference on Computer Vision</w:t>
      </w:r>
      <w:r>
        <w:t xml:space="preserve"> (pp. 418–434). https://arxiv.org/abs/1807.10221</w:t>
      </w:r>
      <w:bookmarkEnd w:id="189"/>
    </w:p>
    <w:p>
      <w:pPr>
        <w:pStyle w:val="Heading2"/>
      </w:pPr>
      <w:bookmarkStart w:id="170" w:name="ref_group_3"/>
      <w:r>
        <w:t>III. Books and Book Chapters</w:t>
      </w:r>
      <w:bookmarkEnd w:id="170"/>
    </w:p>
    <w:p>
      <w:pPr>
        <w:pStyle w:val="Reference"/>
        <w:jc w:val="left"/>
      </w:pPr>
      <w:bookmarkStart w:name="bib_ref_18" w:id="190"/>
      <w:r>
        <w:t xml:space="preserve">[18] Brooke, J. (1996). SUS: A “quick and dirty” usability scale. In P. W. Jordan, B. Thomas, B. A. Weerdmeester, &amp; I. L. McClelland (Eds.), </w:t>
      </w:r>
      <w:r>
        <w:rPr>
          <w:rStyle w:val="Emphasis"/>
        </w:rPr>
        <w:t>Usability Evaluation in Industry</w:t>
      </w:r>
      <w:r>
        <w:t xml:space="preserve"> (pp. 189–194). Taylor &amp; Francis.</w:t>
      </w:r>
      <w:bookmarkEnd w:id="190"/>
    </w:p>
    <w:p>
      <w:pPr>
        <w:pStyle w:val="Reference"/>
      </w:pPr>
      <w:bookmarkStart w:name="bib_ref_19" w:id="191"/>
      <w:r>
        <w:t xml:space="preserve">[19] Gamma, E., Helm, R., Johnson, R., &amp; Vlissides, J. (1994). </w:t>
      </w:r>
      <w:r>
        <w:rPr>
          <w:rStyle w:val="Emphasis"/>
        </w:rPr>
        <w:t>Design Patterns: Elements of Reusable Object-Oriented Software</w:t>
      </w:r>
      <w:r>
        <w:t>. Reading, MA: Addison-Wesley.</w:t>
      </w:r>
      <w:bookmarkEnd w:id="191"/>
    </w:p>
    <w:p>
      <w:pPr>
        <w:pStyle w:val="Reference"/>
      </w:pPr>
      <w:bookmarkStart w:name="bib_ref_20" w:id="192"/>
      <w:r>
        <w:t xml:space="preserve">[20] Kreibich, J. A. (2010). </w:t>
      </w:r>
      <w:r>
        <w:rPr>
          <w:rStyle w:val="Emphasis"/>
        </w:rPr>
        <w:t>Using SQLite</w:t>
      </w:r>
      <w:r>
        <w:t>. Sebastopol, CA: O’Reilly Media.</w:t>
      </w:r>
      <w:bookmarkEnd w:id="192"/>
    </w:p>
    <w:p>
      <w:pPr>
        <w:pStyle w:val="Heading2"/>
      </w:pPr>
      <w:bookmarkStart w:id="171" w:name="ref_group_4"/>
      <w:r>
        <w:t>IV. Magazine and Technical Articles</w:t>
      </w:r>
      <w:bookmarkEnd w:id="171"/>
    </w:p>
    <w:p>
      <w:pPr>
        <w:pStyle w:val="Reference"/>
        <w:jc w:val="left"/>
      </w:pPr>
      <w:bookmarkStart w:name="bib_ref_21" w:id="193"/>
      <w:r>
        <w:t xml:space="preserve">[21] Hunter, J. D. (2007). Matplotlib: A 2D graphics environment. </w:t>
      </w:r>
      <w:r>
        <w:rPr>
          <w:rStyle w:val="Emphasis"/>
        </w:rPr>
        <w:t>Computing in Science &amp; Engineering</w:t>
      </w:r>
      <w:r>
        <w:t xml:space="preserve">, </w:t>
      </w:r>
      <w:r>
        <w:rPr>
          <w:rStyle w:val="Emphasis"/>
        </w:rPr>
        <w:t>9</w:t>
      </w:r>
      <w:r>
        <w:t>(3), 90–95. https://doi.org/10.1109/MCSE.2007.55</w:t>
      </w:r>
      <w:bookmarkEnd w:id="193"/>
    </w:p>
    <w:p>
      <w:pPr>
        <w:pStyle w:val="Heading2"/>
      </w:pPr>
      <w:bookmarkStart w:id="172" w:name="ref_group_5"/>
      <w:r>
        <w:t>V. Standards, Documentation, and Online Resources</w:t>
      </w:r>
      <w:bookmarkEnd w:id="172"/>
    </w:p>
    <w:p>
      <w:pPr>
        <w:pStyle w:val="Reference"/>
        <w:jc w:val="left"/>
      </w:pPr>
      <w:bookmarkStart w:name="bib_ref_22" w:id="194"/>
      <w:r>
        <w:t xml:space="preserve">[22] Aiforia. (n.d.). </w:t>
      </w:r>
      <w:r>
        <w:rPr>
          <w:rStyle w:val="Emphasis"/>
        </w:rPr>
        <w:t>Aiforia Create</w:t>
      </w:r>
      <w:r>
        <w:t>. Product information. https://www.aiforia.com/aiforia-create</w:t>
      </w:r>
      <w:bookmarkEnd w:id="194"/>
    </w:p>
    <w:p>
      <w:pPr>
        <w:pStyle w:val="Reference"/>
      </w:pPr>
      <w:bookmarkStart w:name="bib_ref_23" w:id="195"/>
      <w:r>
        <w:t xml:space="preserve">[23] fpdf2 Contributors. (n.d.). </w:t>
      </w:r>
      <w:r>
        <w:rPr>
          <w:rStyle w:val="Emphasis"/>
        </w:rPr>
        <w:t>fpdf2: Simple PDF generation for Python</w:t>
      </w:r>
      <w:r>
        <w:t>. Project documentation. https://github.com/py-pdf/fpdf2</w:t>
      </w:r>
      <w:bookmarkEnd w:id="195"/>
    </w:p>
    <w:p>
      <w:pPr>
        <w:pStyle w:val="Reference"/>
      </w:pPr>
      <w:bookmarkStart w:name="bib_ref_24" w:id="196"/>
      <w:r>
        <w:t xml:space="preserve">[24] Kather, J. N., Halama, N., &amp; Marx, A. (2018). </w:t>
      </w:r>
      <w:r>
        <w:rPr>
          <w:rStyle w:val="Emphasis"/>
        </w:rPr>
        <w:t>100,000 histological images of human colorectal cancer and healthy tissue</w:t>
      </w:r>
      <w:r>
        <w:t xml:space="preserve"> (v0.1) [Data set]. Zenodo. https://doi.org/10.5281/zenodo.1214456</w:t>
      </w:r>
      <w:bookmarkEnd w:id="196"/>
    </w:p>
    <w:p>
      <w:pPr>
        <w:pStyle w:val="Reference"/>
        <w:jc w:val="left"/>
      </w:pPr>
      <w:bookmarkStart w:name="bib_ref_25" w:id="197"/>
      <w:r>
        <w:t xml:space="preserve">[25] NumPy Developers. (n.d.). </w:t>
      </w:r>
      <w:r>
        <w:rPr>
          <w:rStyle w:val="Emphasis"/>
        </w:rPr>
        <w:t>NumPy user guide</w:t>
      </w:r>
      <w:r>
        <w:t>. https://numpy.org/doc/stable/user/</w:t>
      </w:r>
      <w:bookmarkEnd w:id="197"/>
    </w:p>
    <w:p>
      <w:pPr>
        <w:pStyle w:val="Reference"/>
        <w:jc w:val="left"/>
      </w:pPr>
      <w:bookmarkStart w:name="bib_ref_26" w:id="198"/>
      <w:r>
        <w:t xml:space="preserve">[26] Pillow Contributors. (n.d.). </w:t>
      </w:r>
      <w:r>
        <w:rPr>
          <w:rStyle w:val="Emphasis"/>
        </w:rPr>
        <w:t>Pillow documentation: Image processing and resampling</w:t>
      </w:r>
      <w:r>
        <w:t>. https://pillow.readthedocs.io/en/stable/</w:t>
      </w:r>
      <w:bookmarkEnd w:id="198"/>
    </w:p>
    <w:p>
      <w:pPr>
        <w:pStyle w:val="Reference"/>
        <w:jc w:val="left"/>
      </w:pPr>
      <w:bookmarkStart w:name="bib_ref_27" w:id="199"/>
      <w:r>
        <w:t xml:space="preserve">[27] PyInstaller Development Team. (n.d.). </w:t>
      </w:r>
      <w:r>
        <w:rPr>
          <w:rStyle w:val="Emphasis"/>
        </w:rPr>
        <w:t>PyInstaller documentation</w:t>
      </w:r>
      <w:r>
        <w:t>. https://pyinstaller.org/en/stable/</w:t>
      </w:r>
      <w:bookmarkEnd w:id="199"/>
    </w:p>
    <w:p>
      <w:pPr>
        <w:pStyle w:val="Reference"/>
        <w:jc w:val="left"/>
      </w:pPr>
      <w:bookmarkStart w:name="bib_ref_28" w:id="200"/>
      <w:r>
        <w:t xml:space="preserve">[28] PyTorch Contributors. (n.d.). </w:t>
      </w:r>
      <w:r>
        <w:rPr>
          <w:rStyle w:val="Emphasis"/>
        </w:rPr>
        <w:t>torch.load; inference_mode; serialization semantics</w:t>
      </w:r>
      <w:r>
        <w:t>. PyTorch documentation. https://pytorch.org/docs/stable/</w:t>
      </w:r>
      <w:bookmarkEnd w:id="200"/>
    </w:p>
    <w:p>
      <w:pPr>
        <w:pStyle w:val="Reference"/>
        <w:jc w:val="left"/>
      </w:pPr>
      <w:bookmarkStart w:name="bib_ref_29" w:id="201"/>
      <w:r>
        <w:t xml:space="preserve">[29] Riverbank Computing. (n.d.). </w:t>
      </w:r>
      <w:r>
        <w:rPr>
          <w:rStyle w:val="Emphasis"/>
        </w:rPr>
        <w:t>PyQt5 reference guide</w:t>
      </w:r>
      <w:r>
        <w:t>. https://www.riverbankcomputing.com/static/Docs/PyQt5/</w:t>
      </w:r>
      <w:bookmarkEnd w:id="201"/>
    </w:p>
    <w:p>
      <w:pPr>
        <w:pStyle w:val="Reference"/>
        <w:jc w:val="left"/>
      </w:pPr>
      <w:bookmarkStart w:name="bib_ref_30" w:id="202"/>
      <w:r>
        <w:t xml:space="preserve">[30] SQLite. (n.d.). </w:t>
      </w:r>
      <w:r>
        <w:rPr>
          <w:rStyle w:val="Emphasis"/>
        </w:rPr>
        <w:t>Zero-configuration</w:t>
      </w:r>
      <w:r>
        <w:t>. SQLite documentation. https://sqlite.org/zeroconf.html</w:t>
      </w:r>
      <w:bookmarkEnd w:id="202"/>
    </w:p>
    <w:p>
      <w:pPr>
        <w:pStyle w:val="Reference"/>
        <w:jc w:val="left"/>
      </w:pPr>
      <w:bookmarkStart w:name="bib_ref_31" w:id="203"/>
      <w:r>
        <w:t xml:space="preserve">[31] The Qt Company. (n.d.). </w:t>
      </w:r>
      <w:r>
        <w:rPr>
          <w:rStyle w:val="Emphasis"/>
        </w:rPr>
        <w:t>Qt 5 documentation: QThread, QScreen, QGraphicsView and high-DPI support</w:t>
      </w:r>
      <w:r>
        <w:t>. https://doc.qt.io/qt-5/</w:t>
      </w:r>
      <w:bookmarkEnd w:id="203"/>
    </w:p>
    <w:p>
      <w:pPr>
        <w:pStyle w:val="Reference"/>
        <w:jc w:val="left"/>
      </w:pPr>
      <w:bookmarkStart w:name="bib_ref_32" w:id="204"/>
      <w:r>
        <w:t xml:space="preserve">[32] W3C. (2023). </w:t>
      </w:r>
      <w:r>
        <w:rPr>
          <w:rStyle w:val="Emphasis"/>
        </w:rPr>
        <w:t>Web Content Accessibility Guidelines (WCAG) 2.2</w:t>
      </w:r>
      <w:r>
        <w:t>. W3C Recommendation, 5 October 2023. https://www.w3.org/TR/WCAG22/</w:t>
      </w:r>
      <w:bookmarkEnd w:id="204"/>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 A.1 retains the CP1 planning baseline, and Table A.2 retains the original CP2 plan.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CP1 Week</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Phase Theme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Key Activities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Deliverables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Project Initiation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Finalize project title; articulate the no-code core concept; complete and submit the Student Assessment Form (SAF) for supervisor approval.</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Approved SAF with registered title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Problem Identification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Identify three core gaps in existing platforms; draft the initial system flowchart; analyse QuPath, Slideflow and WSInfer; tabulate the feature comparison.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Draft problem statement and initial flowchart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5</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Background Research</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Collect and summaries ≥10 peer-reviewed articles covering digital pathology, deep learning, no-code AI and clinical usability; draft Chapter 1.1–1.2.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Annotated bibliography (≥10 articles)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Objective Definition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Define three research questions and seven specific objectives; delineate in-scope and out-of-scope items; articulate significance and SDG 3/4 alignment.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Completed Chapter 1</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Literature Extension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Add five further articles (total ≥15); focus on PyTorch deployment, SQLite management and HCI heuristics; refine flowcharts into Figures 3.1 and 3.2; draft the three-layer architecture.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Expanded bibliography and detailed design diagrams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8</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Semester Break</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Cognitive digestion of collected literature; informal reading; mental preparation for the intensive writing phase.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None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Chapter 2 Completion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Synthesize all reviewed literature into coherent Chapter 2 sections; finalize and justify the development toolset (Python 3.10, PyQt5, PyTorch, SQLite, Matplotlib, fpdf2 and PyInstaller).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Completed Chapter 2 and technology justification table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10</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Methodology Documentation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Document Chapter 3, including architecture, class diagram, model constraints, preprocessing, database schema and use cases UC1–UC4; formalize testing and evaluation methodology; prepare the initial Gantt chart.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Completed Chapter 3 and draft CP1 work plan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11</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CP2 Planning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Draft a detailed CP2 work plan defining coding sprints, testing phases, evaluation schedules and thesis milestones; draft the abstract (≤300 words).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Draft CP2 work plan and abstract draft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Plan Finalization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Refine the CP2 plan based on Chapter 3 complexity; add explicit testing and debugging buffers; finalize the abstract incorporating supervisor feedback.</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Finalized CP2 work plan and finalized abstract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Integration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Merge CP1 and CP2 plans into a unified Gantt chart; cross-check deliverables against research questions; standardize Harvard citations; verify figure/table numbering and heading hierarchy.</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Fully formatted draft document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CP1 Submission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Compile Chapters 1–4, abstract and all appendices into a single PDF; submit via eLearn before the deadline; corresponds to Go/No-Go Gate A.</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256"/>
        <w:gridCol w:w="2256"/>
        <w:gridCol w:w="2256"/>
        <w:gridCol w:w="2256"/>
      </w:tblGrid>
      <w:tr>
        <w:trPr>
          <w:cantSplit/>
          <w:tblHeader/>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CP2 Week</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Development Layer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Key Activities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Milestone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Core Architecture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Functional project skeleton with passing unit tests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Presentation Layer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Fully navigable GUI shell with all panels interactive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5–6</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Inference Layer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Functional end-to-end inference pipeline</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6–7</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Data Layer</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Persistent history management and professional report generation</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7–8</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Integration &amp; Refinement</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Stable, accessible application ready for formal testing (Gate B)</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9–10</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Testing &amp; Validation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Comprehensive test report with validated accuracy benchmarks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11</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Usability Evaluation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Completed SUS scores and qualitative interview transcripts</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12</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Results &amp; Packaging</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Validated evaluation report and deployable executable (Gate C)</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13</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Thesis Completion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 thesis draft</w:t>
            </w:r>
          </w:p>
        </w:tc>
      </w:tr>
      <w:tr>
        <w:trPr>
          <w:cantSplit/>
        </w:trPr>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14</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Final Submission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Proofread and format the complete thesis; compile the final PDF; prepare the executable and supplementary materials; submit all deliverables via eLearn.</w:t>
            </w:r>
          </w:p>
        </w:tc>
        <w:tc>
          <w:tcPr>
            <w:tcW w:type="dxa" w:w="225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3009"/>
        <w:gridCol w:w="3009"/>
        <w:gridCol w:w="3009"/>
      </w:tblGrid>
      <w:tr>
        <w:trPr>
          <w:cantSplit/>
          <w:tblHeader/>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Milestone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Available evidence</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Current status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Core interface/inference/persistence integration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Evaluated revision 3a935ef; complete 27 Oct Windows log/XML and source/resource identity records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Implemented under supported contracts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Linked original/result views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Source history including revision 206b51f and current tests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Actual Windows source/segmentation comparison and numbered-crop captures supplied; complete formal acceptance still pending.</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Cancellation and independent model defaults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Revision 12633fb and lifecycle/default tests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Implemented with cooperative-stop limits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Settings/history semantics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Revisions 643099b and 562ce39</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Implemented and regression-tested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Settings guide and responsive comparison refinement</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Revision e058354</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Implemented and tested with fixtures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Full-area result toggles and English calendar</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Evaluated revision 3a935ef; earlier source history retained in Appendix C</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complete Windows regression passed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Classifier training and evaluation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30-epoch record, epoch-26 checkpoint, 7,180 predictions and matching metrics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Default-Pillow patch evaluation completed; 90.68% accuracy / 88.59% macro-F1; generalisation limits retained</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Formal UAT and Windows acceptance record</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 current Windows automated regression plus actual image screenshots/PDF/JSON; no UAT responses or completed W01–W15 sheets supplied.</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Automated Windows verification complete; formal manual acceptance and UAT pending</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Clean-machine packaged distribution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Build script/specification and resource preflight implemented; no verified package or clean-machine run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Build preparation implemented; deployment verification pending</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Native Windows full-suite regression</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 log/XML/exit code at revision 3a935ef; 508 distinct passing cases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Completed on 27 Oct 2026; 0 failures, errors or skipped cases</w:t>
            </w:r>
          </w:p>
        </w:tc>
      </w:tr>
      <w:tr>
        <w:trPr>
          <w:cantSplit/>
        </w:trPr>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Current-source regression and refinements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Revision 3a935ef; current export, navigation, preferences and settings-isolation cases</w:t>
            </w:r>
          </w:p>
        </w:tc>
        <w:tc>
          <w:tcPr>
            <w:tcW w:type="dxa" w:w="3009"/>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Implemented and included in the completed Windows regression; real-image manual acceptance remains separate</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The evaluated software source and complete Windows regression are recorded. The representative image groups, actual PDF/JSON and completed recorded Re-run evidence have been supplied. Before submission, complete source-stamped formal acceptance and UAT, and supply semester/submission date. Preserve the original scope of classifier evaluation and dated Windows evidence. Performance or deployment claims require the corresponding protocols.</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r>
        <w:t>Before recruitment, record the institution’s actual approval or exemption requirement and its reference if applicable; no approval is claimed here. Explain the permitted recording, quotation and withdrawal arrangements, access-limited storage and disposal under the applicable assessment/appeal and institutional retention rules. The exact approved storage/retention arrangements remain fields to complete in the study register, rather than an invented ethics clearance.</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pPr/>
      <w:r>
        <w:t>Table B.1 specifies the UAT tasks, participant instructions and observable success criteria to be used during the planned study.</w:t>
      </w:r>
    </w:p>
    <w:p>
      <w:bookmarkStart w:id="144" w:name="cap_Table_B_1"/>
      <w:pPr>
        <w:pStyle w:val="TableCaption"/>
      </w:pPr>
      <w:r>
        <w:t>Table B.1. UAT tasks and success criteria</w:t>
      </w:r>
      <w:bookmarkEnd w:id="144"/>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680"/>
        <w:gridCol w:w="3855"/>
        <w:gridCol w:w="4490"/>
      </w:tblGrid>
      <w:tr>
        <w:trPr>
          <w:cantSplit/>
          <w:tblHeader/>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Task</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Participant instruction</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Observer success criterion</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T01</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Load approved P01 and run Single image with classification model M01</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Correct P01/M01/mode and completed output identified; no coding</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T02</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Load approved P02 (1024 × 768), choose Tiled analysis and set 256 × 256 using Square</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source geometry 256 × 256, Pillow bilinear, 12 tiles (4 columns × 3 rows); no claim of an optimal scale</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T03</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Show tile numbers, select tile #6 and explain its class/confidence and coverage</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Tile #6 rectangle [256, 256, 512, 512]; image/table/crop agree; explains model score and tile-class estimate</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T04</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Compare the tile-6 region with the original, pan/zoom linked views, then return to Fit</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Corresponding region remains aligned; participant returns to Fit without resetting preferences</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T05</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Open the prepared real-model segmentation result S01; inspect overlay/map and coverage</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Distinguishes segmentation’s own labels and pixel coverage from classification estimates; no diagnostic correctness task</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T06</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Find and restore prepared tiled record R01 using the assigned keyword/date</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Correct R01 shown with its saved result/parameters; no inference or new record</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T07</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Set current dimensions to 512 × 512, Re-run R01, then start ordinary Run Inference</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Re-run retains 256 × 256 and 12 tiles; ordinary Run uses current 512 × 512 and 4 tiles; records are distinguished</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T08</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 the nominated completed record as Standard PDF and PNG; identify its metadata</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Correct files/record identity/statistics; PDF quality identified and source dimensions retained</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T09</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Start approved workload C01 and request cancellation; inspect the completed history</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Request and acknowledgement recognised; no partial completed record; previous completed results retained</w:t>
            </w:r>
          </w:p>
        </w:tc>
      </w:tr>
      <w:tr>
        <w:trPr>
          <w:cantSplit/>
        </w:trPr>
        <w:tc>
          <w:tcPr>
            <w:tcW w:type="dxa" w:w="68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T10</w:t>
            </w:r>
          </w:p>
        </w:tc>
        <w:tc>
          <w:tcPr>
            <w:tcW w:type="dxa" w:w="385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Set validated real classification model M01 as that task’s default, then restore built-in</w:t>
            </w:r>
          </w:p>
        </w:tc>
        <w:tc>
          <w:tcPr>
            <w:tcW w:type="dxa" w:w="4490"/>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Classification default changes/restores; segmentation default and old records remain unchanged</w:t>
            </w:r>
          </w:p>
        </w:tc>
      </w:tr>
    </w:tbl>
    <w:p>
      <w:pPr/>
      <w:r>
        <w:t>Source: author’s UAT task protocol.</w:t>
      </w:r>
    </w:p>
    <w:p>
      <w:pPr>
        <w:spacing w:after="40"/>
      </w:pPr>
    </w:p>
    <w:p>
      <w:pPr>
        <w:jc w:val="both"/>
      </w:pPr>
      <w:r>
        <w:t>Protocol 1.0 uses a 180-second task limit from the end of the instruction, except T08 export and T09 cancellation, which allow 300 seconds. Observer timing separates user-action time from application waiting where possible. At the limit, record Timeout; offer help only after that outcome is saved. Independent success requires no task-solving hint. Repeating an instruction verbatim is logged as clarification; a directional or procedural hint makes completion assisted. A critical error is an action that produces/exports the wrong nominated result, changes the wrong task default, deletes a required record, or confuses estimated coverage with pixel ground truth. Intended cancellation succeeds on acknowledgement and preservation of completed records. A missing material or crash is recorded as environment-blocked/system failure separately from participant inability. These predefined rules can be revised before the first participant, with a new protocol version, but not selected retrospectively to improve results.</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pPr/>
      <w:r>
        <w:t>The material register maps P01/P02/S01/R01/C01/M01 to actual filenames, checksums, permissions and source/record identifiers. Its current blank source fields mean the pack is not yet authorised for execution. Before each session, restore the same prepared application profile and records; retain the participant’s anonymous ID and software revision. A five-minute orientation uses a separate practice example. T01–T10 keep a fixed order for comparability, so results will acknowledge possible learning/fatigue effects rather than claim a counterbalanced experiment.</w:t>
      </w:r>
    </w:p>
    <w:p>
      <w:bookmarkStart w:id="145" w:name="head_109"/>
      <w:pPr>
        <w:pStyle w:val="Heading3"/>
      </w:pPr>
      <w:r>
        <w:t>B.4 System Usability Scale questionnaire</w:t>
      </w:r>
      <w:bookmarkEnd w:id="145"/>
    </w:p>
    <w:p>
      <w:pPr>
        <w:jc w:val="both"/>
      </w:pPr>
      <w:r>
        <w:t xml:space="preserve">After completing the tasks, ask participants to rate the following standard SUS statements from 1 (Strongly disagree) to 5 (Strongly agree). Keep their order and wording consistent; analyse these ten items separately from the project-specific questions </w:t>
      </w:r>
      <w:hyperlink w:history="1" w:anchor="bib_ref_18">
        <w:r>
          <w:rPr>
            <w:rStyle w:val="Hyperlink"/>
          </w:rPr>
          <w:t>(Brooke, 1996)</w:t>
        </w:r>
      </w:hyperlink>
      <w:r>
        <w:t>.</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Evaluated source and evidence</w:t>
      </w:r>
      <w:bookmarkEnd w:id="149"/>
    </w:p>
    <w:p>
      <w:pPr>
        <w:jc w:val="both"/>
      </w:pPr>
      <w:r>
        <w:t>The evaluated application source is commit 3a935efaae05bf6cf15eda32d1c6e6aff2cc29d5. Its complete native Windows Qt execution on 27 October 2026 passed all 508 cases. Source and resource manifests were unchanged through execution, and Git status was clean before and after testing. Table C.1 identifies the supporting materials; Table C.2 retains the earlier Windows outcomes with their own source versions.</w:t>
      </w:r>
    </w:p>
    <w:p>
      <w:pPr/>
      <w:r>
        <w:t>The invocation used the project’s Python environment, an expected-commit check, a clean-source check and an explicitly requested native Windows Qt platform. The command was python -m pytest -ra --tb=long --color=no --junitxml=[EVIDENCE]/pytest.xml, executed through the project virtual environment. The log, XML and exit status were retained. The console summary reports 268.74 seconds; XML reports 268.009 seconds and the outer collector 271.218 seconds. They are separate instrumentation intervals, all concerning software testing rather than model inference. Model identities and original checkpoint sizes are recorded in Appendix E.</w:t>
      </w:r>
    </w:p>
    <w:p>
      <w:pPr/>
      <w:r>
        <w:t>The new image collection contains direct-run screenshots with analysis timestamps in October and separate History/default demonstrations. The application commit used for these capture sessions was not provided. Accordingly, the figures identify their displayed records rather than assigning the 3a935ef automated-test identity or deriving capture dates from stored record timestamps. The author identifies the custom-default demonstration file as a test model.</w:t>
      </w:r>
    </w:p>
    <w:p>
      <w:bookmarkStart w:id="150" w:name="cap_Table_C_1"/>
      <w:pPr>
        <w:pStyle w:val="TableCaption"/>
      </w:pPr>
      <w:r>
        <w:t>Table C.1. Principal evidence sources</w:t>
      </w:r>
      <w:bookmarkEnd w:id="150"/>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907"/>
        <w:gridCol w:w="4082"/>
        <w:gridCol w:w="4037"/>
      </w:tblGrid>
      <w:tr>
        <w:trPr>
          <w:cantSplit/>
          <w:tblHeader/>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ID</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Source</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Supports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E01</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core/model_loader.py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Supported representations, size limit, metadata/probe checks, UPerNet reconstruction</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E02</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core/preprocessor.py; supervisor-provided train_crc_dn21.py and experiment records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RGB/raw255/input size, selectable resize, reference transforms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E03</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core/classification_tiles.py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Crop geometry, edge areas, nine-class palette, counts and aggregate probabilities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E04</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core/large_image_segmentation.py; core/inference_engine.py; supervisor-provided inference notebook</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Independent segmentation defaults, fusion/restoration and worker cancellation</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E05</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ui/main_window.py; data/database_manager.py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Artifact/record creation, recorded rerun, local data paths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E06</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ui/classification_result.py; ui/segmentation_result.py; ui/image_comparison.py; ui/zoomable_image_view.py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Spatial views, legends, linked coordinates and vector grid</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E07</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ui/settings_dialog.py; ui/model_settings.py; ui/guide_view.py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Preferences, per-task defaults and reading-aware help</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E08</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ui/result_check_box.py; ui/theme.py; ui/history_panel.py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Full-area toggle input, focus styling and English calendar</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E09</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data/export_manager.py; tests/test_main_window_export.py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PNG/PDF and recorded task/model metadata</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E10</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Dated Windows collection, runtime, subset and complete-suite records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Environment/date-specific outcomes, commands and prerequisite states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E11</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Classification manifests, config.json, metrics.csv, training logs and best_model.pth</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data split, 30 epochs, selected epoch and checkpoint identity</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E12</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Classification test-7k predictions/report/matrix/summary files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7,180-image metrics; independently recomputed CSV consistency</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E13</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Supervisor-provided predict-upernet-tme-tissue-overlap.ipynb</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Segmentation architecture, independent preprocessing, labels and overlap fusion</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E14</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19 Oct 2026 Windows pytest log, XML result, exit code, test date and environment records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First Windows invocation: collection error, exit 2; resolved by restoring the original training script</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E15</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19 Oct 2026 original windows-app.log</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Successful startup/real-classifier validation and limited window states; no completed image inference or all-feature acceptance</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E16</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19 Oct Windows rerun: live progress, exit code and model-availability records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Earlier 359-item invocation stopped with no final totals; failure paths subsequently repaired and exercised in the final suite</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E17</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19 Oct default-Pillow predictions, class report, matrix, summary and environment</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7,180 completed patch predictions, model identity, actual preprocessing, reference label agreement and probability differences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E18</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19 Oct, 22:24 Windows related log/XML, exit code and Qt snapshot</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131 passed; native windows platform; independent subset, not added to the full-suite total</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E19</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19 Oct, 22:26 Windows full log/XML, exit code, Qt snapshot and source hashes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370 passed; 0 failed/errors/skipped; 15 warnings; 194.10 s; source content recorded in revision 7bd3552.</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E20</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data/pdf_report.py; ui/pdf_export_worker.py; PDF layout/quality and worker tests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Background atomic export, recorded metadata, exact palette preservation and Standard/Original resolution fixture sizes</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E21</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test_tile_preferences_lifetime.py</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Named preference-lifetime regression source asserts current-run dimensions, recorded rerun parameters, crop boxes, history metadata and active-run snapshot isolation.</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E22</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27 Oct 2026 complete Windows log/XML, exit status, runtime probe and source/resource manifests</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Revision 3a935ef: 508 passed; 0 failed/errors/skipped; 16 warnings; pytest summary 268.74 s; exit 0.</w:t>
            </w:r>
          </w:p>
        </w:tc>
      </w:tr>
      <w:tr>
        <w:trPr>
          <w:cantSplit/>
        </w:trPr>
        <w:tc>
          <w:tcPr>
            <w:tcW w:type="dxa" w:w="90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E23</w:t>
            </w:r>
          </w:p>
        </w:tc>
        <w:tc>
          <w:tcPr>
            <w:tcW w:type="dxa" w:w="4082"/>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27 Oct 2026 preceding Windows execution at source 8c4830c</w:t>
            </w:r>
          </w:p>
        </w:tc>
        <w:tc>
          <w:tcPr>
            <w:tcW w:type="dxa" w:w="40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505 distinct cases: 488 passed, 17 failed and 3 teardown errors; exit 1. Retained as the preceding source outcome, not added to the current total.</w:t>
            </w:r>
          </w:p>
        </w:tc>
      </w:tr>
      <w:tr>
        <w:trPr>
          <w:cantSplit/>
        </w:trPr>
        <w:tc>
          <w:tcPr>
            <w:tcW w:type="dxa" w:w="907"/>
            <w:vAlign w:val="center"/>
            <w:tcMar>
              <w:top w:w="85" w:type="dxa"/>
              <w:left w:w="85" w:type="dxa"/>
              <w:bottom w:w="85" w:type="dxa"/>
              <w:right w:w="85" w:type="dxa"/>
            </w:tcMar>
            <w:shd w:val="clear" w:color="auto" w:fill="FFFFFF"/>
          </w:tcPr>
          <w:p>
            <w:pPr>
              <w:keepNext/>
              <w:spacing w:line="269" w:lineRule="auto" w:before="0" w:after="60"/>
              <w:jc w:val="left"/>
            </w:pPr>
            <w:r>
              <w:rPr>
                <w:rFonts w:ascii="Arial" w:hAnsi="Arial" w:eastAsia="Noto Sans CJK SC"/>
                <w:b w:val="0"/>
                <w:sz w:val="19"/>
                <w:color w:val="000000"/>
              </w:rPr>
              <w:t>E24</w:t>
            </w:r>
          </w:p>
        </w:tc>
        <w:tc>
          <w:tcPr>
            <w:tcW w:type="dxa" w:w="4082"/>
            <w:vAlign w:val="center"/>
            <w:tcMar>
              <w:top w:w="85" w:type="dxa"/>
              <w:left w:w="85" w:type="dxa"/>
              <w:bottom w:w="85" w:type="dxa"/>
              <w:right w:w="85" w:type="dxa"/>
            </w:tcMar>
            <w:shd w:val="clear" w:color="auto" w:fill="FFFFFF"/>
          </w:tcPr>
          <w:p>
            <w:pPr>
              <w:keepNext/>
              <w:spacing w:line="269" w:lineRule="auto" w:before="0" w:after="60"/>
              <w:jc w:val="left"/>
            </w:pPr>
            <w:r>
              <w:rPr>
                <w:rFonts w:ascii="Arial" w:hAnsi="Arial" w:eastAsia="Noto Sans CJK SC"/>
                <w:b w:val="0"/>
                <w:sz w:val="19"/>
                <w:color w:val="000000"/>
              </w:rPr>
              <w:t>Author’s actual Windows screenshots, CRC-VAL-HE-7K TUM patch, two-page PDF and segmentation JSON supplied for the 30 Oct revision</w:t>
            </w:r>
          </w:p>
        </w:tc>
        <w:tc>
          <w:tcPr>
            <w:tcW w:type="dxa" w:w="4037"/>
            <w:vAlign w:val="center"/>
            <w:tcMar>
              <w:top w:w="85" w:type="dxa"/>
              <w:left w:w="85" w:type="dxa"/>
              <w:bottom w:w="85" w:type="dxa"/>
              <w:right w:w="85" w:type="dxa"/>
            </w:tcMar>
            <w:shd w:val="clear" w:color="auto" w:fill="FFFFFF"/>
          </w:tcPr>
          <w:p>
            <w:pPr>
              <w:keepNext/>
              <w:spacing w:line="269" w:lineRule="auto" w:before="0" w:after="60"/>
              <w:jc w:val="left"/>
            </w:pPr>
            <w:r>
              <w:rPr>
                <w:rFonts w:ascii="Arial" w:hAnsi="Arial" w:eastAsia="Noto Sans CJK SC"/>
                <w:b w:val="0"/>
                <w:sz w:val="19"/>
                <w:color w:val="000000"/>
              </w:rPr>
              <w:t>Representative classification/segmentation display, completed recorded Re-run #83, parameter isolation, export and cancellation; screenshot source revision not supplied; test-model configuration explicitly distinguished.</w:t>
            </w:r>
          </w:p>
        </w:tc>
      </w:tr>
    </w:tbl>
    <w:p>
      <w:pPr>
        <w:keepNext w:val="0"/>
        <w:keepLines/>
        <w:spacing w:before="60" w:after="120"/>
      </w:pPr>
      <w:r>
        <w:t>Source: application code, experiment files and dated test records.</w:t>
      </w:r>
    </w:p>
    <w:p>
      <w:pPr>
        <w:spacing w:after="40"/>
      </w:pPr>
    </w:p>
    <w:p>
      <w:bookmarkStart w:id="151" w:name="head_114"/>
      <w:pPr>
        <w:pStyle w:val="Heading3"/>
      </w:pPr>
      <w:r>
        <w:t>C.2 Evidence interpretation</w:t>
      </w:r>
      <w:bookmarkEnd w:id="151"/>
    </w:p>
    <w:p>
      <w:pPr>
        <w:jc w:val="both"/>
      </w:pPr>
      <w:r>
        <w:t>Table C.2 reports the completed current Windows execution separately from earlier Windows invocations. The preceding 8c4830c run had 505 distinct test identities, with 17 failures and 3 teardown errors attached to failing cases; its JUnit aggregate included 508 reports. The current 3a935ef invocation has 508 distinct cases, all passing. The older 131-case subset is an independent record and is not added to either complete-suite total.</w:t>
      </w:r>
    </w:p>
    <w:p>
      <w:pPr/>
      <w:r>
        <w:t>The preference-lifetime regression defines a record at 8 × 7 source pixels, changes preferences to 16 × 12, restores or reruns the old record and starts a new run. For a 31 × 23 synthetic raster, its assertions require four real rectangles, including smaller right/bottom edges, while recorded rerun must retain its original geometry and backend. These small dimensions define deterministic test inputs and do not recommend a biological tile scale.</w:t>
      </w:r>
    </w:p>
    <w:p>
      <w:pPr/>
      <w:r>
        <w:t>The 17 failures at 8c4830c comprised seven settings-leakage cases, three default-window cases affected by saved maximised state, four large-font layout cases, one compact action-panel case, one PDF path-wrapping case and one portable build-path case. The three teardown errors accompanied failing settings-related cases and are not additional test identities. The 8c4830c-to-3a935ef diff is retained with the supporting materials as Windows_Regression_Fix.diff and Tests_Before_After.diff. The isolation fixture redirects default organisation/application settings only during pytest, retains explicitly file-based settings and verifies persistence within each isolated store.</w:t>
      </w:r>
    </w:p>
    <w:p>
      <w:pPr>
        <w:pStyle w:val="TableCaption"/>
      </w:pPr>
      <w:bookmarkStart w:id="167" w:name="cap_Table_C_2"/>
      <w:r>
        <w:t>Table C.2. Windows automated execution history.</w:t>
      </w:r>
      <w:bookmarkEnd w:id="167"/>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2891"/>
        <w:gridCol w:w="935"/>
        <w:gridCol w:w="879"/>
        <w:gridCol w:w="1304"/>
        <w:gridCol w:w="3016"/>
      </w:tblGrid>
      <w:tr>
        <w:trPr>
          <w:cantSplit/>
          <w:tblHeader/>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Run / environment</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sz w:val="19"/>
                <w:color w:val="000000"/>
              </w:rPr>
              <w:t>Passed</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sz w:val="19"/>
                <w:color w:val="000000"/>
              </w:rPr>
              <w:t>Failed</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sz w:val="19"/>
                <w:color w:val="000000"/>
              </w:rPr>
              <w:t>Errors</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Interpretation</w:t>
            </w:r>
          </w:p>
        </w:tc>
      </w:tr>
      <w:tr>
        <w:trPr>
          <w:cantSplit/>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baseline, 19 Oct 2026; source 7bd3552</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370</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0</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0</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0 skipped; native Qt; 15 warnings; 194.10 s; exit 0. Source content recorded in revision 7bd3552.</w:t>
            </w:r>
          </w:p>
        </w:tc>
      </w:tr>
      <w:tr>
        <w:trPr>
          <w:cantSplit/>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19 Oct; 15:58 run</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Not final</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At least 2</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0 reported</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359 collected; runtime termination; exit 0xC0000409. No final summary.</w:t>
            </w:r>
          </w:p>
        </w:tc>
      </w:tr>
      <w:tr>
        <w:trPr>
          <w:cantSplit/>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19 Oct 2026; first run</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Not run</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Not run</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1</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356 collected; collection interrupted; 13 warnings; 24.76 s; exit 2.</w:t>
            </w:r>
          </w:p>
        </w:tc>
      </w:tr>
      <w:tr>
        <w:trPr>
          <w:cantSplit/>
        </w:trPr>
        <w:tc>
          <w:tcPr>
            <w:tcW w:type="dxa" w:w="2891"/>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Windows, 27 Oct 2026; source 8c4830c</w:t>
            </w:r>
          </w:p>
        </w:tc>
        <w:tc>
          <w:tcPr>
            <w:tcW w:type="dxa" w:w="935"/>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488</w:t>
            </w:r>
          </w:p>
        </w:tc>
        <w:tc>
          <w:tcPr>
            <w:tcW w:type="dxa" w:w="879"/>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17</w:t>
            </w:r>
          </w:p>
        </w:tc>
        <w:tc>
          <w:tcPr>
            <w:tcW w:type="dxa" w:w="1304"/>
            <w:vAlign w:val="center"/>
            <w:tcMar>
              <w:top w:w="85" w:type="dxa"/>
              <w:left w:w="85" w:type="dxa"/>
              <w:bottom w:w="85" w:type="dxa"/>
              <w:right w:w="85" w:type="dxa"/>
            </w:tcMar>
            <w:shd w:val="clear" w:color="auto" w:fill="FFFFFF"/>
          </w:tcPr>
          <w:p>
            <w:pPr>
              <w:keepNext w:val="0"/>
              <w:spacing w:line="269" w:lineRule="auto" w:before="0" w:after="60"/>
              <w:jc w:val="center"/>
            </w:pPr>
            <w:r>
              <w:rPr>
                <w:rFonts w:ascii="Arial" w:hAnsi="Arial" w:eastAsia="Noto Sans CJK SC"/>
                <w:b w:val="0"/>
                <w:sz w:val="19"/>
                <w:color w:val="000000"/>
              </w:rPr>
              <w:t>3</w:t>
            </w:r>
          </w:p>
        </w:tc>
        <w:tc>
          <w:tcPr>
            <w:tcW w:type="dxa" w:w="3016"/>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505 distinct cases; teardown errors overlap failed cases. 16 warnings; 389.62 s; exit 1.</w:t>
            </w:r>
          </w:p>
        </w:tc>
      </w:tr>
      <w:tr>
        <w:trPr>
          <w:cantSplit/>
        </w:trPr>
        <w:tc>
          <w:tcPr>
            <w:tcW w:type="dxa" w:w="2891"/>
            <w:vAlign w:val="center"/>
            <w:tcMar>
              <w:top w:w="85" w:type="dxa"/>
              <w:left w:w="85" w:type="dxa"/>
              <w:bottom w:w="85" w:type="dxa"/>
              <w:right w:w="85" w:type="dxa"/>
            </w:tcMar>
            <w:shd w:val="clear" w:color="auto" w:fill="FFFFFF"/>
          </w:tcPr>
          <w:p>
            <w:pPr>
              <w:keepNext/>
              <w:spacing w:line="269" w:lineRule="auto" w:before="0" w:after="60"/>
              <w:jc w:val="left"/>
            </w:pPr>
            <w:r>
              <w:rPr>
                <w:rFonts w:ascii="Arial" w:hAnsi="Arial" w:eastAsia="Noto Sans CJK SC"/>
                <w:b w:val="0"/>
                <w:sz w:val="19"/>
                <w:color w:val="000000"/>
              </w:rPr>
              <w:t>Windows, 27 Oct 2026; evaluated source 3a935ef</w:t>
            </w:r>
          </w:p>
        </w:tc>
        <w:tc>
          <w:tcPr>
            <w:tcW w:type="dxa" w:w="935"/>
            <w:vAlign w:val="center"/>
            <w:tcMar>
              <w:top w:w="85" w:type="dxa"/>
              <w:left w:w="85" w:type="dxa"/>
              <w:bottom w:w="85" w:type="dxa"/>
              <w:right w:w="85" w:type="dxa"/>
            </w:tcMar>
            <w:shd w:val="clear" w:color="auto" w:fill="FFFFFF"/>
          </w:tcPr>
          <w:p>
            <w:pPr>
              <w:keepNext/>
              <w:spacing w:line="269" w:lineRule="auto" w:before="0" w:after="60"/>
              <w:jc w:val="center"/>
            </w:pPr>
            <w:r>
              <w:rPr>
                <w:rFonts w:ascii="Arial" w:hAnsi="Arial" w:eastAsia="Noto Sans CJK SC"/>
                <w:b w:val="0"/>
                <w:sz w:val="19"/>
                <w:color w:val="000000"/>
              </w:rPr>
              <w:t>508</w:t>
            </w:r>
          </w:p>
        </w:tc>
        <w:tc>
          <w:tcPr>
            <w:tcW w:type="dxa" w:w="879"/>
            <w:vAlign w:val="center"/>
            <w:tcMar>
              <w:top w:w="85" w:type="dxa"/>
              <w:left w:w="85" w:type="dxa"/>
              <w:bottom w:w="85" w:type="dxa"/>
              <w:right w:w="85" w:type="dxa"/>
            </w:tcMar>
            <w:shd w:val="clear" w:color="auto" w:fill="FFFFFF"/>
          </w:tcPr>
          <w:p>
            <w:pPr>
              <w:keepNext/>
              <w:spacing w:line="269" w:lineRule="auto" w:before="0" w:after="60"/>
              <w:jc w:val="center"/>
            </w:pPr>
            <w:r>
              <w:rPr>
                <w:rFonts w:ascii="Arial" w:hAnsi="Arial" w:eastAsia="Noto Sans CJK SC"/>
                <w:b w:val="0"/>
                <w:sz w:val="19"/>
                <w:color w:val="000000"/>
              </w:rPr>
              <w:t>0</w:t>
            </w:r>
          </w:p>
        </w:tc>
        <w:tc>
          <w:tcPr>
            <w:tcW w:type="dxa" w:w="1304"/>
            <w:vAlign w:val="center"/>
            <w:tcMar>
              <w:top w:w="85" w:type="dxa"/>
              <w:left w:w="85" w:type="dxa"/>
              <w:bottom w:w="85" w:type="dxa"/>
              <w:right w:w="85" w:type="dxa"/>
            </w:tcMar>
            <w:shd w:val="clear" w:color="auto" w:fill="FFFFFF"/>
          </w:tcPr>
          <w:p>
            <w:pPr>
              <w:keepNext/>
              <w:spacing w:line="269" w:lineRule="auto" w:before="0" w:after="60"/>
              <w:jc w:val="center"/>
            </w:pPr>
            <w:r>
              <w:rPr>
                <w:rFonts w:ascii="Arial" w:hAnsi="Arial" w:eastAsia="Noto Sans CJK SC"/>
                <w:b w:val="0"/>
                <w:sz w:val="19"/>
                <w:color w:val="000000"/>
              </w:rPr>
              <w:t>0</w:t>
            </w:r>
          </w:p>
        </w:tc>
        <w:tc>
          <w:tcPr>
            <w:tcW w:type="dxa" w:w="3016"/>
            <w:vAlign w:val="center"/>
            <w:tcMar>
              <w:top w:w="85" w:type="dxa"/>
              <w:left w:w="85" w:type="dxa"/>
              <w:bottom w:w="85" w:type="dxa"/>
              <w:right w:w="85" w:type="dxa"/>
            </w:tcMar>
            <w:shd w:val="clear" w:color="auto" w:fill="FFFFFF"/>
          </w:tcPr>
          <w:p>
            <w:pPr>
              <w:keepNext/>
              <w:spacing w:line="269" w:lineRule="auto" w:before="0" w:after="60"/>
              <w:jc w:val="left"/>
            </w:pPr>
            <w:r>
              <w:rPr>
                <w:rFonts w:ascii="Arial" w:hAnsi="Arial" w:eastAsia="Noto Sans CJK SC"/>
                <w:b w:val="0"/>
                <w:sz w:val="19"/>
                <w:color w:val="000000"/>
              </w:rPr>
              <w:t>508 distinct cases; 0 skipped; 16 warnings; 268.74 s; native Qt; exit 0.</w:t>
            </w:r>
          </w:p>
        </w:tc>
      </w:tr>
    </w:tbl>
    <w:p>
      <w:pPr>
        <w:keepNext w:val="0"/>
        <w:keepLines/>
        <w:spacing w:before="60" w:after="120"/>
      </w:pPr>
      <w:r>
        <w:t>Source: Windows log/XML and exit records of 19 and 27 October 2026. Interrupted invocations retain their recorded status; source versions and test stages are not conflated.</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manual acceptance case record date, tester, evaluated source state, Windows/Python/dependency versions, hardware, actual Qt platform/display metrics, model/input identity, expected outcome, actual outcome and evidence file. Table D.1 remains a real-image manual checklist. The completed automated suite is supporting evidence, not a prefilled Pass for human-observed tasks.</w:t>
      </w:r>
    </w:p>
    <w:p>
      <w:bookmarkStart w:id="154" w:name="cap_Table_D_1"/>
      <w:pPr>
        <w:pStyle w:val="TableCaption"/>
      </w:pPr>
      <w:r>
        <w:t>Table D.1. Final Windows acceptance cases</w:t>
      </w:r>
      <w:bookmarkEnd w:id="154"/>
    </w:p>
    <w:tbl>
      <w:tblPr>
        <w:tblStyle w:val="TableGrid"/>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1" w:noVBand="1"/>
        <w:tblCellSpacing w:w="0" w:type="dxa"/>
      </w:tblPr>
      <w:tblGrid>
        <w:gridCol w:w="737"/>
        <w:gridCol w:w="3685"/>
        <w:gridCol w:w="4603"/>
      </w:tblGrid>
      <w:tr>
        <w:trPr>
          <w:cantSplit/>
          <w:tblHeader/>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Case</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Action</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sz w:val="19"/>
                <w:color w:val="000000"/>
              </w:rPr>
              <w:t>Expected evidence</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W01</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Launch and restore previous geometry</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Normal window fits current available screen and retains usable actions</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W02</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Maximise, restore, shrink, maximise, restore</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Native states and normal geometry behave correctly without forced fullscreen</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W03</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Dock narrow, inspect comparison, restore wide</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Vertical/horizontal adaptation works without Reset; views remain aligned</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W04</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Fit, 1:1, zoom and resize a 49-tile result</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Complete aligned 7 × 7 grid; 480/464-pixel edge dimensions recorded</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W05</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Click toggle labels, padding and indicators; use Tab/Space</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One transition per click; mouse/keyboard focus styles appropriate</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W06</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Open both history calendars</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English month/weekdays; correct selected dates and filtering</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W07</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Restore/rerun after changing current defaults</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Recorded model/mode/parameters retained; restore itself does not rerun</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W08</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Cancel a real workload and close while busy</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Safe acknowledgement/cleanup; no partial completed record</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W09</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Scroll/maximise Settings at common display scales</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All content reachable, no artificial trailing height or clipped controls</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W10</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 reopen PDF/PNG and inspect companion files</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Correct task/model/statistics; files readable; no unwanted identifying data</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W11</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Validate/save/restore defaults per task</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Clear invalid/missing-file handling and task independence</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W12</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Move required files and attempt restoration/rerun</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Actionable missing-file errors; no silent model substitution</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W13</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Restore old tiles, edit preferences, Run; then use recorded Re-run</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Current Run geometry/backend match Preferences; Re-run retains its record; ordinary Run after rerun again uses current preferences</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W14</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Use tile numbers, image/table selection and Square; clear view/selection</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IDs/boxes/crop preview agree; Square copies once; clear operations preserve saved history/source files</w:t>
            </w:r>
          </w:p>
        </w:tc>
      </w:tr>
      <w:tr>
        <w:trPr>
          <w:cantSplit/>
        </w:trPr>
        <w:tc>
          <w:tcPr>
            <w:tcW w:type="dxa" w:w="737"/>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W15</w:t>
            </w:r>
          </w:p>
        </w:tc>
        <w:tc>
          <w:tcPr>
            <w:tcW w:type="dxa" w:w="3685"/>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Export both PDF qualities; cancel an export; reopen the output</w:t>
            </w:r>
          </w:p>
        </w:tc>
        <w:tc>
          <w:tcPr>
            <w:tcW w:type="dxa" w:w="4603"/>
            <w:vAlign w:val="center"/>
            <w:tcMar>
              <w:top w:w="85" w:type="dxa"/>
              <w:left w:w="85" w:type="dxa"/>
              <w:bottom w:w="85" w:type="dxa"/>
              <w:right w:w="85" w:type="dxa"/>
            </w:tcMar>
            <w:shd w:val="clear" w:color="auto" w:fill="FFFFFF"/>
          </w:tcPr>
          <w:p>
            <w:pPr>
              <w:keepNext w:val="0"/>
              <w:spacing w:line="269" w:lineRule="auto" w:before="0" w:after="60"/>
              <w:jc w:val="left"/>
            </w:pPr>
            <w:r>
              <w:rPr>
                <w:rFonts w:ascii="Arial" w:hAnsi="Arial" w:eastAsia="Noto Sans CJK SC"/>
                <w:b w:val="0"/>
                <w:sz w:val="19"/>
                <w:color w:val="000000"/>
              </w:rPr>
              <w:t>Quality and original dimensions are accurately labelled; numeric data agree; cancellation/failed export preserve the previous destination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contain the supplied dataset image and Windows captures, including the completed recorded Re-run #83 and its parameter view. Figures 4.2, 4.7 and 4.8 retain their explicitly labelled development captures. The transient Cancelling view was not captured; running and acknowledgement views are provided. The capture index distinguishes filenames, displayed record timestamps, controlled test-model settings and actual report artifacts. Screenshot-session source identity and the formal acceptance sheets remain separate outstanding records.</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original test used OpenCV RGB decoding followed by Albumentations 1.3.1 Resize(224, 224), ToTensorV2 and float32 raw255, with OpenCV 4.8.1. Its environment lists Python 3.10.22, PyTorch 2.1.2+cu121, torchvision 0.16.2+cu121 and scikit-learn 1.3.2. The Windows rerun used the application’s default Pillow pathway on CPU: Python 3.10.22, PyTorch 2.1.2+cpu, Pillow 10.4.0, NumPy 1.26.4 and OpenCV 4.11.0 for the input diagnostic. Both use the same nine-class order and checkpoint.</w:t>
      </w:r>
    </w:p>
    <w:p>
      <w:pPr/>
      <w:r>
        <w:t>The Windows summary records Single image, pillow_bilinear, RGB float32 raw255, input size 224 × 224 and 7,180 native 224 × 224 source images. Per-image CSVs independently reproduce 6,511 correct labels, the class-wise report and the confusion counts. All reference labels agree; the largest absolute probability difference is 0.002731651. This run does not exercise resizing of larger crops. Future studies should add patient-grouped internal validation, duplicate checks and physical-scale analysis,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pPr/>
      <w:r>
        <w:t>The 27 October Windows manifest identifies UPerNet_TME_tissue-panoptils_best_model_100ep.pth as 489,488,187 bytes (466.812 MiB), with SHA-256 b4d8956856800fc44b274244713494f63e2791cd31a1b07b1d5223870b408486. The file was present and unchanged before and after the completed regression. This resource identity does not supply missing segmentation training provenance or predictive IoU/Dice measurements.</w:t>
      </w:r>
    </w:p>
    <w:p>
      <w:bookmarkStart w:id="159" w:name="head_121"/>
      <w:pPr>
        <w:pStyle w:val="Heading3"/>
      </w:pPr>
      <w:r>
        <w:t>E.3 Runtime and deployment</w:t>
      </w:r>
      <w:bookmarkEnd w:id="159"/>
    </w:p>
    <w:p>
      <w:pPr>
        <w:jc w:val="both"/>
      </w:pPr>
      <w:r>
        <w:t>Benchmark protocol 1.0 fixes the application revision, genuine model checksum, Python/dependency versions, CPU/thread setting, source identity/dimensions, task, resize backend and tile/stride/input geometry. Use B01: native 224 × 224 classification; B02: 1024 × 768 classification with 256 × 256 source tiles (12 tiles); B03: 3552 × 3536 classification with 512 × 512 tiles (49 tiles); and B04: one authorised segmentation raster whose dimensions and independent geometry are entered before measurement. Material identifiers are protocol definitions; their actual file assignments remain pending. Keep model loading separate from already-loaded inference, and record full workload metadata for every attempt.</w:t>
      </w:r>
    </w:p>
    <w:p>
      <w:pPr/>
      <w:r>
        <w:t>Perform five fresh-process cold-load repetitions per model and ten warm repetitions per workload after one explicitly excluded warm-up. Define boundaries with a monotonic clock: load/validation; preprocessing; forward work; reconstruction/statistics; GUI-ready display; artifact/database save; and PDF export. Where instrumentation cannot isolate a stage, mark that stage Not measured and report the available end-to-end interval instead of estimating it by subtraction. Record all attempts, failures and cancellations; do not replace slow observations selectively. Summarise valid repetitions with n, mean, sample standard deviation, median and range. Record process baseline/peak RSS where tooling is available and state its sampling interval and definition.</w:t>
      </w:r>
    </w:p>
    <w:p>
      <w:pPr/>
      <w:r>
        <w:t>For report-size checks, export the same completed result in both PDF qualities with identical appendix/path settings. Record file bytes and generation duration separately from inference, and verify selected numeric rows, labels and image aspect ratios. A successful local open is not an online-hosting preview guarantee. Packaging acceptance additionally records the build command/log, permitted resources, artifact checksum, clean Windows configuration, offline state and each task outcome. No new latency, packaged-release or clean-machine result is supplied in this revision.</w:t>
      </w:r>
    </w:p>
    <w:sectPr>
      <w:headerReference w:type="default" r:id="rId12"/>
      <w:footerReference w:type="default" r:id="rId13"/>
      <w:pgSz w:w="11906" w:h="16838"/>
      <w:pgMar w:top="1440" w:right="1440" w:bottom="1440" w:left="1440" w:header="680"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 w:type="character" w:customStyle="1" w:styleId="Hyperlink">
    <w:name w:val="Hyperlink"/>
    <w:basedOn w:val="DefaultParagraphFont"/>
    <w:rPr>
      <w:color w:val="000000"/>
      <w:u w:val="none"/>
    </w:rPr>
  </w:style>
  <w:style w:type="character" w:customStyle="1" w:styleId="FollowedHyperlink">
    <w:name w:val="FollowedHyperlink"/>
    <w:basedOn w:val="DefaultParagraphFont"/>
    <w:rPr>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https://doi.org/10.1016/j.media.2017.07.005" TargetMode="External"/><Relationship Id="rId32" Type="http://schemas.openxmlformats.org/officeDocument/2006/relationships/hyperlink" Target="https://doi.org/10.1371/journal.pmed.1002730" TargetMode="External"/><Relationship Id="rId33" Type="http://schemas.openxmlformats.org/officeDocument/2006/relationships/hyperlink" Target="https://arxiv.org/abs/1608.06993" TargetMode="External"/><Relationship Id="rId34" Type="http://schemas.openxmlformats.org/officeDocument/2006/relationships/hyperlink" Target="https://doi.org/10.1007/978-3-319-24574-4_28" TargetMode="External"/><Relationship Id="rId35" Type="http://schemas.openxmlformats.org/officeDocument/2006/relationships/hyperlink" Target="https://arxiv.org/abs/1807.10221" TargetMode="External"/><Relationship Id="rId36" Type="http://schemas.openxmlformats.org/officeDocument/2006/relationships/hyperlink" Target="https://doi.org/10.1038/s41598-017-17204-5" TargetMode="External"/><Relationship Id="rId37" Type="http://schemas.openxmlformats.org/officeDocument/2006/relationships/hyperlink" Target="https://doi.org/10.1186/s12859-024-05758-x" TargetMode="External"/><Relationship Id="rId38" Type="http://schemas.openxmlformats.org/officeDocument/2006/relationships/hyperlink" Target="https://doi.org/10.1038/s41698-024-00499-9" TargetMode="External"/><Relationship Id="rId39" Type="http://schemas.openxmlformats.org/officeDocument/2006/relationships/hyperlink" Target="https://doi.org/10.1109/CVPR.2016.90" TargetMode="External"/><Relationship Id="rId40" Type="http://schemas.openxmlformats.org/officeDocument/2006/relationships/hyperlink" Target="https://proceedings.mlr.press/v97/tan19a.html" TargetMode="External"/><Relationship Id="rId41" Type="http://schemas.openxmlformats.org/officeDocument/2006/relationships/hyperlink" Target="https://arxiv.org/abs/2103.14030" TargetMode="External"/><Relationship Id="rId42" Type="http://schemas.openxmlformats.org/officeDocument/2006/relationships/hyperlink" Target="https://proceedings.mlr.press/v70/guo17a.html" TargetMode="External"/><Relationship Id="rId43" Type="http://schemas.openxmlformats.org/officeDocument/2006/relationships/hyperlink" Target="https://doi.org/10.1136/amiajnl-2010-000020" TargetMode="External"/><Relationship Id="rId44" Type="http://schemas.openxmlformats.org/officeDocument/2006/relationships/hyperlink" Target="https://doi.org/10.1145/191666.191729" TargetMode="External"/><Relationship Id="rId45" Type="http://schemas.openxmlformats.org/officeDocument/2006/relationships/hyperlink" Target="https://doi.org/10.1093/bioinformatics/btw013" TargetMode="External"/><Relationship Id="rId46" Type="http://schemas.openxmlformats.org/officeDocument/2006/relationships/hyperlink" Target="https://www.aiforia.com/aiforia-create" TargetMode="External"/><Relationship Id="rId47" Type="http://schemas.openxmlformats.org/officeDocument/2006/relationships/hyperlink" Target="https://sqlite.org/zeroconf.html" TargetMode="External"/><Relationship Id="rId48" Type="http://schemas.openxmlformats.org/officeDocument/2006/relationships/hyperlink" Target="https://www.riverbankcomputing.com/static/Docs/PyQt5/" TargetMode="External"/><Relationship Id="rId49" Type="http://schemas.openxmlformats.org/officeDocument/2006/relationships/hyperlink" Target="https://doc.qt.io/qt-5/" TargetMode="External"/><Relationship Id="rId50" Type="http://schemas.openxmlformats.org/officeDocument/2006/relationships/hyperlink" Target="https://proceedings.neurips.cc/paper/2019/hash/bdbca288fee7f92f2bfa9f7012727740-Abstract.html" TargetMode="External"/><Relationship Id="rId51" Type="http://schemas.openxmlformats.org/officeDocument/2006/relationships/hyperlink" Target="https://numpy.org/doc/stable/user/" TargetMode="External"/><Relationship Id="rId52" Type="http://schemas.openxmlformats.org/officeDocument/2006/relationships/hyperlink" Target="https://pillow.readthedocs.io/en/stable/" TargetMode="External"/><Relationship Id="rId53" Type="http://schemas.openxmlformats.org/officeDocument/2006/relationships/hyperlink" Target="https://doi.org/10.1109/MCSE.2007.55" TargetMode="External"/><Relationship Id="rId54" Type="http://schemas.openxmlformats.org/officeDocument/2006/relationships/hyperlink" Target="https://github.com/py-pdf/fpdf2" TargetMode="External"/><Relationship Id="rId55" Type="http://schemas.openxmlformats.org/officeDocument/2006/relationships/hyperlink" Target="https://pyinstaller.org/en/stable/" TargetMode="External"/><Relationship Id="rId56" Type="http://schemas.openxmlformats.org/officeDocument/2006/relationships/hyperlink" Target="https://pytorch.org/docs/stable/" TargetMode="External"/><Relationship Id="rId57" Type="http://schemas.openxmlformats.org/officeDocument/2006/relationships/hyperlink" Target="https://www.w3.org/TR/WCAG22/" TargetMode="External"/><Relationship Id="rId58" Type="http://schemas.openxmlformats.org/officeDocument/2006/relationships/hyperlink" Target="https://doi.org/10.5281/zenodo.1214456" TargetMode="External"/><Relationship Id="rId59" Type="http://schemas.openxmlformats.org/officeDocument/2006/relationships/image" Target="media/image15.tif"/><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image" Target="media/image18.png"/><Relationship Id="rId63" Type="http://schemas.openxmlformats.org/officeDocument/2006/relationships/image" Target="media/image19.png"/><Relationship Id="rId64" Type="http://schemas.openxmlformats.org/officeDocument/2006/relationships/image" Target="media/image20.png"/><Relationship Id="rId65" Type="http://schemas.openxmlformats.org/officeDocument/2006/relationships/image" Target="media/image21.png"/><Relationship Id="rId66" Type="http://schemas.openxmlformats.org/officeDocument/2006/relationships/image" Target="media/image22.png"/><Relationship Id="rId67" Type="http://schemas.openxmlformats.org/officeDocument/2006/relationships/image" Target="media/image23.png"/><Relationship Id="rId68" Type="http://schemas.openxmlformats.org/officeDocument/2006/relationships/image" Target="media/image24.png"/><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7.png"/><Relationship Id="rId72" Type="http://schemas.openxmlformats.org/officeDocument/2006/relationships/image" Target="media/image28.png"/><Relationship Id="rId73" Type="http://schemas.openxmlformats.org/officeDocument/2006/relationships/image" Target="media/image29.png"/><Relationship Id="rId74" Type="http://schemas.openxmlformats.org/officeDocument/2006/relationships/image" Target="media/image30.png"/><Relationship Id="rId7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