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the guidance provided throughout this capstone project. The project developed from the CP1 proposal into an implemented desktop application through repeated review of the analysis workflow, model integration and user interface.</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Histopathology image analysis increasingly uses deep learning, but applying a trained model still requires users to manage compatibility, preprocessing, result interpretation and analysis records. This project develops ZY-Path, a local desktop application that brings these activities into a graphical workflow for education and exploratory research. The implementation uses PyQt5 for the interface, PyTorch for CPU inference and SQLite for persistent history. It supports compatible pretrained model files, whole-image classification, explicit tiled classification, segmentation, linked original/result inspection and PNG/PDF export. The built-in classification integration follows a custom nine-class DenseNet contract: RGB float32 input, raw255 pixel values, a 224 × 224 network input and a fixed model class order. Tiled analysis classifies non-overlapping source crops and reports area-weighted estimated coverage, distinctly from pixel segmentation. Original-image tile dimensions are editable; the 512 × 512 starting value is not claimed to match an unverified training scale. The segmentation integration uses a separate UPerNet/Swin Base pathway with its own preprocessing, labels and overlapping-tile fusion. Model validation and inference run outside the GUI thread, while cooperative cancellation, task-specific model defaults and recorded rerun parameters support a controlled workflow. At the documented implementation revision, automated verification recorded 355 passed tests, one failed test caused by absent real model weights and one collection error caused by a missing training script. These results establish substantial software-level evidence but do not establish diagnostic accuracy. User acceptance testing and independent model evaluation have not yet been completed; their protocols, instruments and result templates are supplied without invented findings. ZY-Path's contribution is an inspectable, record-oriented desktop integration, rather than a new neural architecture, a whole-slide processing platform or a clinically validated diagnostic system.</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vii</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10</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12</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13</w:t>
      </w:r>
      <w:r>
        <w:fldChar w:fldCharType="end"/>
      </w:r>
    </w:p>
    <w:p>
      <w:pPr>
        <w:pStyle w:val="TOC3"/>
        <w:tabs>
          <w:tab w:pos="8986" w:val="right" w:leader="dot"/>
        </w:tabs>
      </w:pPr>
      <w:r>
        <w:t>2.3.1 QuPath</w:t>
        <w:tab/>
      </w:r>
      <w:r>
        <w:fldChar w:fldCharType="begin"/>
      </w:r>
      <w:r>
        <w:instrText xml:space="preserve">PAGEREF head_24 \h</w:instrText>
      </w:r>
      <w:r>
        <w:fldChar w:fldCharType="separate"/>
      </w:r>
      <w:r>
        <w:t>13</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13</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14</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14</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16</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17</w:t>
      </w:r>
      <w:r>
        <w:fldChar w:fldCharType="end"/>
      </w:r>
    </w:p>
    <w:p>
      <w:pPr>
        <w:pStyle w:val="TOC2"/>
        <w:tabs>
          <w:tab w:pos="8986" w:val="right" w:leader="dot"/>
        </w:tabs>
      </w:pPr>
      <w:r>
        <w:t>2.8 Summary</w:t>
        <w:tab/>
      </w:r>
      <w:r>
        <w:fldChar w:fldCharType="begin"/>
      </w:r>
      <w:r>
        <w:instrText xml:space="preserve">PAGEREF head_33 \h</w:instrText>
      </w:r>
      <w:r>
        <w:fldChar w:fldCharType="separate"/>
      </w:r>
      <w:r>
        <w:t>18</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19</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19</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21</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21</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22</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23</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24</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24</w:t>
      </w:r>
      <w:r>
        <w:fldChar w:fldCharType="end"/>
      </w:r>
    </w:p>
    <w:p>
      <w:pPr>
        <w:pStyle w:val="TOC3"/>
        <w:tabs>
          <w:tab w:pos="8986" w:val="right" w:leader="dot"/>
        </w:tabs>
      </w:pPr>
      <w:r>
        <w:t>3.3.2 Classification model and training-reference audit</w:t>
        <w:tab/>
      </w:r>
      <w:r>
        <w:fldChar w:fldCharType="begin"/>
      </w:r>
      <w:r>
        <w:instrText xml:space="preserve">PAGEREF head_43 \h</w:instrText>
      </w:r>
      <w:r>
        <w:fldChar w:fldCharType="separate"/>
      </w:r>
      <w:r>
        <w:t>25</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26</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26</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27</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28</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30</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32</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32</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33</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34</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38</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39</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39</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39</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40</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40</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41</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42</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43</w:t>
      </w:r>
      <w:r>
        <w:fldChar w:fldCharType="end"/>
      </w:r>
    </w:p>
    <w:p>
      <w:pPr>
        <w:pStyle w:val="TOC2"/>
        <w:tabs>
          <w:tab w:pos="8986" w:val="right" w:leader="dot"/>
        </w:tabs>
      </w:pPr>
      <w:r>
        <w:t>3.8 Summary</w:t>
        <w:tab/>
      </w:r>
      <w:r>
        <w:fldChar w:fldCharType="begin"/>
      </w:r>
      <w:r>
        <w:instrText xml:space="preserve">PAGEREF head_69 \h</w:instrText>
      </w:r>
      <w:r>
        <w:fldChar w:fldCharType="separate"/>
      </w:r>
      <w:r>
        <w:t>45</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46</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46</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46</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46</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47</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49</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49</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50</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52</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52</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54</w:t>
      </w:r>
      <w:r>
        <w:fldChar w:fldCharType="end"/>
      </w:r>
    </w:p>
    <w:p>
      <w:pPr>
        <w:pStyle w:val="TOC3"/>
        <w:tabs>
          <w:tab w:pos="8986" w:val="right" w:leader="dot"/>
        </w:tabs>
      </w:pPr>
      <w:r>
        <w:t>4.3.3 Manual and predictive validation status</w:t>
        <w:tab/>
      </w:r>
      <w:r>
        <w:fldChar w:fldCharType="begin"/>
      </w:r>
      <w:r>
        <w:instrText xml:space="preserve">PAGEREF head_81 \h</w:instrText>
      </w:r>
      <w:r>
        <w:fldChar w:fldCharType="separate"/>
      </w:r>
      <w:r>
        <w:t>55</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55</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55</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56</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57</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57</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58</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58</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58</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59</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60</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61</w:t>
      </w:r>
      <w:r>
        <w:fldChar w:fldCharType="end"/>
      </w:r>
    </w:p>
    <w:p>
      <w:pPr>
        <w:pStyle w:val="TOC2"/>
        <w:tabs>
          <w:tab w:pos="8986" w:val="right" w:leader="dot"/>
        </w:tabs>
      </w:pPr>
      <w:r>
        <w:t>4.6 Summary</w:t>
        <w:tab/>
      </w:r>
      <w:r>
        <w:fldChar w:fldCharType="begin"/>
      </w:r>
      <w:r>
        <w:instrText xml:space="preserve">PAGEREF head_93 \h</w:instrText>
      </w:r>
      <w:r>
        <w:fldChar w:fldCharType="separate"/>
      </w:r>
      <w:r>
        <w:t>61</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63</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63</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64</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64</w:t>
      </w:r>
      <w:r>
        <w:fldChar w:fldCharType="end"/>
      </w:r>
    </w:p>
    <w:p>
      <w:pPr>
        <w:pStyle w:val="TOC2"/>
        <w:tabs>
          <w:tab w:pos="8986" w:val="right" w:leader="dot"/>
        </w:tabs>
      </w:pPr>
      <w:r>
        <w:t>5.4 Summary</w:t>
        <w:tab/>
      </w:r>
      <w:r>
        <w:fldChar w:fldCharType="begin"/>
      </w:r>
      <w:r>
        <w:instrText xml:space="preserve">PAGEREF head_98 \h</w:instrText>
      </w:r>
      <w:r>
        <w:fldChar w:fldCharType="separate"/>
      </w:r>
      <w:r>
        <w:t>65</w:t>
      </w:r>
      <w:r>
        <w:fldChar w:fldCharType="end"/>
      </w:r>
    </w:p>
    <w:p>
      <w:pPr>
        <w:pStyle w:val="TOC1"/>
        <w:tabs>
          <w:tab w:pos="8986" w:val="right" w:leader="dot"/>
        </w:tabs>
      </w:pPr>
      <w:r>
        <w:t>References</w:t>
        <w:tab/>
      </w:r>
      <w:r>
        <w:fldChar w:fldCharType="begin"/>
      </w:r>
      <w:r>
        <w:instrText xml:space="preserve">PAGEREF head_99 \h</w:instrText>
      </w:r>
      <w:r>
        <w:fldChar w:fldCharType="separate"/>
      </w:r>
      <w:r>
        <w:t>66</w:t>
      </w:r>
      <w:r>
        <w:fldChar w:fldCharType="end"/>
      </w:r>
    </w:p>
    <w:p>
      <w:pPr>
        <w:pStyle w:val="TOC1"/>
        <w:tabs>
          <w:tab w:pos="8986" w:val="right" w:leader="dot"/>
        </w:tabs>
      </w:pPr>
      <w:r>
        <w:t>Appendices</w:t>
        <w:tab/>
      </w:r>
      <w:r>
        <w:fldChar w:fldCharType="begin"/>
      </w:r>
      <w:r>
        <w:instrText xml:space="preserve">PAGEREF head_100 \h</w:instrText>
      </w:r>
      <w:r>
        <w:fldChar w:fldCharType="separate"/>
      </w:r>
      <w:r>
        <w:t>68</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68</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68</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73</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74</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74</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74</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75</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75</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76</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77</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77</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78</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78</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79</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79</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79</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80</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80</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80</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81</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81</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11</w:t>
      </w:r>
      <w:r>
        <w:fldChar w:fldCharType="end"/>
      </w:r>
    </w:p>
    <w:p>
      <w:pPr>
        <w:pStyle w:val="TOC1"/>
        <w:tabs>
          <w:tab w:pos="8986" w:val="right" w:leader="dot"/>
        </w:tabs>
      </w:pPr>
      <w:r>
        <w:t>Figure 3.1. Implemented logical architecture and artifact flow. Source: author, based on the reviewed Python modules.</w:t>
        <w:tab/>
      </w:r>
      <w:r>
        <w:fldChar w:fldCharType="begin"/>
      </w:r>
      <w:r>
        <w:instrText xml:space="preserve">PAGEREF cap_Figure_3_1 \h</w:instrText>
      </w:r>
      <w:r>
        <w:fldChar w:fldCharType="separate"/>
      </w:r>
      <w:r>
        <w:t>20</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w:t>
        <w:tab/>
      </w:r>
      <w:r>
        <w:fldChar w:fldCharType="begin"/>
      </w:r>
      <w:r>
        <w:instrText xml:space="preserve">PAGEREF cap_Figure_3_5 \h</w:instrText>
      </w:r>
      <w:r>
        <w:fldChar w:fldCharType="separate"/>
      </w:r>
      <w:r>
        <w:t>37</w:t>
      </w:r>
      <w:r>
        <w:fldChar w:fldCharType="end"/>
      </w:r>
    </w:p>
    <w:p>
      <w:pPr>
        <w:pStyle w:val="TOC1"/>
        <w:tabs>
          <w:tab w:pos="8986" w:val="right" w:leader="dot"/>
        </w:tabs>
      </w:pPr>
      <w:r>
        <w:t>Figure 3.6. Activity diagram from parameter selection to completed persistence, with safe cancellation and error exits.</w:t>
        <w:tab/>
      </w:r>
      <w:r>
        <w:fldChar w:fldCharType="begin"/>
      </w:r>
      <w:r>
        <w:instrText xml:space="preserve">PAGEREF cap_Figure_3_6 \h</w:instrText>
      </w:r>
      <w:r>
        <w:fldChar w:fldCharType="separate"/>
      </w:r>
      <w:r>
        <w:t>38</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47</w:t>
      </w:r>
      <w:r>
        <w:fldChar w:fldCharType="end"/>
      </w:r>
    </w:p>
    <w:p>
      <w:pPr>
        <w:pStyle w:val="TOC1"/>
        <w:tabs>
          <w:tab w:pos="8986" w:val="right" w:leader="dot"/>
        </w:tabs>
      </w:pPr>
      <w:r>
        <w:t>Figure 4.2. Tiled classification interface with source/result comparison and the revised result toggles. Linux/Qt capture using synthetic source/output data; not a real-weight or diagnostic result.</w:t>
        <w:tab/>
      </w:r>
      <w:r>
        <w:fldChar w:fldCharType="begin"/>
      </w:r>
      <w:r>
        <w:instrText xml:space="preserve">PAGEREF cap_Figure_4_2 \h</w:instrText>
      </w:r>
      <w:r>
        <w:fldChar w:fldCharType="separate"/>
      </w:r>
      <w:r>
        <w:t>48</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48</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49</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50</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50</w:t>
      </w:r>
      <w:r>
        <w:fldChar w:fldCharType="end"/>
      </w:r>
    </w:p>
    <w:p>
      <w:pPr>
        <w:pStyle w:val="TOC1"/>
        <w:tabs>
          <w:tab w:pos="8986" w:val="right" w:leader="dot"/>
        </w:tabs>
      </w:pPr>
      <w:r>
        <w:t>Figure 4.7. Implemented Guide &amp; Support page with fixed Contents navigation and numbered guidance. Linux/Qt development capture; contact/guide content is interface evidence rather than UAT feedback.</w:t>
        <w:tab/>
      </w:r>
      <w:r>
        <w:fldChar w:fldCharType="begin"/>
      </w:r>
      <w:r>
        <w:instrText xml:space="preserve">PAGEREF cap_Figure_4_7 \h</w:instrText>
      </w:r>
      <w:r>
        <w:fldChar w:fldCharType="separate"/>
      </w:r>
      <w:r>
        <w:t>51</w:t>
      </w:r>
      <w:r>
        <w:fldChar w:fldCharType="end"/>
      </w:r>
    </w:p>
    <w:p>
      <w:pPr>
        <w:pStyle w:val="TOC1"/>
        <w:tabs>
          <w:tab w:pos="8986" w:val="right" w:leader="dot"/>
        </w:tabs>
      </w:pPr>
      <w:r>
        <w:t>Figure 4.8. English history-calendar popup under a simulated Chinese default locale. Linux/Qt capture; the selected date is test input.</w:t>
        <w:tab/>
      </w:r>
      <w:r>
        <w:fldChar w:fldCharType="begin"/>
      </w:r>
      <w:r>
        <w:instrText xml:space="preserve">PAGEREF cap_Figure_4_8 \h</w:instrText>
      </w:r>
      <w:r>
        <w:fldChar w:fldCharType="separate"/>
      </w:r>
      <w:r>
        <w:t>51</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52</w:t>
      </w:r>
      <w:r>
        <w:fldChar w:fldCharType="end"/>
      </w:r>
    </w:p>
    <w:p>
      <w:pPr>
        <w:pStyle w:val="TOC1"/>
        <w:tabs>
          <w:tab w:pos="8986" w:val="right" w:leader="dot"/>
        </w:tabs>
      </w:pPr>
      <w:r>
        <w:t>Figure 4.10. Recorded pytest command/outcome excerpt and scope notes. Reproduced from saved logs for the reviewed revision; not a model-performance chart.</w:t>
        <w:tab/>
      </w:r>
      <w:r>
        <w:fldChar w:fldCharType="begin"/>
      </w:r>
      <w:r>
        <w:instrText xml:space="preserve">PAGEREF cap_Figure_4_10 \h</w:instrText>
      </w:r>
      <w:r>
        <w:fldChar w:fldCharType="separate"/>
      </w:r>
      <w:r>
        <w:t>53</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15</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21</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22</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28</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29</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30</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42</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44</w:t>
      </w:r>
      <w:r>
        <w:fldChar w:fldCharType="end"/>
      </w:r>
    </w:p>
    <w:p>
      <w:pPr>
        <w:pStyle w:val="TOC1"/>
        <w:tabs>
          <w:tab w:pos="8986" w:val="right" w:leader="dot"/>
        </w:tabs>
      </w:pPr>
      <w:r>
        <w:t>Table 4.1. Recorded automated verification outcomes at revision 1f3e01e</w:t>
        <w:tab/>
      </w:r>
      <w:r>
        <w:fldChar w:fldCharType="begin"/>
      </w:r>
      <w:r>
        <w:instrText xml:space="preserve">PAGEREF cap_Table_4_1 \h</w:instrText>
      </w:r>
      <w:r>
        <w:fldChar w:fldCharType="separate"/>
      </w:r>
      <w:r>
        <w:t>52</w:t>
      </w:r>
      <w:r>
        <w:fldChar w:fldCharType="end"/>
      </w:r>
    </w:p>
    <w:p>
      <w:pPr>
        <w:pStyle w:val="TOC1"/>
        <w:tabs>
          <w:tab w:pos="8986" w:val="right" w:leader="dot"/>
        </w:tabs>
      </w:pPr>
      <w:r>
        <w:t>Table 4.2. Implementation challenges and verified resolutions</w:t>
        <w:tab/>
      </w:r>
      <w:r>
        <w:fldChar w:fldCharType="begin"/>
      </w:r>
      <w:r>
        <w:instrText xml:space="preserve">PAGEREF cap_Table_4_2 \h</w:instrText>
      </w:r>
      <w:r>
        <w:fldChar w:fldCharType="separate"/>
      </w:r>
      <w:r>
        <w:t>54</w:t>
      </w:r>
      <w:r>
        <w:fldChar w:fldCharType="end"/>
      </w:r>
    </w:p>
    <w:p>
      <w:pPr>
        <w:pStyle w:val="TOC1"/>
        <w:tabs>
          <w:tab w:pos="8986" w:val="right" w:leader="dot"/>
        </w:tabs>
      </w:pPr>
      <w:r>
        <w:t>Table 4.3. UAT participant profile — awaiting actual responses</w:t>
        <w:tab/>
      </w:r>
      <w:r>
        <w:fldChar w:fldCharType="begin"/>
      </w:r>
      <w:r>
        <w:instrText xml:space="preserve">PAGEREF cap_Table_4_3 \h</w:instrText>
      </w:r>
      <w:r>
        <w:fldChar w:fldCharType="separate"/>
      </w:r>
      <w:r>
        <w:t>55</w:t>
      </w:r>
      <w:r>
        <w:fldChar w:fldCharType="end"/>
      </w:r>
    </w:p>
    <w:p>
      <w:pPr>
        <w:pStyle w:val="TOC1"/>
        <w:tabs>
          <w:tab w:pos="8986" w:val="right" w:leader="dot"/>
        </w:tabs>
      </w:pPr>
      <w:r>
        <w:t>Table 4.4. UAT quantitative summary — awaiting valid data</w:t>
        <w:tab/>
      </w:r>
      <w:r>
        <w:fldChar w:fldCharType="begin"/>
      </w:r>
      <w:r>
        <w:instrText xml:space="preserve">PAGEREF cap_Table_4_4 \h</w:instrText>
      </w:r>
      <w:r>
        <w:fldChar w:fldCharType="separate"/>
      </w:r>
      <w:r>
        <w:t>56</w:t>
      </w:r>
      <w:r>
        <w:fldChar w:fldCharType="end"/>
      </w:r>
    </w:p>
    <w:p>
      <w:pPr>
        <w:pStyle w:val="TOC1"/>
        <w:tabs>
          <w:tab w:pos="8986" w:val="right" w:leader="dot"/>
        </w:tabs>
      </w:pPr>
      <w:r>
        <w:t>Table 4.5. Feature ratings — awaiting actual use and responses</w:t>
        <w:tab/>
      </w:r>
      <w:r>
        <w:fldChar w:fldCharType="begin"/>
      </w:r>
      <w:r>
        <w:instrText xml:space="preserve">PAGEREF cap_Table_4_5 \h</w:instrText>
      </w:r>
      <w:r>
        <w:fldChar w:fldCharType="separate"/>
      </w:r>
      <w:r>
        <w:t>57</w:t>
      </w:r>
      <w:r>
        <w:fldChar w:fldCharType="end"/>
      </w:r>
    </w:p>
    <w:p>
      <w:pPr>
        <w:pStyle w:val="TOC1"/>
        <w:tabs>
          <w:tab w:pos="8986" w:val="right" w:leader="dot"/>
        </w:tabs>
      </w:pPr>
      <w:r>
        <w:t>Table 4.6. Objective achievement and outstanding evidence</w:t>
        <w:tab/>
      </w:r>
      <w:r>
        <w:fldChar w:fldCharType="begin"/>
      </w:r>
      <w:r>
        <w:instrText xml:space="preserve">PAGEREF cap_Table_4_6 \h</w:instrText>
      </w:r>
      <w:r>
        <w:fldChar w:fldCharType="separate"/>
      </w:r>
      <w:r>
        <w:t>58</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68</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70</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73</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75</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78</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79</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already offer sophisticated graphical inspection and analysis. QuPath provides an open-source image-analysis environment; Slideflow includes real-time whole-slide visualisation through Slideflow Studio; and WSInfer integrates reusable pretrained models with QuPath (Bankhead et al., 2017; Dolezal et al., 2024; Kaczmarzyk et al., 2024). The motivation for ZY-Path is therefore a narrower workflow need: to organise compatible model loading, source-image analysis, understandable result inspection and local inference records in a compact desktop application. The project does not depend on claiming that existing platforms have no GUI or cannot support reproducible work.</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These questions guide the requirements and evaluation. In CP2, “direct loading” means loading supported, trusted model representations under a validated contract; it does not mean arbitrary compatibility with every file carrying a .pt or .pth extension. “Reproducibility” means restoring recorded workflow parameters under stable dependencies and files, rather than guaranteeing immutable data or identical outcomes after external files have changed.</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presentation, distinguish a stored result from a new run, export a report and rerun the recorded model/mode/parameters. Current preferences must not silently rewrite a historical analysis. These are specific workflow requirements; they are not assertions that competing systems lack all history or provenance capabilities.</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is a descriptive usability measure, and a score near the commonly cited average of 68 is a contextual benchmark, not a diagnostic threshold or a guaranteed project result (Brooke, 1996; Bangor et al., 2009). No hypothesis is declared statistically accepted from development tests alone. A single-condition pilot also cannot establish superiority over another platform without an appropriate comparative design.</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jc w:val="both"/>
      </w:pPr>
      <w:r>
        <w:t>Tiled classification, cancellation, task-specific model defaults and responsive comparison views refine these objectives rather than introduce a new training or diagnostic objective. O1's local-runtime implementation is distinguished from a distributable Windows executable: packaging remains an intended deployment step until a clean-machine build has been verified.</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classification integration expects nine ordered classes: ADI, BACK, DEB, LYM, MUC, MUS, NORM, STR and TUM. The built-in segmentation integration has a different nine-label vocabulary. Their colour maps and statistics remain separate. Tile width and height begin at an editable 512 × 512 source pixels; their physical scale, magnification and consistency with the training crop scale remain unconfirmed.</w:t>
      </w:r>
    </w:p>
    <w:p>
      <w:pPr>
        <w:jc w:val="both"/>
      </w:pPr>
      <w:r>
        <w:t>The following CP1 exclusions remain applicable:</w:t>
      </w:r>
    </w:p>
    <w:p>
      <w:pPr>
        <w:jc w:val="both"/>
      </w:pPr>
      <w:r>
        <w:t>AI model training and optimization</w:t>
      </w:r>
    </w:p>
    <w:p>
      <w:pPr>
        <w:jc w:val="both"/>
      </w:pPr>
      <w:r>
        <w:t>ZY-Path does not provide any training loops, loss functions, optimizers, or hyperparameter tuning; users must supply fully trained models.</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The local-runtime scope also has prerequisites. Model files must exist, and the UPerNet path requires a locally cached verified configuration. A complete offline deployment must include these dependencies before disconnecting. The present cloud checkout lacks the real weight files, so it cannot establish real-weight end-to-end accuracy or deployment completeness.</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From an educational point of view, this project offers anyone with a keen interest in histopathology a chance to experiment with AI-powered histopathology analysis and to play with its functions without any programming skills. The no-code design philosophy around AI technologies fosters learning and experimentation for a wider pool of potential AI users.</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These links to SDG 3 and SDG 4 are motivations and potential contributions. They are not measurements of health impact, educational improvement or clinical safety. Such outcomes would require studies beyond the current software verification and planned pilot UAT.</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is organised thematically rather than as a claim of an exhaustive systematic review. Foundational papers, platform publications and primary software documentation are used to explain design decisions. No database search protocol, screening count or meta-analysis was performed, and none is claimed. Comparisons describe documented purposes and capabilities; commercial licensing and deployment options may change and are not treated as permanently established limitations.</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which involves the examination of tissue sections stained with dyes like hematoxylin and eosin under a light microscope, continues to be the gold standard for diagnosing a broad range of diseases including malignancy. Pathologists make diagnoses by visual assessment of cellular morphology, cellular architecture, and the spatial organization of cells. Though, this process itself is subjective, laborious, and with potential intra-observer and inter-observer variation, particularly when dealing with borderline lesions or unusual tissue types.</w:t>
      </w:r>
    </w:p>
    <w:p>
      <w:pPr>
        <w:jc w:val="both"/>
      </w:pPr>
      <w:r>
        <w:t>Digital pathology permits image sharing and computational analysis, but a tissue patch, a larger raster region and a whole-slide pyramid are different data objects. A crop's tissue scale depends on how the image was acquired and sampled, not only its pixel dimensions. The NCT-CRC-HE-100K collection provides 100,000 nine-class colorectal tissue patches, and CRC-VAL-HE-7K provides a related external validation collection (Kather et al., 2019). These published datasets motivate the class vocabulary, but their published results cannot be assigned to a different model without evaluation.</w:t>
      </w:r>
    </w:p>
    <w:p>
      <w:pPr>
        <w:jc w:val="both"/>
      </w:pPr>
      <w:r>
        <w:t>Published information about dataset patch size does not prove the acquisition scale of an arbitrary user image or the exact training pipeline behind a particular weight file. ZY-Path therefore exposes source tile dimensions while retaining an explicit unconfirmed-scale status. This is an implementation consequence of the literature's patch-level setting, rather than evidence that every 512-pixel crop is equivalent to a training example.</w:t>
      </w:r>
    </w:p>
    <w:p>
      <w:bookmarkStart w:id="18" w:name="head_17"/>
      <w:pPr>
        <w:pStyle w:val="Heading3"/>
      </w:pPr>
      <w:r>
        <w:t>2.2.2 Classification architectures and pretrained deployment</w:t>
      </w:r>
      <w:bookmarkEnd w:id="18"/>
    </w:p>
    <w:p>
      <w:pPr>
        <w:jc w:val="both"/>
      </w:pPr>
      <w:r>
        <w:t>The two main duties involved are comparable to ZY-Path. Image classification applies a categorical label, e.g. benign vs. malignant, to an input image patch. Image segmentation generates a pixel-wise mask to separate structures of interest (tumor regions, glands, cell nuclei, etc.) from background tissue. Both tasks indeed have very standard neural net architectures. For the classification, ResNet (He et al., 2016), VGG, DenseNet (Huang et al., 2017) and EfficientNet (Tan &amp; Le, 2019) families are frequently adopted.</w:t>
      </w:r>
    </w:p>
    <w:p>
      <w:pPr>
        <w:jc w:val="both"/>
      </w:pPr>
      <w:r>
        <w:t>Dense connectivity concatenates earlier feature maps into later layers, encouraging feature reuse (Huang et al., 2017). The architecture family must be distinguished from a particular configuration. The supplied CRC training script constructs a custom DenseNet with four blocks of two dense layers; it is not a standard DenseNet-121 checkpoint and not the ResNet-50 anticipated in CP1. Architectural literature explains the design vocabulary but does not demonstrate the accuracy, calibration or CPU speed of this implementation.</w:t>
      </w:r>
    </w:p>
    <w:p>
      <w:pPr>
        <w:jc w:val="both"/>
      </w:pPr>
      <w:r>
        <w:t>Residual networks and EfficientNet remain useful comparative foundations: residual connections address optimisation in deep networks, while compound scaling studies model depth, width and input resolution (He et al., 2016; Tan &amp; Le, 2019). ZY-Path does not implement a new architecture or run a controlled architecture benchmark. Its loader reconstructs supported architectures from metadata and checks their executable output contract.</w:t>
      </w:r>
    </w:p>
    <w:p>
      <w:pPr>
        <w:jc w:val="both"/>
      </w:pPr>
      <w:r>
        <w:t>Transfer learning can reduce the burden of obtaining task-specific models, but deploying an already trained model is not itself evidence that transfer learning was used. In particular, the supplied training script directly instantiates DenseNet and does not load ImageNet weights. The thesis therefore describes it as an externally trained classifier, without claiming verified ImageNet fine-tuning. Model training and optimisation remain outside the GUI's scope.</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assigns labels to a spatial output grid. When a network's prediction grid differs from the source image, a restoration rule is required. Averaging class probabilities before choosing a label and interpolating an already discrete label map are different operations. The implemented UPerNet path blends overlapping probabilities on a reduced-resolution lattice, obtains its label map and restores labels with nearest-neighbour interpolation. Its pixel coverage therefore describes the restored predicted mask; it does not establish subpixel accuracy or expert agreement at tissue boundaries.</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This leads to a distinction between simplicity and concealment. Whole-image and tiled analysis are explicit modes; source tile dimensions are stated in pixels; a resize backend is named precisely; and historical records retain the mode actually used. These choices make the system more inspectable while keeping network construction and tensor handling outside the user's normal workflow.</w:t>
      </w:r>
    </w:p>
    <w:p>
      <w:bookmarkStart w:id="23" w:name="head_21"/>
      <w:pPr>
        <w:pStyle w:val="Heading3"/>
      </w:pPr>
      <w:r>
        <w:t>2.2.6 Persistence and reproducible workflows</w:t>
      </w:r>
      <w:bookmarkEnd w:id="23"/>
    </w:p>
    <w:p>
      <w:pPr>
        <w:jc w:val="both"/>
      </w:pPr>
      <w:r>
        <w:t>SQLite provides a self-contained relational database suitable for local structured storage (SQLite, n.d.). The CP1 choice of a serverless database remains appropriate for a single-user desktop tool. A history record can connect an image path, model path, task, parameters and saved result without requiring a separate database service.</w:t>
      </w:r>
    </w:p>
    <w:p>
      <w:pPr>
        <w:jc w:val="both"/>
      </w:pPr>
      <w:r>
        <w:t>Replaying a record nevertheless has limits. A path identifies a location, not immutable file content. A model or image may be replaced at the same path, dependencies may change and external artifacts may be removed. The present application retains useful provenance but does not persist a cryptographic identity for every input/model or a complete environment lock with each run. Accordingly, this report uses “recorded rerun” and “workflow reproducibility” rather than claiming fully immutable or universally deterministic reproduction.</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SUS is one of the most used tools for evaluating usability in software development and in healthcare related applications. It includes ten Likert-scale questions and delivers a quantitative evaluation of the perceived usability with a very short measurement time. SUS has been validated in various application areas and allows for comparison to existing studies.</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The relevant difference is workflow focus. ZY-Path concentrates on selecting supported local PyTorch models, inspecting three explicitly distinguished output types and recalling individual inference records. QuPath should be viewed as a stronger general image-analysis environment, not as a GUI-deficient baseline. No timed comparison or user study against QuPath has been performed.</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Compared with this broader research environment, ZY-Path intentionally excludes model training, multiple-instance learning and native whole-slide data management. Its smaller scope may simplify a specific local inference task, but that possibility remains a usability hypothesis until evaluated. A feature-rich platform is not inherently less usable; its suitability depends on the task and user population.</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ZY-Path differs in its standalone, record-centred presentation, explicit single/tiled classifier modes and combined local history/export controls. These are implementation choices rather than proof of a superior inference engine. WSInfer's whole-slide context and model distribution ecosystem address requirements that ZY-Path does not attempt to cover.</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Consequently, the comparison does not assert that all commercial systems prohibit custom models, require continuous internet access or lack history. The more defensible project distinction is local control over the implemented workflow and source code, within the compatibility and maintenance limits of a student-developed application.</w:t>
      </w:r>
    </w:p>
    <w:p>
      <w:bookmarkStart w:id="31" w:name="head_29"/>
      <w:pPr>
        <w:pStyle w:val="Heading2"/>
      </w:pPr>
      <w:r>
        <w:t>2.4 Comparative Evaluation of Existing Systems</w:t>
      </w:r>
      <w:bookmarkEnd w:id="31"/>
    </w:p>
    <w:p>
      <w:pPr>
        <w:jc w:val="both"/>
      </w:pPr>
      <w:r>
        <w:t>The comparison in Table 2.1 is qualitative and based on published purposes and primary platform descriptions. “Not evaluated” is used where a capability was not independently investigated. A feature is not marked absent simply because it was not part of the review. No aggregate superiority score is calculated because the systems solve different problems.</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Narrower raster-image scope; independent accuracy, UAT and packaging validation remain pending</w:t>
            </w:r>
          </w:p>
        </w:tc>
      </w:tr>
    </w:tbl>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These needs refine the CP1 gap analysis. They do not establish the absence of similar functionality in every academic or commercial system. The project's contribution is an implemented combination tailored to individual educational/research use. It introduces no novel neural network, no clinical decision rule and no claim that classification tiles replace pixel segmentation.</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is a serverless, embedded, relational database engine, where the complete database (definitions, tables, indices, and the data itself) is stored in a single cross-platform file on disk. Its zero-configuration design enables the storing of structured data without having to use an external database server. This is what makes SQLite perfectly suited for local desktop applications such as ZY-Path, where inference records (image paths, model paths, prediction outputs, timestamps) must be persisted reliably in a DBA-free environment.</w:t>
      </w:r>
    </w:p>
    <w:p>
      <w:pPr>
        <w:jc w:val="both"/>
      </w:pPr>
      <w:r>
        <w:t>PyQt5 provides native windows, widgets, layouts, signals and worker threads (Riverbank Computing, n.d.; The Qt Company, n.d.). The current spatial viewer uses QGraphicsView rather than only a scaled QLabel. This allows source-coordinate transformations, linked navigation and vector grid painting after the image has been scaled. PyTorch supplies model evaluation and inference_mode (Paszke et al., 2019); NumPy and Pillow support image/tensor conversion (NumPy Developers, n.d.; Pillow Contributors, n.d.). Matplotlib is used for the single-image classification probability chart (Hunter, 2007), while spatial overlays are generated from image arrays. fpdf2, rather than an unresolved ReportLab/fpdf2 alternative, is the implemented PDF library.</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The architecture does not make every installation automatically offline-ready. UPerNet reconstruction requests a configuration from the local Hugging Face cache with local_files_only=True. A deployment package must therefore include the verified configuration and real weights in advance. PyInstaller remains a packaging recommendation (PyInstaller Development Team, n.d.); the reviewed checkout contains no verified executable/specification or clean-Windows-machine test result.</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The project uses iterative implementation and regression-driven refinement of the CP1 design. Each iteration starts from a workflow requirement or observed defect, inspects the relevant code and data contract, implements the smallest coherent correction, and verifies both the changed behaviour and adjacent functions. Windows user reports informed several interface corrections; automated Qt tests supplied repeatable regression evidence. This is an engineering development method, not a clinical trial or a completed experimental comparison of models.</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reviewed Python modules.</w:t>
      </w:r>
      <w:bookmarkEnd w:id="39"/>
    </w:p>
    <w:p>
      <w:pPr>
        <w:jc w:val="both"/>
      </w:pPr>
      <w:r>
        <w:t>The software baseline for the results in this report is branch codex-ready-2026-10-15 at commit 1f3e01e7866d1b1f78103d817214f7dbb1cc5a56. The reviewed training attachment is train_crc_dn21.py, not a missing similarly named file assumed to exist in the repository. Runtime claims are based on application source and recorded tests; training design claims are based on the attachment. Neither source substitutes for real weight files or independent evaluation data.</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spacing w:after="40"/>
      </w:pPr>
    </w:p>
    <w:p>
      <w:bookmarkStart w:id="43" w:name="head_38"/>
      <w:pPr>
        <w:pStyle w:val="Heading3"/>
      </w:pPr>
      <w:r>
        <w:t>3.2.2 Non-Functional Requirements</w:t>
      </w:r>
      <w:bookmarkEnd w:id="43"/>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Windows-native behaviour still requires final device verification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weights/cache/package completeness are not verified in this checkout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spacing w:after="40"/>
      </w:pPr>
    </w:p>
    <w:p>
      <w:pPr>
        <w:jc w:val="both"/>
      </w:pPr>
      <w:r>
        <w:t>The CP1 coverage target of at least 80% on core/data modules remains an evaluation target, not an observed result. The recorded pytest runs did not produce a coverage report. Likewise, a large test count is not evidence that every hardware, accessibility or packaging requirement has been met.</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Only authorised, de-identified images should be used in demonstrations and UAT. Source filenames, directory names and report metadata can contain personal information even when the visible image is anonymised. Consent and institutional requirements should be checked before collecting participant data or distributing images. No ethics-approval number or participant consent is claimed without supporting records.</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contrast, keyboard operation and non-colour cues, while recognising that this is a desktop application rather than a web page (W3C, 2023). No formal WCAG conformance, assistive-technology certification or complete screen-reader audit has been performed. A Windows-native keyboard/scale check, contrast audit of all text states, accessible-name review and screen-reader walkthrough remain necessary before claiming compliance.</w:t>
      </w:r>
    </w:p>
    <w:p>
      <w:pPr>
        <w:jc w:val="both"/>
      </w:pPr>
      <w:r>
        <w:t>The nine-class palette is a display aid, not a claim that all colour pairs are equally distinguishable for every user. Text legends, tile details and statistics provide redundant information. Checked, hovered and keyboard-focused result controls use stable geometry, and mouse focus no longer adds a thick frame that could obscure their usable area. These measures support accessibility without implying a completed accessibility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supervisor-style CRC checkpoint supplies DenseNet configuration, class labels, raw255 preprocessing and a 224 × 224 input size. The dedicated UPerNet state-dictionary path uses a verified Swin Base configuration already available in the local Hugging Face cache and a strict weight load. Missing configuration or mismatched state shapes produces an actionable validation error rather than a random replacement network.</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model and training-reference audit</w:t>
      </w:r>
      <w:bookmarkEnd w:id="49"/>
    </w:p>
    <w:p>
      <w:pPr>
        <w:jc w:val="both"/>
      </w:pPr>
      <w:r>
        <w:t>The supplied train_crc_dn21.py constructs torchvision.models.DenseNet using growth_rate=32, block_config=(2, 2, 2, 2), num_init_features=64, bn_size=4, drop_rate=0 and num_classes=9. The four two-layer blocks make the precise configuration important: describing the built-in model as ResNet-50 or standard DenseNet-121 would be inaccurate.</w:t>
      </w:r>
    </w:p>
    <w:p>
      <w:pPr>
        <w:jc w:val="both"/>
      </w:pPr>
      <w:r>
        <w:t>The dataset loader reads images with OpenCV and converts BGR to RGB. The validation transform is Albumentations Resize(224, 224) followed by ToTensorV2; the dataset then converts the result to float. No divide-by-255 or ImageNet normalisation is present in that path. The training transform additionally specifies vertical/horizontal flips, hue adjustment, rotation and a random-sized crop. The reference code uses CUDA, a weighted cross-entropy objective, Adam (learning rate 0.001; weight decay 10⁻⁶) and ReduceLROnPlateau. These facts describe the supplied script, not a training run reproduced in this project.</w:t>
      </w:r>
    </w:p>
    <w:p>
      <w:pPr>
        <w:jc w:val="both"/>
      </w:pPr>
      <w:r>
        <w:t>The script records training/validation metrics and supports resume, but the metric files, manifests, completed-run logs and real checkpoint are absent from the evidence package. Its default epoch count is not the verified number of completed epochs. It also checks disjoint image paths, which does not itself prove patient-level separation. Accordingly, no training curve, independent accuracy or completed epoch count is invented in Chapter 4.</w:t>
      </w:r>
    </w:p>
    <w:p>
      <w:pPr>
        <w:jc w:val="both"/>
      </w:pPr>
      <w:r>
        <w:t>The separately supplied config.py describes a three-class thyroid workflow and cannot establish the colorectal class order or source tile scale. It is excluded as evidence for the nine-class CRC contract. Neither attachment establishes the physical magnification or original-pixel dimensions of every image used to train the actual classifier.</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training attachment invokes Albumentations Resize without an explicit interpolation argument. Inspected library defaults are consistent with OpenCV linear, but the exact training library version is unavailable. Pillow bilinear and OpenCV INTER_LINEAR can differ in coordinate sampling, antialiasing and rounding; sharing a descriptive term such as “bilinear” is not proof of tensor identity. The implementation therefore preserves the legacy default and records the alternative, rather than changing preprocessing to improve the appearance of a particular prediction.</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there are seven columns and seven rows, hence 49 tiles. The final column is 480 pixels wide and the final row is 464 pixels high. The bottom-right crop contains 222,720 pixels rather than 262,144 pixels. A deterministic fixture verifies this arithmetic and that all source pixels are covered once. It does not verify the predicted tissue classes of a real image.</w:t>
      </w:r>
    </w:p>
    <w:p>
      <w:pPr>
        <w:jc w:val="both"/>
      </w:pPr>
      <w:r>
        <w:t>The choice of source crop size changes the field of view presented to a fixed 224 × 224 network. A 512-pixel source crop resized to 224 is a different sampling operation from a native 224-pixel patch, unless acquisition scale and intended field of view establish equivalence. The interface therefore states that training scale is unconfirmed and that 512 × 512 is only an editable starting value.</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The built-in segmentation path uses independent defaults: source tile=1000, stride=512, network input=224 and batch size=1 on CPU. These must not be confused with the user-editable 512 × 512 classification source tiles. The generic compatible segmentation path processes its prepared tensor and restores an argmax label map through OutputParser; it does not use the classifier tile statistics.</w:t>
      </w:r>
    </w:p>
    <w:p>
      <w:pPr>
        <w:jc w:val="both"/>
      </w:pPr>
      <w:r>
        <w:t>For the UPerNet path, tile_positions includes the final axis position so the complete source extent is covered. Images smaller than a source tile are reflect-padded for this segmentation pathway. Patches are resized with Pillow bilinear and ImageNet-normalised. Per-patch softmax probabilities are blended on a lower-resolution canvas using a two-dimensional Hann window with a small positive floor. The weighted result is normalised, converted to class labels, restored using nearest-neighbour interpolation and cropped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spacing w:after="40"/>
      </w:pPr>
    </w:p>
    <w:p>
      <w:pPr>
        <w:jc w:val="both"/>
      </w:pPr>
      <w:r>
        <w:t>Custom-model compatibility remains constrained. Executable output validation does not guarantee semantically correct labels or arbitrary colour-map support. The built-in nine-label path is the documented reference; additional custom architectures/classes require matching metadata and explicit verification rather than assuming every segmentation model is supported.</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Historical rerun still uses its recorded model path. Defaults are convenience preferences, not a migration of historical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identify validation, inference, cancellation and completion. Completed result metadata remains distinct from a new pending selection. The design applies visibility, consistency, recognition and user control from the usability literature, but a claim of reduced cognitive load awaits the planned user evaluation.</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sections, a fixed Contents menu, previous/next buttons and a reading-aware section indicator. System Information displays read-only runtime/library/configuration text before copying it; the copy confirmation expires after 2.5 seconds. About reports version 1.0. These features improve discoverability, but they are not a substitute for observed participant understanding.</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Scroll areas, wrapping and suitable size policies keep child widgets from imposing an oversized application minimum.</w:t>
      </w:r>
    </w:p>
    <w:p>
      <w:pPr>
        <w:jc w:val="both"/>
      </w:pPr>
      <w:r>
        <w:t>Automated checks include small logical screens, repeated narrow/wide transitions and Qt scale-factor simulation. They verify Qt-level layout and state behaviour, not Windows-native title-bar buttons, taskbar docking or multi-monitor driver behaviour. Final Windows screenshots and the manual sequence “maximise → restore → resize smaller → maximise → restore” remain part of the acceptance checklist.</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Unit testing is an independent verification of a single software component. In ZY-Path, unit testing can be applied in model loading, image preprocessing, inference execution, and SQLite operations.</w:t>
      </w:r>
    </w:p>
    <w:p>
      <w:pPr>
        <w:jc w:val="both"/>
      </w:pPr>
      <w:r>
        <w:t>Integration testing checks if there is any problem among modules after they are integrated. Since ZY-Path combines image processing, AI inference, database management, and graphical user interface (GUI) elements, integration testing verifies that data is seamlessly transferred across the entire inference pipeline.</w:t>
      </w:r>
    </w:p>
    <w:p>
      <w:pPr>
        <w:jc w:val="both"/>
      </w:pPr>
      <w:r>
        <w:t>Development tests use pytest and pytest-qt. Small in-memory networks, synthetic tensors, generated raster images, temporary SQLite databases and isolated QSettings files make failures reproducible without distributing the real large weights. These are test doubles with known behaviour, not placeholder production models. The real built-in paths are deliberately left unchanged so their missing-file failure remains visible.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historical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Required scenarios include startup with present/missing defaults; both classification modes; segmentation; cancel/close while busy; source/result comparison; Fit and 1:1; narrow/wide docking; maximise/restore; history retrieval and rerun after preferences change; deletion; PNG/PDF export; English calendar; and keyboard/padding clicks. The uploaded local Windows reports motivated corrections, but unstructured user observations are not recast as a completed formal acceptance protocol.</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A complete score requires all ten valid responses. Missing answers are not treated as zero and are not silently imputed. Report the number of valid SUS forms, mean, standard deviation and range; a median/IQR and a cautiously interpreted interval can be added for the small pilot. Feature ratings retain their own denominators and exclude “not used” responses rather than treating them as the lowest score.</w:t>
      </w:r>
    </w:p>
    <w:p>
      <w:bookmarkStart w:id="80" w:name="head_66"/>
      <w:pPr>
        <w:pStyle w:val="Heading3"/>
      </w:pPr>
      <w:r>
        <w:t>3.6.5 Testing Summary</w:t>
      </w:r>
      <w:bookmarkEnd w:id="80"/>
    </w:p>
    <w:p>
      <w:pPr>
        <w:jc w:val="both"/>
      </w:pPr>
      <w:r>
        <w:t>Three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is a fourth, distinct activity needed for predictive claims; no amount of GUI testing replaces it.</w:t>
      </w:r>
    </w:p>
    <w:p>
      <w:pPr>
        <w:jc w:val="both"/>
      </w:pPr>
      <w:r>
        <w:t>The reported test baseline is the completed recorded run for the reviewed source revision, not a new unexecuted command. The complete suite was run with --continue-on-collection-errors so available tests still executed despite one missing-script collection failure. Passing, failed and collection-error counts are reported explicitly in Chapter 4. No tests were deleted, skipped or weakened to conceal these prerequisites.</w:t>
      </w:r>
    </w:p>
    <w:p>
      <w:bookmarkStart w:id="81" w:name="head_67"/>
      <w:pPr>
        <w:pStyle w:val="Heading3"/>
      </w:pPr>
      <w:r>
        <w:t>3.6.6 Requirements Traceability Matrix</w:t>
      </w:r>
      <w:bookmarkEnd w:id="81"/>
    </w:p>
    <w:p>
      <w:pPr>
        <w:jc w:val="both"/>
      </w:pPr>
      <w:r>
        <w:t>The matrix connects objectives, requirements, implementation and executable evidence. “Verified with fixtures” denotes software behaviour established without the real production weights. “Pending” is used for absent model, UAT, packaging or platform evidence. A requirement can be implemented while its real-weight or user-level acceptance remains incomplete.</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Fixture-verified; final representative real files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checks verified; real built-in file availability fails</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Fixture-verified; predictive accuracy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mode and actual-area statistics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Synthetic segmentation verified; real-weight/ground-truth study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Coordinates/zoom/grid verified in Qt; Windows native confirmation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Temporary persistence verified; known real-file test fails</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Query semantics and English calendar 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task/model/parameters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File/report semantics verified; final Windows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checkpoint and late-result handling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Defaults, validation and history isolation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App-owned cleanup and source preservation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Qt-level evidence; native device and accessibility audit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Relevant checks pass; immutable provenance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Regression evidence available; benchmark, clean package and coverage pending</w:t>
            </w:r>
          </w:p>
        </w:tc>
      </w:tr>
    </w:tbl>
    <w:p>
      <w:pPr>
        <w:spacing w:after="40"/>
      </w:pPr>
    </w:p>
    <w:p>
      <w:pPr>
        <w:jc w:val="both"/>
      </w:pPr>
      <w:r>
        <w:t>This matrix is also a reporting control. A green UI test cannot change the status of missing weights, UAT or packaging to “verified”. Appendix C provides the evidence-file index, and Chapter 4 discusses the residual gaps against these requirements.</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real checkpoint, source scale and representative tensor equivalence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Supply verified weights/cache and test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training-scale confirmation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independent model/UAT studies before stronger conclusions</w:t>
            </w:r>
          </w:p>
        </w:tc>
      </w:tr>
    </w:tbl>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turns the CP1 workflow into an explicit, model-aware desktop implementation. Classification and segmentation use independent contracts; tiled classification preserves actual source areas; history restores recorded analysis settings; and the GUI supports controlled cancellation and spatial inspection. The evaluation plan separates fixture-based engineering evidence from the real-weight, Windows-native and user studies that remain necessary. Chapter 4 reports only the results supported by the available evidence.</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the implemented software and its available verification results. The evidence baseline is source revision 1f3e01e on codex-ready-2026-10-15 and the corresponding recorded pytest logs dated 17 October 2026. Screenshots captured in the cloud are Linux/Qt development views. Where generated images or known synthetic outputs are used, they demonstrate interface behaviour only and are labelled accordingly.</w:t>
      </w:r>
    </w:p>
    <w:p>
      <w:pPr>
        <w:jc w:val="both"/>
      </w:pPr>
      <w:r>
        <w:t>The evidence does not include real model weight files in this checkout, independent classification/segmentation evaluation, completed UAT responses or a verified clean-machine Windows executable. These are material limits. The chapter therefore distinguishes implemented functionality, controlled verification, reported Windows observations and pending acceptance evidence instead of presenting all requirements as unconditionally passed.</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application remains usable through source execution on Windows, as reported by the project user. That observation is distinct from a packaged executable test. The current repository has no verified distributable build, and the real built-in files are absent from the cloud checkout. The implementation result is therefore a source-based application with substantial automated evidence and remaining deployment prerequisites.</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the revised result toggles. Linux/Qt capture using synthetic source/output data; not a real-weight or diagnostic result.</w:t>
      </w:r>
      <w:bookmarkEnd w:id="92"/>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A previously reported Windows run used a 3552 × 3536 source with 512 × 512 crops and yielded 49 tiles, predominantly STR. The count is consistent with the geometry, but the class distribution alone cannot validate the prediction. The code/test audit verifies actual source cropping, RGB/raw255 preparation, ordered softmax probabilities and area accounting under controlled fixtures. Without the real weights, source image and independent tissue annotations, it cannot decide whether that reported distribution reflects tissue content, scale/domain effects or predictive error.</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UI and large-image segmentation algorithm have controlled regression coverage, including output dimensions, class counts and blending behaviour. The supplied config.py is not evidence for this segmentation model, and the project does not infer segmentation accuracy from a matching classification region. A real-weight screenshot and a labelled evaluation set are required for stronger conclusions.</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fixed Contents navigation and numbered guidance. Linux/Qt development capture; contact/guide content is interface evidence rather than UAT feedback.</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under a simulated Chinese default locale. Linux/Qt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The complete recorded command used pytest -q --continue-on-collection-errors --tb=short with QT_QPA_PLATFORM=offscreen and isolated writable application/configuration/cache directories. The command completed with a non-zero exit status because two known prerequisites remained missing. The final summary was “1 failed, 355 passed, 14 warnings, 1 error in 110.70s”. The duration is test-suite execution time in the cloud, not a per-image inference benchmark.</w:t>
      </w:r>
    </w:p>
    <w:p>
      <w:bookmarkStart w:id="105" w:name="cap_Table_4_1"/>
      <w:pPr>
        <w:pStyle w:val="TableCaption"/>
      </w:pPr>
      <w:r>
        <w:t>Table 4.1. Recorded automated verification outcomes at revision 1f3e01e</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 pytest, continuing after collection errors</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355</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 suite is not green; both missing-file issues remain visible</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Result-control/history/comparison/grid/layout regressions</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83</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Related controlled regressions pass</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New input/locale tests at Qt scale factor 1.5</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7</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Simulated 150% scaling; not Windows-native proof</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New input/locale tests at Qt scale factor 2</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7</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Simulated 200% scaling; not Windows-native proof</w:t>
            </w:r>
          </w:p>
        </w:tc>
      </w:tr>
    </w:tbl>
    <w:p>
      <w:pPr>
        <w:spacing w:after="40"/>
      </w:pPr>
    </w:p>
    <w:p>
      <w:pPr>
        <w:jc w:val="both"/>
      </w:pPr>
      <w:r>
        <w:t>These runs overlap; their counts must not be added as if they represented independent test cases. A collection error can prevent a module's tests from being discovered, so a pass percentage based simply on 355/(355+1+1) would be misleading. The outcome supports the available executable cases while preserving the incomplete collection and missing production artifacts.</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4.10. Recorded pytest command/outcome excerpt and scope notes. Reproduced from saved logs for the reviewed revision; not a model-performance chart.</w:t>
      </w:r>
      <w:bookmarkEnd w:id="106"/>
    </w:p>
    <w:p>
      <w:pPr>
        <w:jc w:val="both"/>
      </w:pPr>
      <w:r>
        <w:t>The failed case is tests/test_main_window_inference.py::test_default_builtin_paths_keep_real_classification_and_segmentation_models. Its assertion fails because models/crc_dn21_seed42_best.pth is absent. The segmentation real-weight file is also absent from the checkout, but this failing assertion first reports the classification path. No real model was manufactured to make this availability test pass.</w:t>
      </w:r>
    </w:p>
    <w:p>
      <w:pPr>
        <w:jc w:val="both"/>
      </w:pPr>
      <w:r>
        <w:t>The collection error occurs in tests/test_train_crc_resume.py when it attempts to read models/dn21_folder_classification/train_crc_dn21 (1).py. The separately uploaded train_crc_dn21.py is useful reference material, but it was not copied into this expected path to disguise the repository problem. No tests were deleted, skipped or reported as passing through import bypasses.</w:t>
      </w:r>
    </w:p>
    <w:p>
      <w:bookmarkStart w:id="107" w:name="head_80"/>
      <w:pPr>
        <w:pStyle w:val="Heading3"/>
      </w:pPr>
      <w:r>
        <w:t>4.3.2 Challenges, resolutions and evidence</w:t>
      </w:r>
      <w:bookmarkEnd w:id="107"/>
    </w:p>
    <w:p>
      <w:bookmarkStart w:id="108" w:name="cap_Table_4_2"/>
      <w:pPr>
        <w:pStyle w:val="TableCaption"/>
      </w:pPr>
      <w:r>
        <w:t>Table 4.2.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metadata and training attachment; retain actual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Loader/preprocessor/tile fixtures; real predictive metrics still absent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scroll areas and height-for-width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Small-screen/font tests; native Windows verification remains pending</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bl>
    <w:p>
      <w:pPr>
        <w:spacing w:after="40"/>
      </w:pPr>
    </w:p>
    <w:p>
      <w:pPr>
        <w:jc w:val="both"/>
      </w:pPr>
      <w:r>
        <w:t>The resolutions address reproducible implementation defects or ambiguity. They do not use segmentation as classification ground truth, change a model to force expected tissue proportions or hide errors by reducing the test scope. The traceability matrix reflects these limits: F04–F05 and F07 have strong controlled evidence, while model accuracy, clean packaging and empirical usability remain separate open items.</w:t>
      </w:r>
    </w:p>
    <w:p>
      <w:bookmarkStart w:id="109" w:name="head_81"/>
      <w:pPr>
        <w:pStyle w:val="Heading3"/>
      </w:pPr>
      <w:r>
        <w:t>4.3.3 Manual and predictive validation status</w:t>
      </w:r>
      <w:bookmarkEnd w:id="109"/>
    </w:p>
    <w:p>
      <w:pPr>
        <w:jc w:val="both"/>
      </w:pPr>
      <w:r>
        <w:t>Windows user observations were valuable because offscreen Qt tests had not exposed every native layout problem. Their role was to trigger diagnosis and regression cases, not to establish a completed clinical or usability study. The current evidence package still requires a documented final native run at the reviewed revision, with normal/maximised windows, narrow/wide docking, representative display scales and real model/input artifacts.</w:t>
      </w:r>
    </w:p>
    <w:p>
      <w:pPr>
        <w:jc w:val="both"/>
      </w:pPr>
      <w:r>
        <w:t>There is no verified independent accuracy, macro-F1, confusion matrix, calibration metric, segmentation Dice or IoU for the integrated real models. The proposal's statement of accuracy above 94% cannot be retained as a project result. Published NCT results describe the published experiments; the training script's metric calculations describe intended measurement; neither supplies this project's missing evaluation outputs.</w:t>
      </w:r>
    </w:p>
    <w:p>
      <w:pPr>
        <w:jc w:val="both"/>
      </w:pPr>
      <w:r>
        <w:t>The supplementary evaluation checklist specifies model checksum, source dataset/manifests, patient/slide-level separation, preprocessing/backend, source scale, per-class support and independently generated metrics. These details are prerequisites for attributing any future number to the actual deployed model.</w:t>
      </w:r>
    </w:p>
    <w:p>
      <w:bookmarkStart w:id="110" w:name="head_82"/>
      <w:pPr>
        <w:pStyle w:val="Heading2"/>
      </w:pPr>
      <w:r>
        <w:t>4.4 User Acceptance Testing Results</w:t>
      </w:r>
      <w:bookmarkEnd w:id="110"/>
    </w:p>
    <w:p>
      <w:pPr>
        <w:jc w:val="both"/>
      </w:pPr>
      <w:r>
        <w:t>UAT has not yet been conducted or supplied. This section is structured for the actual results and includes explicit fields rather than simulated participants, fabricated percentages or invented quotations. The instrument and scoring workbook are complete, but an empty template is not an empirical finding. Until data are collected, H2 and the user-performance aspect of H3 remain untested.</w:t>
      </w:r>
    </w:p>
    <w:p>
      <w:bookmarkStart w:id="111" w:name="head_83"/>
      <w:pPr>
        <w:pStyle w:val="Heading3"/>
      </w:pPr>
      <w:r>
        <w:t>4.4.1 Participant Demographics</w:t>
      </w:r>
      <w:bookmarkEnd w:id="111"/>
    </w:p>
    <w:p>
      <w:bookmarkStart w:id="112" w:name="cap_Table_4_3"/>
      <w:pPr>
        <w:pStyle w:val="TableCaption"/>
      </w:pPr>
      <w:r>
        <w:t>Table 4.3.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bookmarkStart w:id="114" w:name="cap_Table_4_4"/>
      <w:pPr>
        <w:pStyle w:val="TableCaption"/>
      </w:pPr>
      <w:r>
        <w:t>Table 4.4.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bookmarkStart w:id="116" w:name="cap_Table_4_5"/>
      <w:pPr>
        <w:pStyle w:val="TableCaption"/>
      </w:pPr>
      <w:r>
        <w:t>Table 4.5.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The saved 110.70-second pytest duration is not suitable for this subsection as an inference-time result. Similarly, a single reported 0.6-second Windows prediction, without a fixed protocol and hardware/context, cannot establish a general latency claim.</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The Windows feedback already used during development is reported in Section 4.3 as informal defect evidence. It is not combined with future UAT survey responses as if both came from the same sampling protocol. This separation keeps design iteration useful without overstating the formality of the current usability evidence.</w:t>
      </w:r>
    </w:p>
    <w:p>
      <w:bookmarkStart w:id="119" w:name="head_88"/>
      <w:pPr>
        <w:pStyle w:val="Heading2"/>
      </w:pPr>
      <w:r>
        <w:t>4.5 Discussion</w:t>
      </w:r>
      <w:bookmarkEnd w:id="119"/>
    </w:p>
    <w:p>
      <w:bookmarkStart w:id="120" w:name="head_89"/>
      <w:pPr>
        <w:pStyle w:val="Heading3"/>
      </w:pPr>
      <w:r>
        <w:t>4.5.1 Achievement of Research Objectives</w:t>
      </w:r>
      <w:bookmarkEnd w:id="120"/>
    </w:p>
    <w:p>
      <w:bookmarkStart w:id="121" w:name="cap_Table_4_6"/>
      <w:pPr>
        <w:pStyle w:val="TableCaption"/>
      </w:pPr>
      <w:r>
        <w:t>Table 4.6.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Feasibility supported with controlled models; clean offline package not 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integration verified; real built-in availability incomplete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Algorithms/parameters tested; independent real-model accuracy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Qt-level behaviour verified; UAT and final native checks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Temporary-artifact/report tests pass; final demonstration screenshots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Controlled persistence verified; immutable provenance/backup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Recorded-parameter semantics verified; user-efficiency advantage untested</w:t>
            </w:r>
          </w:p>
        </w:tc>
      </w:tr>
    </w:tbl>
    <w:p>
      <w:pPr>
        <w:spacing w:after="40"/>
      </w:pPr>
    </w:p>
    <w:p>
      <w:pPr>
        <w:jc w:val="both"/>
      </w:pPr>
      <w:r>
        <w:t>The most defensible achievement is implementation feasibility under a constrained contract. The system now exposes choices that the proposal either assumed or left implicit, including the distinction between source tile size and network input, backend-specific resizing and tile coverage versus global confidence. These are substantive engineering outcomes even though they do not establish diagnostic performance.</w:t>
      </w:r>
    </w:p>
    <w:p>
      <w:pPr>
        <w:jc w:val="both"/>
      </w:pPr>
      <w:r>
        <w:t>H1 is supported in the controlled software setting. The correctness components of H3 are also supported by restoration and rerun tests. H2 and claims about reduced time/cognitive load require actual users, while deployment-level acceptance requires the missing artifacts and native checks. The report therefore avoids calling every objective fully validated.</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First, the system depends on pretrained PyTorch models provided by users or default model and does not include model training functionality.</w:t>
      </w:r>
    </w:p>
    <w:p>
      <w:pPr>
        <w:jc w:val="both"/>
      </w:pPr>
      <w:r>
        <w:t>Third, collaborative annotation and multi-user access are not supported because the system focuses on standalone desktop deployment.</w:t>
      </w:r>
    </w:p>
    <w:p>
      <w:pPr>
        <w:jc w:val="both"/>
      </w:pPr>
      <w:r>
        <w:t>Fourth, prediction performance is dependent on the quality, architecture, and training data of the supplied AI models.</w:t>
      </w:r>
    </w:p>
    <w:p>
      <w:pPr>
        <w:jc w:val="both"/>
      </w:pPr>
      <w:r>
        <w:t>Finally, the system is intended for educational and research purposes only and should not be considered a replacement for professional medical diagnosis.</w:t>
      </w:r>
    </w:p>
    <w:p>
      <w:pPr>
        <w:jc w:val="both"/>
      </w:pPr>
      <w:r>
        <w:t>Additional CP2 limitations are material. Real classification and segmentation weights are missing from the cloud environment, and the resume-test collection depends on an absent script. The attached training code does not identify the original source scale or supply completed training/evaluation logs. The editable classification tile size is exploratory, and anisotropic resizing of non-square edge crops can alter morphology presented to the model.</w:t>
      </w:r>
    </w:p>
    <w:p>
      <w:pPr>
        <w:jc w:val="both"/>
      </w:pPr>
      <w:r>
        <w:t>Large raster tiling does not provide native gigapixel WSI streaming. Full-size source arrays, class maps and restored masks still consume memory, and the UPerNet probability canvas has its own resource cost. GPU inference, batched classification and whole-slide physical-scale extraction are not established runtime features. CPU timings depend on the actual model and hardware; none are generalised from the test suite.</w:t>
      </w:r>
    </w:p>
    <w:p>
      <w:pPr>
        <w:jc w:val="both"/>
      </w:pPr>
      <w:r>
        <w:t>Structural validation cannot guarantee semantic class correctness, calibration or file safety. The generic custom-model workflow is limited to supported input/output conventions and implementation-tested label handling. Full pickled modules may need their defining Python classes and carry deserialisation risks. There is no universal architecture loader, clinical validation or secure sandbox.</w:t>
      </w:r>
    </w:p>
    <w:p>
      <w:pPr>
        <w:jc w:val="both"/>
      </w:pPr>
      <w:r>
        <w:t>History references mutable filesystem paths and is not a complete provenance archive. It does not guarantee that the bytes at a path are unchanged. There is also no implemented automatic backup, multi-user access control or atomic transaction encompassing all external artifacts. A completed record improves traceability but is not a certified clinical audit trail.</w:t>
      </w:r>
    </w:p>
    <w:p>
      <w:pPr>
        <w:jc w:val="both"/>
      </w:pPr>
      <w:r>
        <w:t>Finally, offscreen Qt and DPI simulations do not prove final Windows-native docking, window-manager or assistive-technology behaviour. The latest controls/calendar changes have repeatable input tests and screenshots, but a final native acceptance pass is still required. No UAT responses, independent metrics, coverage percentage or clean-machine executable evidence are supplied.</w:t>
      </w:r>
    </w:p>
    <w:p>
      <w:bookmarkStart w:id="124" w:name="head_92"/>
      <w:pPr>
        <w:pStyle w:val="Heading3"/>
      </w:pPr>
      <w:r>
        <w:t>4.5.4 Implications for Future Development</w:t>
      </w:r>
      <w:bookmarkEnd w:id="124"/>
    </w:p>
    <w:p>
      <w:pPr>
        <w:jc w:val="both"/>
      </w:pPr>
      <w:r>
        <w:t>Future work should first close the evidence gaps rather than add unrelated features. Confirm model provenance and training/source scales, restore the missing test prerequisite, evaluate real models on independently separated data and collect the planned user study. These steps determine whether the implemented workflow is fit for its intended educational/research use.</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The implementation delivers a substantial local inference workflow and controlled evidence for its crop geometry, state handling, inspection and persistence semantics. The recorded full-suite outcome is 355 passed, one failed and one collection error; the unresolved prerequisites remain explicit. UAT, independent model accuracy, final native acceptance and clean packaging are incomplete, so the conclusions are limited to demonstrated software behaviour and a prepared evaluation plan.</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Controlled verification supports many of these implementation claims. At the reviewed revision, 355 tests passed, one real-file availability test failed and one missing-script collection error remained. Related controls/history/layout regressions and simulated DPI checks passed. These outcomes should not be converted into a claim of complete deployment readiness or clinical accuracy: the real model artifacts, independent model metrics, UAT responses and final Windows acceptance evidence are not included.</w:t>
      </w:r>
    </w:p>
    <w:p>
      <w:pPr>
        <w:jc w:val="both"/>
      </w:pPr>
      <w:r>
        <w:t>The research questions are consequently answered at different levels. A model-aware local GUI workflow is technically feasible and implemented. The recorded restoration/rerun logic supports workflow continuity under stable files and dependencies. Whether the interface improves users' interpretation, satisfaction or efficiency remains an empirical question for the prepared UAT. The project's conclusion is therefore a demonstrated engineering integration with clearly identified evaluation limits.</w:t>
      </w:r>
    </w:p>
    <w:p>
      <w:bookmarkStart w:id="128" w:name="head_96"/>
      <w:pPr>
        <w:pStyle w:val="Heading2"/>
      </w:pPr>
      <w:r>
        <w:t>5.2 Future Work and Recommendations</w:t>
      </w:r>
      <w:bookmarkEnd w:id="128"/>
    </w:p>
    <w:p>
      <w:pPr>
        <w:jc w:val="both"/>
      </w:pPr>
      <w:r>
        <w:t>The immediate priority is evidence completion. Supply the verified built-in weights and cached configuration; reconcile the absent resume-test script with the intended repository layout; capture final Windows runs at the reported commit; and perform independent model evaluation with known patient/slide separation, source scale and preprocessing. No software test should be removed to make this process appear complete.</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an implemented local workflow connecting compatible PyTorch inference to a graphical desktop interface and persistent per-analysis records. It demonstrates the feasibility of integrating these components without a running application server, while preserving explicit deployment prerequisites.</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unconfirmed training scale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auditable evaluation package. Requirements are connected to source modules and named tests; missing prerequisites remain failures/errors; and a complete UAT instrument, scoring template and screenshot/evaluation checklist support subsequent evidence collection. These are software-engineering contributions and reusable evaluation materials, not a novel neural architecture or a clinically validated diagnostic method.</w:t>
      </w:r>
    </w:p>
    <w:p>
      <w:bookmarkStart w:id="130" w:name="head_98"/>
      <w:pPr>
        <w:pStyle w:val="Heading2"/>
      </w:pPr>
      <w:r>
        <w:t>5.4 Summary</w:t>
      </w:r>
      <w:bookmarkEnd w:id="130"/>
    </w:p>
    <w:p>
      <w:pPr>
        <w:jc w:val="both"/>
      </w:pPr>
      <w:r>
        <w:t>ZY-Path implements the central CP1 workflow and extends it with explicit spatial analysis and stronger state management. Its present contribution is best understood as an inspectable research/education application supported by controlled software evidence. Completing independent predictive evaluation, UAT, native acceptance and verified packaging will determine the strength of future claims about usability, generalisation and deployment readiness.</w:t>
      </w:r>
    </w:p>
    <w:p>
      <w:bookmarkStart w:id="131" w:name="head_99"/>
      <w:pPr>
        <w:pStyle w:val="Heading1"/>
      </w:pPr>
      <w:r>
        <w:t>References</w:t>
      </w:r>
      <w:bookmarkEnd w:id="131"/>
    </w:p>
    <w:p>
      <w:pPr>
        <w:pStyle w:val="Reference"/>
        <w:jc w:val="left"/>
      </w:pPr>
      <w:r>
        <w:t>Aiforia (n.d.) Aiforia Create. Product information. https://www.aiforia.com/aiforia-create</w:t>
      </w:r>
    </w:p>
    <w:p>
      <w:pPr>
        <w:pStyle w:val="Reference"/>
        <w:jc w:val="left"/>
      </w:pPr>
      <w:r>
        <w:t>Bangor, A., Kortum, P. and Miller, J. (2009) ‘Determining what individual SUS scores mean: Adding an adjective rating scale’, Journal of Usability Studies, 4(3), pp. 114–123.</w:t>
      </w:r>
    </w:p>
    <w:p>
      <w:pPr>
        <w:pStyle w:val="Reference"/>
        <w:jc w:val="left"/>
      </w:pPr>
      <w:r>
        <w:t>Bankhead, P. et al. (2017) ‘QuPath: Open source software for digital pathology image analysis’, Scientific Reports, 7, article 16878. https://doi.org/10.1038/s41598-017-17204-5</w:t>
      </w:r>
    </w:p>
    <w:p>
      <w:pPr>
        <w:pStyle w:val="Reference"/>
        <w:jc w:val="left"/>
      </w:pPr>
      <w:r>
        <w:t>Brooke, J. (1996) ‘SUS: A “quick and dirty” usability scale’, in Jordan, P.W., Thomas, B., Weerdmeester, B.A. and McClelland, I.L. (eds.) Usability Evaluation in Industry. London: Taylor &amp; Francis, pp. 189–194.</w:t>
      </w:r>
    </w:p>
    <w:p>
      <w:pPr>
        <w:pStyle w:val="Reference"/>
        <w:jc w:val="left"/>
      </w:pPr>
      <w:r>
        <w:t>Dolezal, J.M., Kochanny, S., Dyer, E., Ramesh, S., Srisuwananukorn, A., Sacco, M., Howard, F.M., Li, A., Mohan, P. and Pearson, A.T. (2024) ‘Slideflow: Deep learning for digital histopathology with real-time whole-slide visualization’, BMC Bioinformatics, 25, article 134. https://doi.org/10.1186/s12859-024-05758-x</w:t>
      </w:r>
    </w:p>
    <w:p>
      <w:pPr>
        <w:pStyle w:val="Reference"/>
        <w:jc w:val="left"/>
      </w:pPr>
      <w:r>
        <w:t>Guo, C., Pleiss, G., Sun, Y. and Weinberger, K.Q. (2017) ‘On calibration of modern neural networks’, Proceedings of the 34th International Conference on Machine Learning, Proceedings of Machine Learning Research, 70, pp. 1321–1330. https://proceedings.mlr.press/v70/guo17a.html</w:t>
      </w:r>
    </w:p>
    <w:p>
      <w:pPr>
        <w:pStyle w:val="Reference"/>
        <w:jc w:val="left"/>
      </w:pPr>
      <w:r>
        <w:t>He, K., Zhang, X., Ren, S. and Sun, J. (2016) ‘Deep residual learning for image recognition’, Proceedings of the IEEE Conference on Computer Vision and Pattern Recognition, pp. 770–778. https://doi.org/10.1109/CVPR.2016.90</w:t>
      </w:r>
    </w:p>
    <w:p>
      <w:pPr>
        <w:pStyle w:val="Reference"/>
        <w:jc w:val="left"/>
      </w:pPr>
      <w:r>
        <w:t>Huang, G., Liu, Z., van der Maaten, L. and Weinberger, K.Q. (2017) ‘Densely connected convolutional networks’, Proceedings of the IEEE Conference on Computer Vision and Pattern Recognition, pp. 2261–2269. https://arxiv.org/abs/1608.06993</w:t>
      </w:r>
    </w:p>
    <w:p>
      <w:pPr>
        <w:pStyle w:val="Reference"/>
        <w:jc w:val="left"/>
      </w:pPr>
      <w:r>
        <w:t>Hunter, J.D. (2007) ‘Matplotlib: A 2D graphics environment’, Computing in Science &amp; Engineering, 9(3), pp. 90–95. https://doi.org/10.1109/MCSE.2007.55</w:t>
      </w:r>
    </w:p>
    <w:p>
      <w:pPr>
        <w:pStyle w:val="Reference"/>
        <w:jc w:val="left"/>
      </w:pPr>
      <w:r>
        <w:t>Kaczmarzyk, J.R., O’Callaghan, A., Inglis, F., Gat, S., Kurc, T., Gupta, R., Bremer, E., Bankhead, P. and Saltz, J.H. (2024) ‘Open and reusable deep learning for pathology with WSInfer and QuPath’, npj Precision Oncology, 8, article 9. https://doi.org/10.1038/s41698-024-00499-9</w:t>
      </w:r>
    </w:p>
    <w:p>
      <w:pPr>
        <w:pStyle w:val="Reference"/>
        <w:jc w:val="left"/>
      </w:pPr>
      <w:r>
        <w:t>Kather, J.N. et al. (2019) ‘Predicting survival from colorectal cancer histology slides using deep learning: A retrospective multicenter study’, PLOS Medicine, 16(1), e1002730. https://doi.org/10.1371/journal.pmed.1002730</w:t>
      </w:r>
    </w:p>
    <w:p>
      <w:pPr>
        <w:pStyle w:val="Reference"/>
        <w:jc w:val="left"/>
      </w:pPr>
      <w:r>
        <w:t>Litjens, G. et al. (2017) ‘A survey on deep learning in medical image analysis’, Medical Image Analysis, 42, pp. 60–88. https://doi.org/10.1016/j.media.2017.07.005</w:t>
      </w:r>
    </w:p>
    <w:p>
      <w:pPr>
        <w:pStyle w:val="Reference"/>
        <w:jc w:val="left"/>
      </w:pPr>
      <w:r>
        <w:t>Liu, Z., Lin, Y., Cao, Y., Hu, H., Wei, Y., Zhang, Z., Lin, S. and Guo, B. (2021) ‘Swin Transformer: Hierarchical vision transformer using shifted windows’, Proceedings of the IEEE/CVF International Conference on Computer Vision, pp. 10012–10022. https://arxiv.org/abs/2103.14030</w:t>
      </w:r>
    </w:p>
    <w:p>
      <w:pPr>
        <w:pStyle w:val="Reference"/>
        <w:jc w:val="left"/>
      </w:pPr>
      <w:r>
        <w:t>Marée, R. et al. (2016) ‘Collaborative analysis of multi-gigapixel imaging data using Cytomine’, Bioinformatics, 32(9), pp. 1395–1401. https://doi.org/10.1093/bioinformatics/btw013</w:t>
      </w:r>
    </w:p>
    <w:p>
      <w:pPr>
        <w:pStyle w:val="Reference"/>
        <w:jc w:val="left"/>
      </w:pPr>
      <w:r>
        <w:t>Nielsen, J. (1994) ‘Enhancing the explanatory power of usability heuristics’, Proceedings of the SIGCHI Conference on Human Factors in Computing Systems, pp. 152–158. https://doi.org/10.1145/191666.191729</w:t>
      </w:r>
    </w:p>
    <w:p>
      <w:pPr>
        <w:pStyle w:val="Reference"/>
        <w:jc w:val="left"/>
      </w:pPr>
      <w:r>
        <w:t>NumPy Developers (n.d.) NumPy user guide. https://numpy.org/doc/stable/user/</w:t>
      </w:r>
    </w:p>
    <w:p>
      <w:pPr>
        <w:pStyle w:val="Reference"/>
        <w:jc w:val="left"/>
      </w:pPr>
      <w:r>
        <w:t>Paszke, A. et al. (2019) ‘PyTorch: An imperative style, high-performance deep learning library’, Advances in Neural Information Processing Systems, 32. https://proceedings.neurips.cc/paper/2019/hash/bdbca288fee7f92f2bfa9f7012727740-Abstract.html</w:t>
      </w:r>
    </w:p>
    <w:p>
      <w:pPr>
        <w:pStyle w:val="Reference"/>
        <w:jc w:val="left"/>
      </w:pPr>
      <w:r>
        <w:t>Pillow Contributors (n.d.) Pillow documentation: Image processing and resampling. https://pillow.readthedocs.io/en/stable/</w:t>
      </w:r>
    </w:p>
    <w:p>
      <w:pPr>
        <w:pStyle w:val="Reference"/>
        <w:jc w:val="left"/>
      </w:pPr>
      <w:r>
        <w:t>PyInstaller Development Team (n.d.) PyInstaller documentation. https://pyinstaller.org/en/stable/</w:t>
      </w:r>
    </w:p>
    <w:p>
      <w:pPr>
        <w:pStyle w:val="Reference"/>
        <w:jc w:val="left"/>
      </w:pPr>
      <w:r>
        <w:t>PyTorch Contributors (n.d.) torch.load; inference_mode; serialization semantics. PyTorch documentation. https://pytorch.org/docs/stable/</w:t>
      </w:r>
    </w:p>
    <w:p>
      <w:pPr>
        <w:pStyle w:val="Reference"/>
        <w:jc w:val="left"/>
      </w:pPr>
      <w:r>
        <w:t>Riverbank Computing (n.d.) PyQt5 reference guide. https://www.riverbankcomputing.com/static/Docs/PyQt5/</w:t>
      </w:r>
    </w:p>
    <w:p>
      <w:pPr>
        <w:pStyle w:val="Reference"/>
        <w:jc w:val="left"/>
      </w:pPr>
      <w:r>
        <w:t>Ronneberger, O., Fischer, P. and Brox, T. (2015) ‘U-Net: Convolutional networks for biomedical image segmentation’, in Medical Image Computing and Computer-Assisted Intervention – MICCAI 2015, pp. 234–241. https://doi.org/10.1007/978-3-319-24574-4_28</w:t>
      </w:r>
    </w:p>
    <w:p>
      <w:pPr>
        <w:pStyle w:val="Reference"/>
        <w:jc w:val="left"/>
      </w:pPr>
      <w:r>
        <w:t>SQLite (n.d.) Zero-configuration. SQLite documentation. https://sqlite.org/zeroconf.html</w:t>
      </w:r>
    </w:p>
    <w:p>
      <w:pPr>
        <w:pStyle w:val="Reference"/>
        <w:jc w:val="left"/>
      </w:pPr>
      <w:r>
        <w:t>Tan, M. and Le, Q.V. (2019) ‘EfficientNet: Rethinking model scaling for convolutional neural networks’, Proceedings of the 36th International Conference on Machine Learning, Proceedings of Machine Learning Research, 97, pp. 6105–6114. https://proceedings.mlr.press/v97/tan19a.html</w:t>
      </w:r>
    </w:p>
    <w:p>
      <w:pPr>
        <w:pStyle w:val="Reference"/>
        <w:jc w:val="left"/>
      </w:pPr>
      <w:r>
        <w:t>The Qt Company (n.d.) Qt 5 documentation: QThread, QScreen, QGraphicsView and high-DPI support. https://doc.qt.io/qt-5/</w:t>
      </w:r>
    </w:p>
    <w:p>
      <w:pPr>
        <w:pStyle w:val="Reference"/>
        <w:jc w:val="left"/>
      </w:pPr>
      <w:r>
        <w:t>W3C (2023) Web Content Accessibility Guidelines (WCAG) 2.2. W3C Recommendation, 5 October 2023. https://www.w3.org/TR/WCAG22/</w:t>
      </w:r>
    </w:p>
    <w:p>
      <w:pPr>
        <w:pStyle w:val="Reference"/>
        <w:jc w:val="left"/>
      </w:pPr>
      <w:r>
        <w:t>Xiao, T., Liu, Y., Zhou, B., Jiang, Y. and Sun, J. (2018) ‘Unified perceptual parsing for scene understanding’, Proceedings of the European Conference on Computer Vision, pp. 418–434. https://arxiv.org/abs/1807.10221</w:t>
      </w:r>
    </w:p>
    <w:p>
      <w:pPr>
        <w:pStyle w:val="Reference"/>
        <w:jc w:val="left"/>
      </w:pPr>
      <w:r>
        <w:t>Yen, P.-Y. and Bakken, S. (2012) ‘Review of health information technology usability study methodologies’, Journal of the American Medical Informatics Association, 19(3), pp. 413–422. https://doi.org/10.1136/amiajnl-2010-000020</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The following planning tables are retained from CP1 as historical proposal baselines. Their week labels describe the plan at that stage; they are not retrospectively presented as actual implementation dates or proof that every planned evaluation was completed. In particular, the proposed accuracy study, UAT and executable packaging still require the evidence identified in this report.</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Reviewed ui/, core/ and data/ modules with regression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1f3e01e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Current documented baseline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Real-weight evaluation and complete test prerequisites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Required artifacts absent from the cloud checkout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instruments; no completed dataset supplied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bl>
    <w:p>
      <w:pPr>
        <w:spacing w:after="40"/>
      </w:pPr>
    </w:p>
    <w:p>
      <w:bookmarkStart w:id="139" w:name="head_104"/>
      <w:pPr>
        <w:pStyle w:val="Heading3"/>
      </w:pPr>
      <w:r>
        <w:t>A.3 Completion sequence</w:t>
      </w:r>
      <w:bookmarkEnd w:id="139"/>
    </w:p>
    <w:p>
      <w:pPr>
        <w:jc w:val="both"/>
      </w:pPr>
      <w:r>
        <w:t>Before final submission, first confirm the cover fields and research-document requirements, then capture current Windows evidence and assemble authorised model/data artifacts. Resolve the missing repository prerequisite without bypassing its test. Next conduct independent model evaluation and the consented UAT pilot, update Chapter 4 with actual results, and revise Chapter 5 only to the extent those results justify. Finally update contents/figure/table fields, check citations and screenshots, and validate the packaged application if distribution is claimed.</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Repository: ziaozhuanxing/ZY-Path. Branch: codex-ready-2026-10-15. Reviewed revision: 1f3e01e7866d1b1f78103d817214f7dbb1cc5a56. The thesis artifact preparation did not change application source or push a new revision. The supplied CRC training script and unrelated three-class config are external reference attachments, not newly installed production models.</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train_crc_dn21.py attachment</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Saved full/related/scale pytest logs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Reported counts, exit outcome and known missing-file failures</w:t>
            </w:r>
          </w:p>
        </w:tc>
      </w:tr>
    </w:tbl>
    <w:p>
      <w:pPr>
        <w:spacing w:after="40"/>
      </w:pPr>
    </w:p>
    <w:p>
      <w:bookmarkStart w:id="151" w:name="head_114"/>
      <w:pPr>
        <w:pStyle w:val="Heading3"/>
      </w:pPr>
      <w:r>
        <w:t>C.2 Evidence interpretation</w:t>
      </w:r>
      <w:bookmarkEnd w:id="151"/>
    </w:p>
    <w:p>
      <w:pPr>
        <w:jc w:val="both"/>
      </w:pPr>
      <w:r>
        <w:t>The full log establishes what executed and what did not. The related/scale logs are subsets and are not additive. Generated images and known synthetic outputs establish geometry, display and state behaviour; they do not establish tissue accuracy. Previous Windows reports establish observed issues and one local launch, but do not supply the final formal acceptance log for all features. The pending-evidence checklist identifies what still needs to be collected.</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case record actual date, tester, application commit, Python/version, Windows build, CPU/RAM, display scale, available screen geometry, sample/model identifier, expected outcome, actual outcome and evidence filename. Use Pass, Fail, Blocked or Not run. Do not mark a case Pass because a Linux offscreen equivalent passed.</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Before evaluation, record the actual checkpoint checksum, architecture/configuration, class order, preprocessing profile, backend/library versions and input dimensions. Identify the labelled dataset version, patient/slide grouping, source image scale and any overlap with training or tuning data. File-path disjointness alone is not evidence of patient-level independence.</w:t>
      </w:r>
    </w:p>
    <w:p>
      <w:pPr>
        <w:jc w:val="both"/>
      </w:pPr>
      <w:r>
        <w:t>For single-image classification, compute a confusion matrix, per-class support, precision, recall and F1, macro-F1 and accuracy on the specified independent set. State whether images are native patches or resized larger regions. If tiled analysis is evaluated, define its ground-truth unit and sampling scale separately; an image-level class label cannot validate every tile or a pixel-coverage map. If calibration is claimed, supply an explicit calibration protocol and metric rather than interpreting softmax confidence as calibration.</w:t>
      </w:r>
    </w:p>
    <w:p>
      <w:bookmarkStart w:id="158" w:name="head_120"/>
      <w:pPr>
        <w:pStyle w:val="Heading3"/>
      </w:pPr>
      <w:r>
        <w:t>E.2 Segmentation</w:t>
      </w:r>
      <w:bookmarkEnd w:id="158"/>
    </w:p>
    <w:p>
      <w:pPr>
        <w:jc w:val="both"/>
      </w:pPr>
      <w:r>
        <w:t>Use authorised independently annotated masks with the same class vocabulary. Record the original spatial scale, label alignment, ignored/background policy, tile/stride/input settings and restoration method. Compute per-class IoU/Dice and aggregate values with clear denominator/exclusion rules. Classification outputs must not serve as segmentation ground truth, and a visually pleasing overlay does not substitute for expert-labelled masks.</w:t>
      </w:r>
    </w:p>
    <w:p>
      <w:bookmarkStart w:id="159" w:name="head_121"/>
      <w:pPr>
        <w:pStyle w:val="Heading3"/>
      </w:pPr>
      <w:r>
        <w:t>E.3 Runtime and deployment</w:t>
      </w:r>
      <w:bookmarkEnd w:id="159"/>
    </w:p>
    <w:p>
      <w:pPr>
        <w:jc w:val="both"/>
      </w:pPr>
      <w:r>
        <w:t>Benchmark a predefined set of source dimensions and tile settings on a recorded CPU/RAM/OS environment. Separate cold model loading, preprocessing/inference, artifact saving and export. Repeat runs under a fixed protocol and report appropriate distribution summaries and peak memory. The whole pytest duration must not be used as per-image inference time. A clean-machine package test should verify required weights/configuration, file permissions, offline operation and both tasks before executable deployment is described as complete.</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