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Supervisor discussion: model domain, staining and scale</w:t>
      </w:r>
    </w:p>
    <w:p>
      <w:pPr>
        <w:pStyle w:val="Heading2"/>
      </w:pPr>
      <w:r>
        <w:t>Purpose</w:t>
      </w:r>
    </w:p>
    <w:p>
      <w:r>
        <w:t>Clarify the reported tumour-to-lymphocyte error before changing the model, default preprocessing or labels. The manuscript's organ-domain and stain conclusions are deferred until the model identity and source information are confirmed.</w:t>
      </w:r>
    </w:p>
    <w:p>
      <w:pPr>
        <w:pStyle w:val="Heading2"/>
      </w:pPr>
      <w:r>
        <w:t>Questions to resolve</w:t>
      </w:r>
    </w:p>
    <w:p>
      <w:r>
        <w:t>1. Which task and exact checkpoint produced the error: classification or segmentation? What is the actual ordered label vocabulary?</w:t>
      </w:r>
    </w:p>
    <w:p>
      <w:r>
        <w:t>2. Which dataset and acquisition conditions were used for the supervisor-provided breast-trained model? Which preprocessing, resolution and magnification can be documented?</w:t>
      </w:r>
    </w:p>
    <w:p>
      <w:r>
        <w:t>3. What is the exact IGNITE image source? Are original scan resolution and prior resizing available?</w:t>
      </w:r>
    </w:p>
    <w:p>
      <w:r>
        <w:t>4. Can a small set of regions be checked by the supervisor or against real annotations? A second model's colour map is not ground truth.</w:t>
      </w:r>
    </w:p>
    <w:p>
      <w:r>
        <w:t>5. Is the present project required to generalise to lung tissue, or should the validated scope remain the known training domain?</w:t>
      </w:r>
    </w:p>
    <w:p>
      <w:r>
        <w:t>6. Is a suitable lung-trained model or an authorised labelled lung set available?</w:t>
      </w:r>
    </w:p>
    <w:p>
      <w:pPr>
        <w:pStyle w:val="Heading2"/>
      </w:pPr>
      <w:r>
        <w:t>Proposed sequence</w:t>
      </w:r>
    </w:p>
    <w:p>
      <w:r>
        <w:t>A. Verify implementation: genuine model identity, label indices, RGB, input shape, raw255 or ImageNet numerical preprocessing as appropriate, and direct-crop/tiled-path consistency.</w:t>
      </w:r>
    </w:p>
    <w:p>
      <w:r>
        <w:t>B. Compare scale: use identical crop centres and one fixed model/backend for 224, 256, 300 and 384 source-pixel crops; classification input remains 224 x 224. The CRC training field is nominally 112 x 112 micrometres. Use source micrometres/pixel where known; lymphocyte appearance alone is an approximate reference.</w:t>
      </w:r>
    </w:p>
    <w:p>
      <w:r>
        <w:t>C. If justified by training provenance, evaluate stain normalisation against labelled cases with a fixed appropriate reference. Numerical normalisation and stain normalisation are different. Colour matching alone may not resolve breast-to-lung morphology differences.</w:t>
      </w:r>
    </w:p>
    <w:p>
      <w:r>
        <w:t>D. For lung validity, obtain a suitable model or fine-tune using authorised annotated lung data. Keep patient/slide-separated training, validation and final testing. Select settings on validation data, then report class-wise classification metrics or per-class Dice/IoU for segmentation.</w:t>
      </w:r>
    </w:p>
    <w:p>
      <w:pPr>
        <w:pStyle w:val="Heading2"/>
      </w:pPr>
      <w:r>
        <w:t>Task-specific caution</w:t>
      </w:r>
    </w:p>
    <w:p>
      <w:r>
        <w:t>The classification tile Preferences do not alter the built-in segmentation processing geometry (source tile 1000, stride 512, input 224). Confirm the affected task before changing a tile setting.</w:t>
      </w:r>
    </w:p>
    <w:p>
      <w:pPr>
        <w:pStyle w:val="Heading2"/>
      </w:pPr>
      <w:r>
        <w:t>Immediate recommendation</w:t>
      </w:r>
    </w:p>
    <w:p>
      <w:r>
        <w:t>Retain demonstrations within documented training domains. Treat lung examples as exploratory until appropriate validation exists. Begin with one original image, the exact model file and expert-confirmed regions. No new organ-transfer performance, stain-processing result or improved accuracy is claimed.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