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9392D">
      <w:pPr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数据库安全与风险控制总体设计报告</w:t>
      </w:r>
    </w:p>
    <w:p w14:paraId="27490BAA">
      <w:p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.1 数据安全策略设计</w:t>
      </w:r>
    </w:p>
    <w:p w14:paraId="71637BD4">
      <w:p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（一）越权访问风险</w:t>
      </w:r>
    </w:p>
    <w:p w14:paraId="06437864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风险说明：</w:t>
      </w:r>
    </w:p>
    <w:p w14:paraId="664A9D1D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系统涉及生物多样性监测、生态环境监测、游客管理、执法监管、科研支撑等多条业务线，数据敏感程度差异显著。若未进行严格的权限隔离，普通业务人员可能访问不属于其职责范围的数据，造成信息泄露或业务干扰。</w:t>
      </w:r>
    </w:p>
    <w:p w14:paraId="021F18E9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决策：</w:t>
      </w:r>
    </w:p>
    <w:p w14:paraId="676950EC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采用“基于角色的访问控制（RBAC）+ 视图隔离 + 最小字段暴露”的联合策略，从数据库层面限制用户可访问的数据范围。</w:t>
      </w:r>
    </w:p>
    <w:p w14:paraId="57DED1CE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影响范围（业务线 / 表）：</w:t>
      </w:r>
    </w:p>
    <w:p w14:paraId="73371958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游客智能管理：Visitor、Reservation、VisitorTrajectory</w:t>
      </w:r>
    </w:p>
    <w:p w14:paraId="5286FACF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执法监管：IllegalBehaviorRecord、LawEnforcementDispatch</w:t>
      </w:r>
    </w:p>
    <w:p w14:paraId="1624A367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科研数据支撑：ResearchProject、ResearchDataRecord、ResearchResult</w:t>
      </w:r>
    </w:p>
    <w:p w14:paraId="545B9999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对应实现方式：</w:t>
      </w:r>
    </w:p>
    <w:p w14:paraId="6EDDBFC8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为不同角色创建专用业务视图（如v_visitor_basic_info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、v_law_enforcement_summary</w:t>
      </w:r>
      <w:r>
        <w:rPr>
          <w:rFonts w:hint="default" w:ascii="Times New Roman" w:hAnsi="Times New Roman" w:eastAsia="宋体" w:cs="Times New Roman"/>
          <w:sz w:val="24"/>
          <w:szCs w:val="24"/>
        </w:rPr>
        <w:t>）</w:t>
      </w:r>
    </w:p>
    <w:p w14:paraId="29E0709D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视图中仅暴露业务必需字段，隐藏身份证号、证据路径等敏感信息</w:t>
      </w:r>
    </w:p>
    <w:p w14:paraId="51EC725C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数据库账号仅授予视图 SELECT 权限，禁止直接访问原始业务表</w:t>
      </w:r>
    </w:p>
    <w:p w14:paraId="71760C0E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写操作通过存储过程或受控 DAO 接口完成，避免直接表级写入</w:t>
      </w:r>
    </w:p>
    <w:p w14:paraId="224F3D36">
      <w:p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（二）SQL 注入风险</w:t>
      </w:r>
    </w:p>
    <w:p w14:paraId="3D7AC4F4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风险说明：</w:t>
      </w:r>
    </w:p>
    <w:p w14:paraId="46BED43B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系统存在大量基于用户输入的查询场景（如预约查询、科研数据检索、执法记录筛选），若在持久层中直接拼接 SQL 语句，存在 SQL 注入风险。</w:t>
      </w:r>
    </w:p>
    <w:p w14:paraId="13896361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决策：</w:t>
      </w:r>
    </w:p>
    <w:p w14:paraId="7FF2312A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在应用持久层统一采用参数化查询机制，禁止任何形式的字符串拼接 SQL。</w:t>
      </w:r>
    </w:p>
    <w:p w14:paraId="39189772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对应实现方式：</w:t>
      </w:r>
    </w:p>
    <w:p w14:paraId="091B38E5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Java / Python DAO 层统一使用 PreparedStatement / ORM 参数绑定</w:t>
      </w:r>
    </w:p>
    <w:p w14:paraId="7BE97699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所有条件参数通过占位符传递</w:t>
      </w:r>
    </w:p>
    <w:p w14:paraId="2C7AAB70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禁止在 DAO 层出现 "SELECT ... WHERE field = '" + input + "'" 形式代码</w:t>
      </w:r>
    </w:p>
    <w:p w14:paraId="1EFCD7EA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对外部输入进行基础合法性校验（长度、类型、格式）</w:t>
      </w:r>
    </w:p>
    <w:p w14:paraId="6484CF9D">
      <w:p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（三）敏感字段泄露风险</w:t>
      </w:r>
    </w:p>
    <w:p w14:paraId="13B848C4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风险说明：</w:t>
      </w:r>
    </w:p>
    <w:p w14:paraId="31927240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系统中存在大量个人隐私与执法敏感信息，一旦泄露将产生严重后果。</w:t>
      </w:r>
    </w:p>
    <w:p w14:paraId="3AF74D0F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决策：</w:t>
      </w:r>
    </w:p>
    <w:p w14:paraId="30E15F82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对敏感字段进行分类管理、脱敏展示与逻辑隔离存储。</w:t>
      </w:r>
    </w:p>
    <w:p w14:paraId="15B87F0E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敏感字段范围示例：</w:t>
      </w:r>
    </w:p>
    <w:p w14:paraId="686B83A6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游客业务：身份证号、联系方式</w:t>
      </w:r>
    </w:p>
    <w:p w14:paraId="72227B4E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执法业务：影像证据路径、执法处理结果</w:t>
      </w:r>
    </w:p>
    <w:p w14:paraId="764D4171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科研业务：未公开成果文件路径、保密级数据</w:t>
      </w:r>
    </w:p>
    <w:p w14:paraId="079D224F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系统安全：账号密码、权限配置</w:t>
      </w:r>
    </w:p>
    <w:p w14:paraId="51338146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脱敏 / 隔离方式：</w:t>
      </w:r>
    </w:p>
    <w:p w14:paraId="3331C305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身份证号仅存储加密或部分掩码形式（如仅展示后 4 位）</w:t>
      </w:r>
    </w:p>
    <w:p w14:paraId="43E5FE32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执法证据路径仅对执法人员与管理员开放</w:t>
      </w:r>
    </w:p>
    <w:p w14:paraId="1DB0C1F4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科研成果按共享权限控制访问视图</w:t>
      </w:r>
    </w:p>
    <w:p w14:paraId="6E0050FC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所有敏感字段不直接出现在统计类视图中</w:t>
      </w:r>
    </w:p>
    <w:p w14:paraId="3E3FFDA3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1B14192">
      <w:p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.2 登录安全策略设计（流程级）</w:t>
      </w:r>
    </w:p>
    <w:p w14:paraId="4D6F2617">
      <w:p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（一）密码加密存储</w:t>
      </w:r>
    </w:p>
    <w:p w14:paraId="5EA189DF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采用算法</w:t>
      </w:r>
      <w:r>
        <w:rPr>
          <w:rFonts w:hint="default" w:ascii="Times New Roman" w:hAnsi="Times New Roman" w:eastAsia="宋体" w:cs="Times New Roman"/>
          <w:sz w:val="24"/>
          <w:szCs w:val="24"/>
        </w:rPr>
        <w:t>： SHA-256</w:t>
      </w:r>
    </w:p>
    <w:p w14:paraId="03371C4A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原因</w:t>
      </w:r>
      <w:r>
        <w:rPr>
          <w:rFonts w:hint="default" w:ascii="Times New Roman" w:hAnsi="Times New Roman" w:eastAsia="宋体" w:cs="Times New Roman"/>
          <w:sz w:val="24"/>
          <w:szCs w:val="24"/>
        </w:rPr>
        <w:t>： 相比 MD5 抗碰撞能力更强，适合教学场景下的安全示范</w:t>
      </w:r>
    </w:p>
    <w:p w14:paraId="41FA1F27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实现方式</w:t>
      </w:r>
      <w:r>
        <w:rPr>
          <w:rFonts w:hint="default" w:ascii="Times New Roman" w:hAnsi="Times New Roman" w:eastAsia="宋体" w:cs="Times New Roman"/>
          <w:sz w:val="24"/>
          <w:szCs w:val="24"/>
        </w:rPr>
        <w:t>：</w:t>
      </w:r>
    </w:p>
    <w:p w14:paraId="22DFAAE5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密码在应用层加密后再写入数据库</w:t>
      </w:r>
    </w:p>
    <w:p w14:paraId="2CE48421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数据库中仅存储加密摘要，不存明文密码</w:t>
      </w:r>
    </w:p>
    <w:p w14:paraId="61E7D7FB">
      <w:p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（二）登录失败 5 次锁定机制</w:t>
      </w:r>
    </w:p>
    <w:p w14:paraId="6AA8B235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规则：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连续 5 次登录失败后锁定账号</w:t>
      </w:r>
    </w:p>
    <w:p w14:paraId="2340E2F9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锁定时长：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30 分钟</w:t>
      </w:r>
    </w:p>
    <w:p w14:paraId="6CEDFBE8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相关字段设计：</w:t>
      </w:r>
    </w:p>
    <w:p w14:paraId="5D09669D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failed_count：记录连续失败次数</w:t>
      </w:r>
    </w:p>
    <w:p w14:paraId="0F3E0627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locked_until：账号解锁时间戳</w:t>
      </w:r>
    </w:p>
    <w:p w14:paraId="3BFD8F3C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流程说明：</w:t>
      </w:r>
    </w:p>
    <w:p w14:paraId="38CB7BDD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4"/>
          <w:szCs w:val="24"/>
        </w:rPr>
        <w:t>登录失败 → failed_count +1</w:t>
      </w:r>
    </w:p>
    <w:p w14:paraId="7FC7702A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4"/>
          <w:szCs w:val="24"/>
        </w:rPr>
        <w:t>达到 5 次 → 设置 locked_until</w:t>
      </w:r>
    </w:p>
    <w:p w14:paraId="70FCC8DE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4"/>
          <w:szCs w:val="24"/>
        </w:rPr>
        <w:t>登录前校验当前时间是否小于 locked_until</w:t>
      </w:r>
    </w:p>
    <w:p w14:paraId="6B9325A3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4"/>
          <w:szCs w:val="24"/>
        </w:rPr>
        <w:t>超时后自动解锁并清零失败次数</w:t>
      </w:r>
    </w:p>
    <w:p w14:paraId="48911589">
      <w:p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（三）会话超时控制（30 分钟）</w:t>
      </w:r>
    </w:p>
    <w:p w14:paraId="4CAF4B94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触发条件</w:t>
      </w:r>
      <w:r>
        <w:rPr>
          <w:rFonts w:hint="default" w:ascii="Times New Roman" w:hAnsi="Times New Roman" w:eastAsia="宋体" w:cs="Times New Roman"/>
          <w:sz w:val="24"/>
          <w:szCs w:val="24"/>
        </w:rPr>
        <w:t>： 连续 30 分钟无任何业务操作</w:t>
      </w:r>
    </w:p>
    <w:p w14:paraId="5C30BCFD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处理方式：</w:t>
      </w:r>
    </w:p>
    <w:p w14:paraId="241E22A5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会话失效</w:t>
      </w:r>
    </w:p>
    <w:p w14:paraId="6860C375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强制重新登录</w:t>
      </w:r>
    </w:p>
    <w:p w14:paraId="6A924621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清除缓存中的用户权限信息</w:t>
      </w:r>
    </w:p>
    <w:p w14:paraId="01B7D51B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475E08F2">
      <w:p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.3 RBAC 权限模型设计</w:t>
      </w:r>
    </w:p>
    <w:p w14:paraId="531D6E0B">
      <w:p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角色与权限粒度说明（按“可读视图 / 可写表”）</w:t>
      </w:r>
    </w:p>
    <w:p w14:paraId="1F713F7A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生态监测员（ecological_monitor）：</w:t>
      </w:r>
    </w:p>
    <w:p w14:paraId="440A9A53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读：生物多样性监测统计视图、个人采集记录视图</w:t>
      </w:r>
    </w:p>
    <w:p w14:paraId="48BE2A52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写：物种监测记录表、栖息地补充信息表</w:t>
      </w:r>
    </w:p>
    <w:p w14:paraId="3367E2EA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数据分析师（data_analyst）：</w:t>
      </w:r>
    </w:p>
    <w:p w14:paraId="6AC6DD07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读：全业务监测分析视图</w:t>
      </w:r>
    </w:p>
    <w:p w14:paraId="2A99021E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写：监测数据状态更新、分析结果表</w:t>
      </w:r>
    </w:p>
    <w:p w14:paraId="1E05002C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执法人员（law_enforcement_officer）：</w:t>
      </w:r>
    </w:p>
    <w:p w14:paraId="43A2B882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读：非法行为记录视图、调度信息视图</w:t>
      </w:r>
    </w:p>
    <w:p w14:paraId="0917C81E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写：执法处理结果、调度状态更新</w:t>
      </w:r>
    </w:p>
    <w:p w14:paraId="63690C3C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科研人员（researcher）：</w:t>
      </w:r>
    </w:p>
    <w:p w14:paraId="45CB3C1B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读：科研项目相关数据视图</w:t>
      </w:r>
    </w:p>
    <w:p w14:paraId="4BB8BCB9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写：科研数据采集记录、成果信息表</w:t>
      </w:r>
    </w:p>
    <w:p w14:paraId="7E5DDB92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系统管理员（admin）：</w:t>
      </w:r>
    </w:p>
    <w:p w14:paraId="50E1DABE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读写：用户、角色、权限、设备基础信息</w:t>
      </w:r>
    </w:p>
    <w:p w14:paraId="36D459F7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管理账号与安全策略</w:t>
      </w:r>
    </w:p>
    <w:p w14:paraId="68C1E8A9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公园管理人员（park_manager）：</w:t>
      </w:r>
    </w:p>
    <w:p w14:paraId="31158A86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读：全系统统计与预警视图</w:t>
      </w:r>
    </w:p>
    <w:p w14:paraId="71904EDB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写：流量控制参数、调度规则</w:t>
      </w:r>
    </w:p>
    <w:p w14:paraId="0EDA1B43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技术人员（technician）：</w:t>
      </w:r>
    </w:p>
    <w:p w14:paraId="60B54C63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读：设备运行状态视图</w:t>
      </w:r>
    </w:p>
    <w:p w14:paraId="153B5985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>写：设备维护、校准记录表</w:t>
      </w:r>
    </w:p>
    <w:p w14:paraId="343FCF9F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59332529">
      <w:p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1</w:t>
      </w:r>
      <w:bookmarkStart w:id="0" w:name="_GoBack"/>
      <w:bookmarkEnd w:id="0"/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.4 数据备份与恢复方案</w:t>
      </w:r>
    </w:p>
    <w:p w14:paraId="4B1E4BB4">
      <w:p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（一）每日增量备份</w:t>
      </w:r>
    </w:p>
    <w:p w14:paraId="0FA2BB07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频率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每日凌晨 02:00</w:t>
      </w:r>
    </w:p>
    <w:p w14:paraId="7561EB11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命名规则：</w:t>
      </w:r>
    </w:p>
    <w:p w14:paraId="5AE057E9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parkdb_inc_YYYYMMDD.sql</w:t>
      </w:r>
    </w:p>
    <w:p w14:paraId="0DAACF56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存储路径：</w:t>
      </w:r>
    </w:p>
    <w:p w14:paraId="5FD41DDE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/backup/incremental/</w:t>
      </w:r>
    </w:p>
    <w:p w14:paraId="713752CE">
      <w:p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（二）每周全量备份</w:t>
      </w:r>
    </w:p>
    <w:p w14:paraId="69361A32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频率</w:t>
      </w:r>
      <w:r>
        <w:rPr>
          <w:rFonts w:hint="default" w:ascii="Times New Roman" w:hAnsi="Times New Roman" w:eastAsia="宋体" w:cs="Times New Roman"/>
          <w:sz w:val="24"/>
          <w:szCs w:val="24"/>
        </w:rPr>
        <w:t>：每周日凌晨 01:00</w:t>
      </w:r>
    </w:p>
    <w:p w14:paraId="5213AA04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命名规则：</w:t>
      </w:r>
    </w:p>
    <w:p w14:paraId="25035BCC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parkdb_full_YYYYMMDD.sql</w:t>
      </w:r>
    </w:p>
    <w:p w14:paraId="552FB4C5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存储路径：</w:t>
      </w:r>
    </w:p>
    <w:p w14:paraId="58C2EDB9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/backup/full/</w:t>
      </w:r>
    </w:p>
    <w:p w14:paraId="4179270F">
      <w:p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（三）数据恢复流程</w:t>
      </w:r>
    </w:p>
    <w:p w14:paraId="05554C56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4"/>
          <w:szCs w:val="24"/>
        </w:rPr>
        <w:t>停止应用服务，防止写入冲突</w:t>
      </w:r>
    </w:p>
    <w:p w14:paraId="412E7B35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4"/>
          <w:szCs w:val="24"/>
        </w:rPr>
        <w:t>恢复最近一次全量备份</w:t>
      </w:r>
    </w:p>
    <w:p w14:paraId="06E4015C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4"/>
          <w:szCs w:val="24"/>
        </w:rPr>
        <w:t>按时间顺序恢复之后的增量备份</w:t>
      </w:r>
    </w:p>
    <w:p w14:paraId="3FBD6791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4"/>
          <w:szCs w:val="24"/>
        </w:rPr>
        <w:t>校验核心表数据完整性与外键约束</w:t>
      </w:r>
    </w:p>
    <w:p w14:paraId="35F2DF65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4"/>
          <w:szCs w:val="24"/>
        </w:rPr>
        <w:t>重启服务并进行功能验证</w:t>
      </w:r>
    </w:p>
    <w:p w14:paraId="5789D081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229F7631">
      <w:pPr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2.1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总结</w:t>
      </w:r>
    </w:p>
    <w:p w14:paraId="6120A89B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通过在数据库层、持久层与业务流程层多层次引入安全控制机制，本系统在越权访问防控、敏感数据保护、登录安全、权限隔离以及数据备份恢复等方面形成了完整、可落地的安全体系，为国家公园智慧管理系统的稳定运行与后续扩展提供了可靠保障。</w:t>
      </w:r>
    </w:p>
    <w:p w14:paraId="7934D21A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</w:p>
    <w:p w14:paraId="3F3D87A1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0207AC"/>
    <w:rsid w:val="4D9D5423"/>
    <w:rsid w:val="4FEB6B02"/>
    <w:rsid w:val="646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1587</Words>
  <Characters>2063</Characters>
  <Lines>0</Lines>
  <Paragraphs>0</Paragraphs>
  <TotalTime>20</TotalTime>
  <ScaleCrop>false</ScaleCrop>
  <LinksUpToDate>false</LinksUpToDate>
  <CharactersWithSpaces>2139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2026-01-05T16:08:00Z</dcterms:created>
  <dc:creator>snowy_tong</dc:creator>
  <cp:lastModifiedBy>李雪彤</cp:lastModifiedBy>
  <dcterms:modified xsi:type="dcterms:W3CDTF">2026-01-06T07:38:07Z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eyJoZGlkIjoiZWMxMTA1MmU1NzczNWIzZTBlZTg2YTA4Y2ZjMzk4OGIiLCJ1c2VySWQiOiI0NTIwNjY3NjAifQ==</vt:lpwstr>
  </property>
  <property fmtid="{D5CDD505-2E9C-101B-9397-08002B2CF9AE}" pid="4" name="ICV">
    <vt:lpwstr>BAB26A12C0D6424987D4635C903E0BAE_12</vt:lpwstr>
  </property>
</Properties>
</file>