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2937"/>
          <w:sz w:val="56"/>
          <w:szCs w:val="56"/>
        </w:rPr>
        <w:t xml:space="preserve">COMERCIO AGÉNTICO</w:t>
      </w:r>
    </w:p>
    <w:p>
      <w:pPr>
        <w:spacing w:after="100"/>
        <w:jc w:val="center"/>
      </w:pPr>
      <w:r>
        <w:rPr>
          <w:color w:val="2563EB"/>
          <w:sz w:val="32"/>
          <w:szCs w:val="32"/>
        </w:rPr>
        <w:t xml:space="preserve">Memo de Consultoría e Inversión</w:t>
      </w:r>
    </w:p>
    <w:p>
      <w:pPr>
        <w:spacing w:after="800"/>
        <w:jc w:val="center"/>
      </w:pPr>
      <w:r>
        <w:rPr>
          <w:i/>
          <w:iCs/>
          <w:color w:val="6B7280"/>
          <w:sz w:val="24"/>
          <w:szCs w:val="24"/>
        </w:rPr>
        <w:t xml:space="preserve">Protocolos, gobernanza, canales y modelo financiero unitario</w:t>
      </w:r>
    </w:p>
    <w:p>
      <w:pPr>
        <w:spacing w:after="200"/>
        <w:jc w:val="center"/>
      </w:pPr>
      <w:r>
        <w:rPr>
          <w:color w:val="6B7280"/>
          <w:sz w:val="22"/>
          <w:szCs w:val="22"/>
        </w:rPr>
        <w:t xml:space="preserve">Colombia → LATAM → Global</w:t>
      </w:r>
    </w:p>
    <w:p>
      <w:pPr>
        <w:jc w:val="center"/>
      </w:pPr>
      <w:r>
        <w:rPr>
          <w:color w:val="6B7280"/>
          <w:sz w:val="20"/>
          <w:szCs w:val="20"/>
        </w:rPr>
        <w:t xml:space="preserve">Julio 2026</w:t>
      </w:r>
    </w:p>
    <w:p>
      <w:r>
        <w:br w:type="page"/>
      </w:r>
    </w:p>
    <w:p>
      <w:pPr>
        <w:pStyle w:val="Heading1"/>
        <w:spacing w:after="200" w:before="400"/>
      </w:pPr>
      <w:r>
        <w:t xml:space="preserve">1. Resumen ejecutivo</w:t>
      </w:r>
    </w:p>
    <w:p>
      <w:pPr>
        <w:spacing w:after="160"/>
      </w:pPr>
      <w:r>
        <w:t xml:space="preserve">El comercio agéntico no es solo una tendencia de inteligencia artificial: es una nueva capa de infraestructura para descubrir, evaluar, autorizar y ejecutar compras con menos fricción y más control. La oportunidad más sólida no está en "otro asistente conversacional", sino en la capa habilitadora que vuelve el comercio legible para agentes, segura para el usuario y rentable para el negocio.</w:t>
      </w:r>
    </w:p>
    <w:p>
      <w:pPr>
        <w:spacing w:after="160"/>
      </w:pPr>
      <w:r>
        <w:t xml:space="preserve">Este comercio ya dejó de ser una idea futurista: existe una pila de protocolos concretos —AP2, UCP y ACP— con fechas, socios y gobernanza definida, que determina cómo un agente descubre un producto, arma un carrito, paga y deja evidencia de que el humano autorizó la operación.</w:t>
      </w:r>
    </w:p>
    <w:p>
      <w:pPr>
        <w:spacing w:after="160"/>
      </w:pPr>
      <w:r>
        <w:t xml:space="preserve">En Colombia y LATAM la tesis tiene sentido por tres razones: crecimiento real del e-commerce (COP 39,4 billones y 186,4 millones de transacciones en el primer trimestre de 2026), alta fricción operativa, y maduración rápida de canales conversacionales y sociales (WhatsApp, Instagram, TikTok). El negocio más defendible es B2B2C o B2B de infraestructura habilitadora, no un marketplace genérico.</w:t>
      </w:r>
    </w:p>
    <w:p>
      <w:pPr>
        <w:pStyle w:val="Heading1"/>
        <w:spacing w:after="200" w:before="400"/>
      </w:pPr>
      <w:r>
        <w:t xml:space="preserve">2. Tesis de inversión</w:t>
      </w:r>
    </w:p>
    <w:p>
      <w:pPr>
        <w:spacing w:after="160"/>
      </w:pPr>
      <w:r>
        <w:t xml:space="preserve">La apuesta es construir una plataforma que permita a comercios y marcas vender mejor en entornos donde humanos y agentes de IA conviven. Eso incluye catálogo legible por máquina, checkout compatible con autorización delegada, gobernanza de compra, trazabilidad y activación por canal.</w:t>
      </w:r>
    </w:p>
    <w:p>
      <w:pPr>
        <w:spacing w:after="120"/>
      </w:pPr>
      <w:r>
        <w:rPr>
          <w:b/>
          <w:bCs/>
        </w:rPr>
        <w:t xml:space="preserve">La ventaja competitiva viene de la combinación de cinco activos:</w:t>
      </w:r>
    </w:p>
    <w:p>
      <w:pPr>
        <w:pStyle w:val="ListParagraph"/>
        <w:numPr>
          <w:ilvl w:val="0"/>
          <w:numId w:val="2"/>
        </w:numPr>
        <w:spacing w:after="100"/>
      </w:pPr>
      <w:r>
        <w:t xml:space="preserve">Datos de producto estructurados y normalizados.</w:t>
      </w:r>
    </w:p>
    <w:p>
      <w:pPr>
        <w:pStyle w:val="ListParagraph"/>
        <w:numPr>
          <w:ilvl w:val="0"/>
          <w:numId w:val="2"/>
        </w:numPr>
        <w:spacing w:after="100"/>
      </w:pPr>
      <w:r>
        <w:t xml:space="preserve">Integración multiprotocolo (AP2, UCP, ACP) en lugar de apostar a un solo proveedor.</w:t>
      </w:r>
    </w:p>
    <w:p>
      <w:pPr>
        <w:pStyle w:val="ListParagraph"/>
        <w:numPr>
          <w:ilvl w:val="0"/>
          <w:numId w:val="2"/>
        </w:numPr>
        <w:spacing w:after="100"/>
      </w:pPr>
      <w:r>
        <w:t xml:space="preserve">Control de permisos y gobernanza de gasto.</w:t>
      </w:r>
    </w:p>
    <w:p>
      <w:pPr>
        <w:pStyle w:val="ListParagraph"/>
        <w:numPr>
          <w:ilvl w:val="0"/>
          <w:numId w:val="2"/>
        </w:numPr>
        <w:spacing w:after="100"/>
      </w:pPr>
      <w:r>
        <w:t xml:space="preserve">Experiencia omnicanal orquestada (no canales aislados).</w:t>
      </w:r>
    </w:p>
    <w:p>
      <w:pPr>
        <w:pStyle w:val="ListParagraph"/>
        <w:numPr>
          <w:ilvl w:val="0"/>
          <w:numId w:val="2"/>
        </w:numPr>
        <w:spacing w:after="100"/>
      </w:pPr>
      <w:r>
        <w:t xml:space="preserve">Unit economics positivos y medidos por canal.</w:t>
      </w:r>
    </w:p>
    <w:p>
      <w:pPr>
        <w:spacing w:after="160"/>
      </w:pPr>
      <w:r>
        <w:t xml:space="preserve">La lógica de inversión es clara: quien habilite la infraestructura ganará más estabilidad, defensibilidad y escalabilidad que quien solo "use IA para vender". Vender las herramientas (el "pico y la pala") suele ser una apuesta más resiliente que competir directamente por el producto final.</w:t>
      </w:r>
    </w:p>
    <w:p>
      <w:pPr>
        <w:pStyle w:val="Heading1"/>
        <w:spacing w:after="200" w:before="400"/>
      </w:pPr>
      <w:r>
        <w:t xml:space="preserve">3. Tamaño de mercado</w:t>
      </w:r>
    </w:p>
    <w:p>
      <w:pPr>
        <w:spacing w:after="160"/>
      </w:pPr>
      <w:r>
        <w:t xml:space="preserve">El mercado no debe medirse como "comercio agéntico" de forma abstracta, sino por capas y por vertical, con una metodología bottom-up: número de cuentas objetivo × ticket medio × tasa de adopción × margen esperado.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650"/>
        <w:gridCol w:w="1300"/>
      </w:tblGrid>
      <w:tr>
        <w:tc>
          <w:tcPr>
            <w:tcW w:type="dxa" w:w="1400"/>
            <w:shd w:fill="2563EB" w:val="clear"/>
            <w:tcMar>
              <w:top w:type="dxa" w:w="100"/>
              <w:left w:type="dxa" w:w="120"/>
              <w:bottom w:type="dxa" w:w="100"/>
              <w:right w:type="dxa" w:w="120"/>
            </w:tcMar>
          </w:tcPr>
          <w:p>
            <w:r>
              <w:rPr>
                <w:b/>
                <w:bCs/>
                <w:color w:val="FFFFFF"/>
                <w:sz w:val="20"/>
                <w:szCs w:val="20"/>
              </w:rPr>
              <w:t xml:space="preserve">Nivel</w:t>
            </w:r>
          </w:p>
        </w:tc>
        <w:tc>
          <w:tcPr>
            <w:tcW w:type="dxa" w:w="6650"/>
            <w:shd w:fill="2563EB" w:val="clear"/>
            <w:tcMar>
              <w:top w:type="dxa" w:w="100"/>
              <w:left w:type="dxa" w:w="120"/>
              <w:bottom w:type="dxa" w:w="100"/>
              <w:right w:type="dxa" w:w="120"/>
            </w:tcMar>
          </w:tcPr>
          <w:p>
            <w:r>
              <w:rPr>
                <w:b/>
                <w:bCs/>
                <w:color w:val="FFFFFF"/>
                <w:sz w:val="20"/>
                <w:szCs w:val="20"/>
              </w:rPr>
              <w:t xml:space="preserve">Definición</w:t>
            </w:r>
          </w:p>
        </w:tc>
        <w:tc>
          <w:tcPr>
            <w:tcW w:type="dxa" w:w="1300"/>
            <w:shd w:fill="2563EB" w:val="clear"/>
            <w:tcMar>
              <w:top w:type="dxa" w:w="100"/>
              <w:left w:type="dxa" w:w="120"/>
              <w:bottom w:type="dxa" w:w="100"/>
              <w:right w:type="dxa" w:w="120"/>
            </w:tcMar>
          </w:tcPr>
          <w:p>
            <w:r>
              <w:rPr>
                <w:b/>
                <w:bCs/>
                <w:color w:val="FFFFFF"/>
                <w:sz w:val="20"/>
                <w:szCs w:val="20"/>
              </w:rPr>
              <w:t xml:space="preserve">Estado del dato</w:t>
            </w:r>
          </w:p>
        </w:tc>
      </w:tr>
      <w:tr>
        <w:tc>
          <w:tcPr>
            <w:tcW w:type="dxa" w:w="1400"/>
            <w:tcMar>
              <w:top w:type="dxa" w:w="100"/>
              <w:left w:type="dxa" w:w="120"/>
              <w:bottom w:type="dxa" w:w="100"/>
              <w:right w:type="dxa" w:w="120"/>
            </w:tcMar>
          </w:tcPr>
          <w:p>
            <w:r>
              <w:rPr>
                <w:b w:val="false"/>
                <w:bCs w:val="false"/>
                <w:sz w:val="20"/>
                <w:szCs w:val="20"/>
              </w:rPr>
              <w:t xml:space="preserve">TAM</w:t>
            </w:r>
          </w:p>
        </w:tc>
        <w:tc>
          <w:tcPr>
            <w:tcW w:type="dxa" w:w="6650"/>
            <w:tcMar>
              <w:top w:type="dxa" w:w="100"/>
              <w:left w:type="dxa" w:w="120"/>
              <w:bottom w:type="dxa" w:w="100"/>
              <w:right w:type="dxa" w:w="120"/>
            </w:tcMar>
          </w:tcPr>
          <w:p>
            <w:r>
              <w:rPr>
                <w:b w:val="false"/>
                <w:bCs w:val="false"/>
                <w:sz w:val="20"/>
                <w:szCs w:val="20"/>
              </w:rPr>
              <w:t xml:space="preserve">Universo completo de transacciones digitales colombianas susceptibles de pasar por un agente en 24–36 meses. Base 2026: e-commerce colombiano en COP 39,4 billones y 186,4 millones de transacciones en Q1 2026 (crecimiento de 14,5% en valor y 22,2% en volumen).</w:t>
            </w:r>
          </w:p>
        </w:tc>
        <w:tc>
          <w:tcPr>
            <w:tcW w:type="dxa" w:w="1300"/>
            <w:tcMar>
              <w:top w:type="dxa" w:w="100"/>
              <w:left w:type="dxa" w:w="120"/>
              <w:bottom w:type="dxa" w:w="100"/>
              <w:right w:type="dxa" w:w="120"/>
            </w:tcMar>
          </w:tcPr>
          <w:p>
            <w:r>
              <w:rPr>
                <w:b w:val="false"/>
                <w:bCs w:val="false"/>
                <w:sz w:val="20"/>
                <w:szCs w:val="20"/>
              </w:rPr>
              <w:t xml:space="preserve">Verificable</w:t>
            </w:r>
          </w:p>
        </w:tc>
      </w:tr>
      <w:tr>
        <w:tc>
          <w:tcPr>
            <w:tcW w:type="dxa" w:w="1400"/>
            <w:tcMar>
              <w:top w:type="dxa" w:w="100"/>
              <w:left w:type="dxa" w:w="120"/>
              <w:bottom w:type="dxa" w:w="100"/>
              <w:right w:type="dxa" w:w="120"/>
            </w:tcMar>
          </w:tcPr>
          <w:p>
            <w:r>
              <w:rPr>
                <w:b w:val="false"/>
                <w:bCs w:val="false"/>
                <w:sz w:val="20"/>
                <w:szCs w:val="20"/>
              </w:rPr>
              <w:t xml:space="preserve">SAM</w:t>
            </w:r>
          </w:p>
        </w:tc>
        <w:tc>
          <w:tcPr>
            <w:tcW w:type="dxa" w:w="6650"/>
            <w:tcMar>
              <w:top w:type="dxa" w:w="100"/>
              <w:left w:type="dxa" w:w="120"/>
              <w:bottom w:type="dxa" w:w="100"/>
              <w:right w:type="dxa" w:w="120"/>
            </w:tcMar>
          </w:tcPr>
          <w:p>
            <w:r>
              <w:rPr>
                <w:b w:val="false"/>
                <w:bCs w:val="false"/>
                <w:sz w:val="20"/>
                <w:szCs w:val="20"/>
              </w:rPr>
              <w:t xml:space="preserve">Porción de ese universo en verticales de mayor recurrencia (reposición, B2B de insumos, belleza, farmacia).</w:t>
            </w:r>
          </w:p>
        </w:tc>
        <w:tc>
          <w:tcPr>
            <w:tcW w:type="dxa" w:w="1300"/>
            <w:tcMar>
              <w:top w:type="dxa" w:w="100"/>
              <w:left w:type="dxa" w:w="120"/>
              <w:bottom w:type="dxa" w:w="100"/>
              <w:right w:type="dxa" w:w="120"/>
            </w:tcMar>
          </w:tcPr>
          <w:p>
            <w:r>
              <w:rPr>
                <w:b w:val="false"/>
                <w:bCs w:val="false"/>
                <w:sz w:val="20"/>
                <w:szCs w:val="20"/>
              </w:rPr>
              <w:t xml:space="preserve">Requiere segmentación propia</w:t>
            </w:r>
          </w:p>
        </w:tc>
      </w:tr>
      <w:tr>
        <w:tc>
          <w:tcPr>
            <w:tcW w:type="dxa" w:w="1400"/>
            <w:tcMar>
              <w:top w:type="dxa" w:w="100"/>
              <w:left w:type="dxa" w:w="120"/>
              <w:bottom w:type="dxa" w:w="100"/>
              <w:right w:type="dxa" w:w="120"/>
            </w:tcMar>
          </w:tcPr>
          <w:p>
            <w:r>
              <w:rPr>
                <w:b w:val="false"/>
                <w:bCs w:val="false"/>
                <w:sz w:val="20"/>
                <w:szCs w:val="20"/>
              </w:rPr>
              <w:t xml:space="preserve">SOM</w:t>
            </w:r>
          </w:p>
        </w:tc>
        <w:tc>
          <w:tcPr>
            <w:tcW w:type="dxa" w:w="6650"/>
            <w:tcMar>
              <w:top w:type="dxa" w:w="100"/>
              <w:left w:type="dxa" w:w="120"/>
              <w:bottom w:type="dxa" w:w="100"/>
              <w:right w:type="dxa" w:w="120"/>
            </w:tcMar>
          </w:tcPr>
          <w:p>
            <w:r>
              <w:rPr>
                <w:b w:val="false"/>
                <w:bCs w:val="false"/>
                <w:sz w:val="20"/>
                <w:szCs w:val="20"/>
              </w:rPr>
              <w:t xml:space="preserve">Comercios objetivo × ticket medio × tasa de adopción esperada en 12–24 meses.</w:t>
            </w:r>
          </w:p>
        </w:tc>
        <w:tc>
          <w:tcPr>
            <w:tcW w:type="dxa" w:w="1300"/>
            <w:tcMar>
              <w:top w:type="dxa" w:w="100"/>
              <w:left w:type="dxa" w:w="120"/>
              <w:bottom w:type="dxa" w:w="100"/>
              <w:right w:type="dxa" w:w="120"/>
            </w:tcMar>
          </w:tcPr>
          <w:p>
            <w:r>
              <w:rPr>
                <w:b w:val="false"/>
                <w:bCs w:val="false"/>
                <w:sz w:val="20"/>
                <w:szCs w:val="20"/>
              </w:rPr>
              <w:t xml:space="preserve">Solo con datos de piloto</w:t>
            </w:r>
          </w:p>
        </w:tc>
      </w:tr>
    </w:tbl>
    <w:p>
      <w:pPr>
        <w:spacing w:after="160"/>
      </w:pPr>
      <w:r>
        <w:t xml:space="preserve">A nivel global, Juniper Research proyecta un crecimiento de usuarios de comercio agéntico de menos de 300 millones en 2026 a 1.300 millones en 2031, lo que confirma la dirección de la tendencia, aunque el TAM colombiano es el ancla verificable de esta tesis.</w:t>
      </w:r>
    </w:p>
    <w:p>
      <w:pPr>
        <w:pStyle w:val="Heading1"/>
        <w:spacing w:after="200" w:before="400"/>
      </w:pPr>
      <w:r>
        <w:t xml:space="preserve">4. Protocolos y reglas de operación</w:t>
      </w:r>
    </w:p>
    <w:p>
      <w:pPr>
        <w:spacing w:after="160"/>
      </w:pPr>
      <w:r>
        <w:t xml:space="preserve">Esta es la diferencia entre una tesis estratégica y una tesis implementable: el comercio agéntico ya tiene "reglas de tráfico" con protocolos concretos, fechas y gobernanza definida.</w:t>
      </w:r>
    </w:p>
    <w:p>
      <w:pPr>
        <w:pStyle w:val="Heading2"/>
        <w:spacing w:after="150" w:before="300"/>
      </w:pPr>
      <w:r>
        <w:t xml:space="preserve">4.1 Mapa de capas y protocolos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50"/>
      </w:tblGrid>
      <w:tr>
        <w:tc>
          <w:tcPr>
            <w:tcW w:type="dxa" w:w="2200"/>
            <w:shd w:fill="2563EB" w:val="clear"/>
            <w:tcMar>
              <w:top w:type="dxa" w:w="100"/>
              <w:left w:type="dxa" w:w="120"/>
              <w:bottom w:type="dxa" w:w="100"/>
              <w:right w:type="dxa" w:w="120"/>
            </w:tcMar>
          </w:tcPr>
          <w:p>
            <w:r>
              <w:rPr>
                <w:b/>
                <w:bCs/>
                <w:color w:val="FFFFFF"/>
                <w:sz w:val="20"/>
                <w:szCs w:val="20"/>
              </w:rPr>
              <w:t xml:space="preserve">Capa</w:t>
            </w:r>
          </w:p>
        </w:tc>
        <w:tc>
          <w:tcPr>
            <w:tcW w:type="dxa" w:w="4300"/>
            <w:shd w:fill="2563EB" w:val="clear"/>
            <w:tcMar>
              <w:top w:type="dxa" w:w="100"/>
              <w:left w:type="dxa" w:w="120"/>
              <w:bottom w:type="dxa" w:w="100"/>
              <w:right w:type="dxa" w:w="120"/>
            </w:tcMar>
          </w:tcPr>
          <w:p>
            <w:r>
              <w:rPr>
                <w:b/>
                <w:bCs/>
                <w:color w:val="FFFFFF"/>
                <w:sz w:val="20"/>
                <w:szCs w:val="20"/>
              </w:rPr>
              <w:t xml:space="preserve">Protocolo real</w:t>
            </w:r>
          </w:p>
        </w:tc>
        <w:tc>
          <w:tcPr>
            <w:tcW w:type="dxa" w:w="2850"/>
            <w:shd w:fill="2563EB" w:val="clear"/>
            <w:tcMar>
              <w:top w:type="dxa" w:w="100"/>
              <w:left w:type="dxa" w:w="120"/>
              <w:bottom w:type="dxa" w:w="100"/>
              <w:right w:type="dxa" w:w="120"/>
            </w:tcMar>
          </w:tcPr>
          <w:p>
            <w:r>
              <w:rPr>
                <w:b/>
                <w:bCs/>
                <w:color w:val="FFFFFF"/>
                <w:sz w:val="20"/>
                <w:szCs w:val="20"/>
              </w:rPr>
              <w:t xml:space="preserve">Quién la respalda</w:t>
            </w:r>
          </w:p>
        </w:tc>
      </w:tr>
      <w:tr>
        <w:tc>
          <w:tcPr>
            <w:tcW w:type="dxa" w:w="2200"/>
            <w:tcMar>
              <w:top w:type="dxa" w:w="100"/>
              <w:left w:type="dxa" w:w="120"/>
              <w:bottom w:type="dxa" w:w="100"/>
              <w:right w:type="dxa" w:w="120"/>
            </w:tcMar>
          </w:tcPr>
          <w:p>
            <w:r>
              <w:rPr>
                <w:b w:val="false"/>
                <w:bCs w:val="false"/>
                <w:sz w:val="20"/>
                <w:szCs w:val="20"/>
              </w:rPr>
              <w:t xml:space="preserve">Catálogo y descubrimiento</w:t>
            </w:r>
          </w:p>
        </w:tc>
        <w:tc>
          <w:tcPr>
            <w:tcW w:type="dxa" w:w="4300"/>
            <w:tcMar>
              <w:top w:type="dxa" w:w="100"/>
              <w:left w:type="dxa" w:w="120"/>
              <w:bottom w:type="dxa" w:w="100"/>
              <w:right w:type="dxa" w:w="120"/>
            </w:tcMar>
          </w:tcPr>
          <w:p>
            <w:r>
              <w:rPr>
                <w:b w:val="false"/>
                <w:bCs w:val="false"/>
                <w:sz w:val="20"/>
                <w:szCs w:val="20"/>
              </w:rPr>
              <w:t xml:space="preserve">UCP (Universal Commerce Protocol) — anunciado 11 ene 2026 en NRF</w:t>
            </w:r>
          </w:p>
        </w:tc>
        <w:tc>
          <w:tcPr>
            <w:tcW w:type="dxa" w:w="2850"/>
            <w:tcMar>
              <w:top w:type="dxa" w:w="100"/>
              <w:left w:type="dxa" w:w="120"/>
              <w:bottom w:type="dxa" w:w="100"/>
              <w:right w:type="dxa" w:w="120"/>
            </w:tcMar>
          </w:tcPr>
          <w:p>
            <w:r>
              <w:rPr>
                <w:b w:val="false"/>
                <w:bCs w:val="false"/>
                <w:sz w:val="20"/>
                <w:szCs w:val="20"/>
              </w:rPr>
              <w:t xml:space="preserve">Google, Shopify, Etsy, Wayfair, Target, Walmart + 20 socios (Adyen, Amex, Mastercard, Stripe, Visa)</w:t>
            </w:r>
          </w:p>
        </w:tc>
      </w:tr>
      <w:tr>
        <w:tc>
          <w:tcPr>
            <w:tcW w:type="dxa" w:w="2200"/>
            <w:tcMar>
              <w:top w:type="dxa" w:w="100"/>
              <w:left w:type="dxa" w:w="120"/>
              <w:bottom w:type="dxa" w:w="100"/>
              <w:right w:type="dxa" w:w="120"/>
            </w:tcMar>
          </w:tcPr>
          <w:p>
            <w:r>
              <w:rPr>
                <w:b w:val="false"/>
                <w:bCs w:val="false"/>
                <w:sz w:val="20"/>
                <w:szCs w:val="20"/>
              </w:rPr>
              <w:t xml:space="preserve">Intención y autorización</w:t>
            </w:r>
          </w:p>
        </w:tc>
        <w:tc>
          <w:tcPr>
            <w:tcW w:type="dxa" w:w="4300"/>
            <w:tcMar>
              <w:top w:type="dxa" w:w="100"/>
              <w:left w:type="dxa" w:w="120"/>
              <w:bottom w:type="dxa" w:w="100"/>
              <w:right w:type="dxa" w:w="120"/>
            </w:tcMar>
          </w:tcPr>
          <w:p>
            <w:r>
              <w:rPr>
                <w:b w:val="false"/>
                <w:bCs w:val="false"/>
                <w:sz w:val="20"/>
                <w:szCs w:val="20"/>
              </w:rPr>
              <w:t xml:space="preserve">AP2 (Agent Payments Protocol) — mandato Intent</w:t>
            </w:r>
          </w:p>
        </w:tc>
        <w:tc>
          <w:tcPr>
            <w:tcW w:type="dxa" w:w="2850"/>
            <w:tcMar>
              <w:top w:type="dxa" w:w="100"/>
              <w:left w:type="dxa" w:w="120"/>
              <w:bottom w:type="dxa" w:w="100"/>
              <w:right w:type="dxa" w:w="120"/>
            </w:tcMar>
          </w:tcPr>
          <w:p>
            <w:r>
              <w:rPr>
                <w:b w:val="false"/>
                <w:bCs w:val="false"/>
                <w:sz w:val="20"/>
                <w:szCs w:val="20"/>
              </w:rPr>
              <w:t xml:space="preserve">Google; gobernanza transferida a FIDO Alliance (28 abr 2026)</w:t>
            </w:r>
          </w:p>
        </w:tc>
      </w:tr>
      <w:tr>
        <w:tc>
          <w:tcPr>
            <w:tcW w:type="dxa" w:w="2200"/>
            <w:tcMar>
              <w:top w:type="dxa" w:w="100"/>
              <w:left w:type="dxa" w:w="120"/>
              <w:bottom w:type="dxa" w:w="100"/>
              <w:right w:type="dxa" w:w="120"/>
            </w:tcMar>
          </w:tcPr>
          <w:p>
            <w:r>
              <w:rPr>
                <w:b w:val="false"/>
                <w:bCs w:val="false"/>
                <w:sz w:val="20"/>
                <w:szCs w:val="20"/>
              </w:rPr>
              <w:t xml:space="preserve">Carrito y ejecución</w:t>
            </w:r>
          </w:p>
        </w:tc>
        <w:tc>
          <w:tcPr>
            <w:tcW w:type="dxa" w:w="4300"/>
            <w:tcMar>
              <w:top w:type="dxa" w:w="100"/>
              <w:left w:type="dxa" w:w="120"/>
              <w:bottom w:type="dxa" w:w="100"/>
              <w:right w:type="dxa" w:w="120"/>
            </w:tcMar>
          </w:tcPr>
          <w:p>
            <w:r>
              <w:rPr>
                <w:b w:val="false"/>
                <w:bCs w:val="false"/>
                <w:sz w:val="20"/>
                <w:szCs w:val="20"/>
              </w:rPr>
              <w:t xml:space="preserve">UCP (capacidad Checkout) + ACP si el canal es ChatGPT/Copilot</w:t>
            </w:r>
          </w:p>
        </w:tc>
        <w:tc>
          <w:tcPr>
            <w:tcW w:type="dxa" w:w="2850"/>
            <w:tcMar>
              <w:top w:type="dxa" w:w="100"/>
              <w:left w:type="dxa" w:w="120"/>
              <w:bottom w:type="dxa" w:w="100"/>
              <w:right w:type="dxa" w:w="120"/>
            </w:tcMar>
          </w:tcPr>
          <w:p>
            <w:r>
              <w:rPr>
                <w:b w:val="false"/>
                <w:bCs w:val="false"/>
                <w:sz w:val="20"/>
                <w:szCs w:val="20"/>
              </w:rPr>
              <w:t xml:space="preserve">Stripe + OpenAI (ACP)</w:t>
            </w:r>
          </w:p>
        </w:tc>
      </w:tr>
      <w:tr>
        <w:tc>
          <w:tcPr>
            <w:tcW w:type="dxa" w:w="2200"/>
            <w:tcMar>
              <w:top w:type="dxa" w:w="100"/>
              <w:left w:type="dxa" w:w="120"/>
              <w:bottom w:type="dxa" w:w="100"/>
              <w:right w:type="dxa" w:w="120"/>
            </w:tcMar>
          </w:tcPr>
          <w:p>
            <w:r>
              <w:rPr>
                <w:b w:val="false"/>
                <w:bCs w:val="false"/>
                <w:sz w:val="20"/>
                <w:szCs w:val="20"/>
              </w:rPr>
              <w:t xml:space="preserve">Pago y evidencia</w:t>
            </w:r>
          </w:p>
        </w:tc>
        <w:tc>
          <w:tcPr>
            <w:tcW w:type="dxa" w:w="4300"/>
            <w:tcMar>
              <w:top w:type="dxa" w:w="100"/>
              <w:left w:type="dxa" w:w="120"/>
              <w:bottom w:type="dxa" w:w="100"/>
              <w:right w:type="dxa" w:w="120"/>
            </w:tcMar>
          </w:tcPr>
          <w:p>
            <w:r>
              <w:rPr>
                <w:b w:val="false"/>
                <w:bCs w:val="false"/>
                <w:sz w:val="20"/>
                <w:szCs w:val="20"/>
              </w:rPr>
              <w:t xml:space="preserve">AP2 — mandatos Cart y Payment (W3C Verifiable Credentials)</w:t>
            </w:r>
          </w:p>
        </w:tc>
        <w:tc>
          <w:tcPr>
            <w:tcW w:type="dxa" w:w="2850"/>
            <w:tcMar>
              <w:top w:type="dxa" w:w="100"/>
              <w:left w:type="dxa" w:w="120"/>
              <w:bottom w:type="dxa" w:w="100"/>
              <w:right w:type="dxa" w:w="120"/>
            </w:tcMar>
          </w:tcPr>
          <w:p>
            <w:r>
              <w:rPr>
                <w:b w:val="false"/>
                <w:bCs w:val="false"/>
                <w:sz w:val="20"/>
                <w:szCs w:val="20"/>
              </w:rPr>
              <w:t xml:space="preserve">Mastercard, PayPal, Coinbase, Amex, Adyen</w:t>
            </w:r>
          </w:p>
        </w:tc>
      </w:tr>
      <w:tr>
        <w:tc>
          <w:tcPr>
            <w:tcW w:type="dxa" w:w="2200"/>
            <w:tcMar>
              <w:top w:type="dxa" w:w="100"/>
              <w:left w:type="dxa" w:w="120"/>
              <w:bottom w:type="dxa" w:w="100"/>
              <w:right w:type="dxa" w:w="120"/>
            </w:tcMar>
          </w:tcPr>
          <w:p>
            <w:r>
              <w:rPr>
                <w:b w:val="false"/>
                <w:bCs w:val="false"/>
                <w:sz w:val="20"/>
                <w:szCs w:val="20"/>
              </w:rPr>
              <w:t xml:space="preserve">Confianza/gobernanza</w:t>
            </w:r>
          </w:p>
        </w:tc>
        <w:tc>
          <w:tcPr>
            <w:tcW w:type="dxa" w:w="4300"/>
            <w:tcMar>
              <w:top w:type="dxa" w:w="100"/>
              <w:left w:type="dxa" w:w="120"/>
              <w:bottom w:type="dxa" w:w="100"/>
              <w:right w:type="dxa" w:w="120"/>
            </w:tcMar>
          </w:tcPr>
          <w:p>
            <w:r>
              <w:rPr>
                <w:b w:val="false"/>
                <w:bCs w:val="false"/>
                <w:sz w:val="20"/>
                <w:szCs w:val="20"/>
              </w:rPr>
              <w:t xml:space="preserve">Verifiable Intent (Mastercard) + FIDO Alliance</w:t>
            </w:r>
          </w:p>
        </w:tc>
        <w:tc>
          <w:tcPr>
            <w:tcW w:type="dxa" w:w="2850"/>
            <w:tcMar>
              <w:top w:type="dxa" w:w="100"/>
              <w:left w:type="dxa" w:w="120"/>
              <w:bottom w:type="dxa" w:w="100"/>
              <w:right w:type="dxa" w:w="120"/>
            </w:tcMar>
          </w:tcPr>
          <w:p>
            <w:r>
              <w:rPr>
                <w:b w:val="false"/>
                <w:bCs w:val="false"/>
                <w:sz w:val="20"/>
                <w:szCs w:val="20"/>
              </w:rPr>
              <w:t xml:space="preserve">FIDO Alliance (donado abril 2026)</w:t>
            </w:r>
          </w:p>
        </w:tc>
      </w:tr>
      <w:tr>
        <w:tc>
          <w:tcPr>
            <w:tcW w:type="dxa" w:w="2200"/>
            <w:tcMar>
              <w:top w:type="dxa" w:w="100"/>
              <w:left w:type="dxa" w:w="120"/>
              <w:bottom w:type="dxa" w:w="100"/>
              <w:right w:type="dxa" w:w="120"/>
            </w:tcMar>
          </w:tcPr>
          <w:p>
            <w:r>
              <w:rPr>
                <w:b w:val="false"/>
                <w:bCs w:val="false"/>
                <w:sz w:val="20"/>
                <w:szCs w:val="20"/>
              </w:rPr>
              <w:t xml:space="preserve">Pagos B2B máquina-a-máquina</w:t>
            </w:r>
          </w:p>
        </w:tc>
        <w:tc>
          <w:tcPr>
            <w:tcW w:type="dxa" w:w="4300"/>
            <w:tcMar>
              <w:top w:type="dxa" w:w="100"/>
              <w:left w:type="dxa" w:w="120"/>
              <w:bottom w:type="dxa" w:w="100"/>
              <w:right w:type="dxa" w:w="120"/>
            </w:tcMar>
          </w:tcPr>
          <w:p>
            <w:r>
              <w:rPr>
                <w:b w:val="false"/>
                <w:bCs w:val="false"/>
                <w:sz w:val="20"/>
                <w:szCs w:val="20"/>
              </w:rPr>
              <w:t xml:space="preserve">x402 (Coinbase) / MPP (Stripe)</w:t>
            </w:r>
          </w:p>
        </w:tc>
        <w:tc>
          <w:tcPr>
            <w:tcW w:type="dxa" w:w="2850"/>
            <w:tcMar>
              <w:top w:type="dxa" w:w="100"/>
              <w:left w:type="dxa" w:w="120"/>
              <w:bottom w:type="dxa" w:w="100"/>
              <w:right w:type="dxa" w:w="120"/>
            </w:tcMar>
          </w:tcPr>
          <w:p>
            <w:r>
              <w:rPr>
                <w:b w:val="false"/>
                <w:bCs w:val="false"/>
                <w:sz w:val="20"/>
                <w:szCs w:val="20"/>
              </w:rPr>
              <w:t xml:space="preserve">Relevante para B2B con micropagos recurrentes</w:t>
            </w:r>
          </w:p>
        </w:tc>
      </w:tr>
    </w:tbl>
    <w:p>
      <w:pPr>
        <w:spacing w:after="160"/>
      </w:pPr>
      <w:r>
        <w:t xml:space="preserve">Consecuencia práctica para el bloque de "socios clave": ya no basta con decir "pasarela de pago" genérica. Hay que definir explícitamente con qué protocolo(s) se integra la operación (AP2 para el mandato de confianza, UCP para catálogo, ACP si se vende vía agentes de OpenAI/Copilot). La estrategia ganadora hoy es multiprotocolo, no apostar a un solo estándar — los propios actores del mercado, como Mastercard, participan en los cuatro.</w:t>
      </w:r>
    </w:p>
    <w:p>
      <w:pPr>
        <w:pStyle w:val="Heading2"/>
        <w:spacing w:after="150" w:before="300"/>
      </w:pPr>
      <w:r>
        <w:t xml:space="preserve">4.2 Cómo funciona AP2 — los tres mandatos</w:t>
      </w:r>
    </w:p>
    <w:p>
      <w:pPr>
        <w:pStyle w:val="ListParagraph"/>
        <w:numPr>
          <w:ilvl w:val="0"/>
          <w:numId w:val="2"/>
        </w:numPr>
        <w:spacing w:after="100"/>
      </w:pPr>
      <w:r>
        <w:rPr>
          <w:b/>
          <w:bCs/>
        </w:rPr>
        <w:t xml:space="preserve">Intent Mandate: </w:t>
      </w:r>
      <w:r>
        <w:t xml:space="preserve">Lo que el usuario autorizó: por ejemplo, comprar un producto específico bajo ciertos límites de precio y condiciones, firmado por el usuario dentro de un cliente compatible con AP2.</w:t>
      </w:r>
    </w:p>
    <w:p>
      <w:pPr>
        <w:pStyle w:val="ListParagraph"/>
        <w:numPr>
          <w:ilvl w:val="0"/>
          <w:numId w:val="2"/>
        </w:numPr>
        <w:spacing w:after="100"/>
      </w:pPr>
      <w:r>
        <w:rPr>
          <w:b/>
          <w:bCs/>
        </w:rPr>
        <w:t xml:space="preserve">Cart Mandate: </w:t>
      </w:r>
      <w:r>
        <w:t xml:space="preserve">Lo produce el comercio o su agente: vincula SKU, precio, impuestos, envío y total al Intent. El agente comprador lo verifica contra el Intent antes de enviarlo a pago.</w:t>
      </w:r>
    </w:p>
    <w:p>
      <w:pPr>
        <w:pStyle w:val="ListParagraph"/>
        <w:numPr>
          <w:ilvl w:val="0"/>
          <w:numId w:val="2"/>
        </w:numPr>
        <w:spacing w:after="100"/>
      </w:pPr>
      <w:r>
        <w:rPr>
          <w:b/>
          <w:bCs/>
        </w:rPr>
        <w:t xml:space="preserve">Payment Mandate: </w:t>
      </w:r>
      <w:r>
        <w:t xml:space="preserve">Finaliza el tramo entre el agente y la red de pago: monto autorizado, referencia del instrumento de fondeo y un hash que vincula Intent y Cart ya verificados.</w:t>
      </w:r>
    </w:p>
    <w:p>
      <w:pPr>
        <w:spacing w:after="160"/>
      </w:pPr>
      <w:r>
        <w:t xml:space="preserve">Este encadenamiento crea un registro de auditoría no repudiable: qué se autorizó, qué se seleccionó y qué se cobró. Existen dos modos de uso: humano presente (aprobación en el momento) y tarea delegada (el usuario preautoriza condiciones y el agente ejecuta cuando se cumplen, por ejemplo comprar boletos apenas salgan a la venta).</w:t>
      </w:r>
    </w:p>
    <w:p>
      <w:pPr>
        <w:pStyle w:val="Heading2"/>
        <w:spacing w:after="150" w:before="300"/>
      </w:pPr>
      <w:r>
        <w:t xml:space="preserve">4.3 Cómo funciona UCP — perfil, negociación y checkout</w:t>
      </w:r>
    </w:p>
    <w:p>
      <w:pPr>
        <w:spacing w:after="160"/>
      </w:pPr>
      <w:r>
        <w:t xml:space="preserve">Todo comercio publica un perfil público en /.well-known/ucp, un archivo JSON sin autenticación donde declara qué versión del protocolo habla, qué capacidades soporta (checkout, catálogo, identidad, cumplimiento) y a qué endpoint debe llamar el agente. Puede exponerse por cuatro transportes a la vez: REST, MCP, A2A o embebido — el mismo backend puede atender a ChatGPT, Gemini y un agente propio.</w:t>
      </w:r>
    </w:p>
    <w:p>
      <w:pPr>
        <w:spacing w:after="160"/>
      </w:pPr>
      <w:r>
        <w:t xml:space="preserve">Las capacidades canónicas de lanzamiento son Checkout, Identity Linking, Order y Payment Token Exchange, y cada una se extiende de forma independiente sin romper el núcleo. El flujo de negociación es: el agente llega al perfil del comercio → ambos declaran lo que soportan → el comercio calcula la intersección (capacidades, métodos de pago, extensiones comunes) → responde con el resultado negociado, transacción por transacción.</w:t>
      </w:r>
    </w:p>
    <w:p>
      <w:pPr>
        <w:spacing w:after="160"/>
      </w:pPr>
      <w:r>
        <w:t xml:space="preserve">El checkout avanza por una máquina de tres estados: "incomplete" (falta información que el agente debe resolver vía API), "requires_escalation" (se entrega el control a un humano mediante una URL de continuación) y "ready_for_complete" (listo para cerrarse de forma programática). El sistema no obliga a que todo sea 100% autónomo; está diseñado para escalar a un humano cuando hace falta.</w:t>
      </w:r>
    </w:p>
    <w:p>
      <w:pPr>
        <w:pStyle w:val="Heading2"/>
        <w:spacing w:after="150" w:before="300"/>
      </w:pPr>
      <w:r>
        <w:t xml:space="preserve">4.4 Pasos prácticos de implementación</w:t>
      </w:r>
    </w:p>
    <w:p>
      <w:pPr>
        <w:pStyle w:val="ListParagraph"/>
        <w:numPr>
          <w:ilvl w:val="0"/>
          <w:numId w:val="2"/>
        </w:numPr>
        <w:spacing w:after="100"/>
      </w:pPr>
      <w:r>
        <w:t xml:space="preserve">Catálogo con atributos limpios, precios, stock e imágenes normalizadas — sin esto, ningún protocolo ayuda.</w:t>
      </w:r>
    </w:p>
    <w:p>
      <w:pPr>
        <w:pStyle w:val="ListParagraph"/>
        <w:numPr>
          <w:ilvl w:val="0"/>
          <w:numId w:val="2"/>
        </w:numPr>
        <w:spacing w:after="100"/>
      </w:pPr>
      <w:r>
        <w:t xml:space="preserve">Publicar el manifiesto en /.well-known/ucp con al menos la capacidad Checkout.</w:t>
      </w:r>
    </w:p>
    <w:p>
      <w:pPr>
        <w:pStyle w:val="ListParagraph"/>
        <w:numPr>
          <w:ilvl w:val="0"/>
          <w:numId w:val="2"/>
        </w:numPr>
        <w:spacing w:after="100"/>
      </w:pPr>
      <w:r>
        <w:t xml:space="preserve">Exponer el endpoint REST o binding MCP/A2A para que agentes tipo Claude/ChatGPT lo llamen como herramienta.</w:t>
      </w:r>
    </w:p>
    <w:p>
      <w:pPr>
        <w:pStyle w:val="ListParagraph"/>
        <w:numPr>
          <w:ilvl w:val="0"/>
          <w:numId w:val="2"/>
        </w:numPr>
        <w:spacing w:after="100"/>
      </w:pPr>
      <w:r>
        <w:t xml:space="preserve">Declarar los manejadores de pago aceptados (Google Pay, Shop Pay, pasarela regional).</w:t>
      </w:r>
    </w:p>
    <w:p>
      <w:pPr>
        <w:pStyle w:val="ListParagraph"/>
        <w:numPr>
          <w:ilvl w:val="0"/>
          <w:numId w:val="2"/>
        </w:numPr>
        <w:spacing w:after="100"/>
      </w:pPr>
      <w:r>
        <w:t xml:space="preserve">Implementar la máquina de estados de checkout, incluyendo la URL de escalamiento a humano.</w:t>
      </w:r>
    </w:p>
    <w:p>
      <w:pPr>
        <w:pStyle w:val="ListParagraph"/>
        <w:numPr>
          <w:ilvl w:val="0"/>
          <w:numId w:val="2"/>
        </w:numPr>
        <w:spacing w:after="100"/>
      </w:pPr>
      <w:r>
        <w:t xml:space="preserve">Habilitar verificación de mandatos AP2 en el procesador de pagos (Stripe y Adyen ya lo exponen en su dashboard).</w:t>
      </w:r>
    </w:p>
    <w:p>
      <w:pPr>
        <w:pStyle w:val="ListParagraph"/>
        <w:numPr>
          <w:ilvl w:val="0"/>
          <w:numId w:val="2"/>
        </w:numPr>
        <w:spacing w:after="100"/>
      </w:pPr>
      <w:r>
        <w:t xml:space="preserve">Configurar webhooks de sincronización de pedido, envío y devoluciones.</w:t>
      </w:r>
    </w:p>
    <w:p>
      <w:pPr>
        <w:pStyle w:val="ListParagraph"/>
        <w:numPr>
          <w:ilvl w:val="0"/>
          <w:numId w:val="2"/>
        </w:numPr>
        <w:spacing w:after="100"/>
      </w:pPr>
      <w:r>
        <w:t xml:space="preserve">Probar la negociación de perfiles con al menos un agente real antes de producción.</w:t>
      </w:r>
    </w:p>
    <w:p>
      <w:pPr>
        <w:spacing w:after="160"/>
      </w:pPr>
      <w:r>
        <w:t xml:space="preserve">Tiempos reportados por integradores: comerciantes de Shopify con app nativa pueden desplegar UCP en menos de 48 horas; plataformas de e-commerce personalizadas necesitan entre 2 y 4 semanas. Se recomienda apuntar a tiempos de respuesta menores a 200 ms para descubrimiento de producto y menores a 500 ms para completar el checkout, ya que los agentes penalizan endpoints lentos despriorizando la tienda en sus recomendaciones.</w:t>
      </w:r>
    </w:p>
    <w:p>
      <w:pPr>
        <w:pStyle w:val="Heading1"/>
        <w:spacing w:after="200" w:before="400"/>
      </w:pPr>
      <w:r>
        <w:t xml:space="preserve">5. Gobernanza, confianza y seguridad</w:t>
      </w:r>
    </w:p>
    <w:p>
      <w:pPr>
        <w:spacing w:after="160"/>
      </w:pPr>
      <w:r>
        <w:t xml:space="preserve">Este bloque es central, no accesorio: en abril de 2026 Google transfirió AP2 a la FIDO Alliance junto con el marco Verifiable Intent de Mastercard, para que la capa de confianza no dependa de un solo proveedor. La FIDO Alliance —la misma que estandarizó las passkeys— formó grupos de trabajo específicos para autenticación de agentes y comercio agéntico.</w:t>
      </w:r>
    </w:p>
    <w:p>
      <w:pPr>
        <w:spacing w:after="120"/>
      </w:pPr>
      <w:r>
        <w:rPr>
          <w:b/>
          <w:bCs/>
        </w:rPr>
        <w:t xml:space="preserve">El modelo debe incluir:</w:t>
      </w:r>
    </w:p>
    <w:p>
      <w:pPr>
        <w:pStyle w:val="ListParagraph"/>
        <w:numPr>
          <w:ilvl w:val="0"/>
          <w:numId w:val="2"/>
        </w:numPr>
        <w:spacing w:after="100"/>
      </w:pPr>
      <w:r>
        <w:t xml:space="preserve">Mandatos revocables en cualquier momento.</w:t>
      </w:r>
    </w:p>
    <w:p>
      <w:pPr>
        <w:pStyle w:val="ListParagraph"/>
        <w:numPr>
          <w:ilvl w:val="0"/>
          <w:numId w:val="2"/>
        </w:numPr>
        <w:spacing w:after="100"/>
      </w:pPr>
      <w:r>
        <w:t xml:space="preserve">Límites de gasto por categoría, no solo por monto total.</w:t>
      </w:r>
    </w:p>
    <w:p>
      <w:pPr>
        <w:pStyle w:val="ListParagraph"/>
        <w:numPr>
          <w:ilvl w:val="0"/>
          <w:numId w:val="2"/>
        </w:numPr>
        <w:spacing w:after="100"/>
      </w:pPr>
      <w:r>
        <w:t xml:space="preserve">Registro auditable compatible con Verifiable Intent.</w:t>
      </w:r>
    </w:p>
    <w:p>
      <w:pPr>
        <w:pStyle w:val="ListParagraph"/>
        <w:numPr>
          <w:ilvl w:val="0"/>
          <w:numId w:val="2"/>
        </w:numPr>
        <w:spacing w:after="100"/>
      </w:pPr>
      <w:r>
        <w:t xml:space="preserve">Reglas claras de escalamiento a humano.</w:t>
      </w:r>
    </w:p>
    <w:p>
      <w:pPr>
        <w:pStyle w:val="ListParagraph"/>
        <w:numPr>
          <w:ilvl w:val="0"/>
          <w:numId w:val="2"/>
        </w:numPr>
        <w:spacing w:after="100"/>
      </w:pPr>
      <w:r>
        <w:t xml:space="preserve">Responsabilidad definida si el agente compra fuera de los límites autorizados.</w:t>
      </w:r>
    </w:p>
    <w:p>
      <w:pPr>
        <w:pStyle w:val="Heading2"/>
        <w:spacing w:after="150" w:before="300"/>
      </w:pPr>
      <w:r>
        <w:t xml:space="preserve">5.1 Marco regulatorio colombiano</w:t>
      </w:r>
    </w:p>
    <w:p>
      <w:pPr>
        <w:spacing w:after="160"/>
      </w:pPr>
      <w:r>
        <w:t xml:space="preserve">Es el bloque de riesgo legal real de esta tesis, y el que un comité de inversión preguntará primero.</w:t>
      </w:r>
    </w:p>
    <w:p>
      <w:pPr>
        <w:pStyle w:val="ListParagraph"/>
        <w:numPr>
          <w:ilvl w:val="0"/>
          <w:numId w:val="2"/>
        </w:numPr>
        <w:spacing w:after="100"/>
      </w:pPr>
      <w:r>
        <w:rPr>
          <w:b/>
          <w:bCs/>
        </w:rPr>
        <w:t xml:space="preserve">Ley 2573 de 2026 (suplantación de identidad): </w:t>
      </w:r>
      <w:r>
        <w:t xml:space="preserve">Promulgada el 19 de mayo de 2026, con régimen general vigente desde noviembre de 2026. Aplica a entidades financieras, operadores de telecomunicaciones y comercios electrónicos que participen en originación de crédito o ventas a plazo. La vigilancia se reparte entre la Superintendencia Financiera (SFC), la SIC y el MinTIC. La consecuencia más dura: si la empresa no puede demostrar la solidez de su verificación de identidad ante un reclamo de suplantación, aplica carga dinámica de la prueba — el cliente queda exonerado y la empresa asume el 100% de la pérdida. Un agente comprando en nombre de un usuario es exactamente el escenario que esta ley busca regular; si el modelo incluye crédito o cuotas, se necesita evidencia técnica de verificación de identidad desde el diseño. Los mandatos AP2 firmados son un candidato natural para servir como esa evidencia auditable, aunque debe validarse con asesoría legal especializada.</w:t>
      </w:r>
    </w:p>
    <w:p>
      <w:pPr>
        <w:pStyle w:val="ListParagraph"/>
        <w:numPr>
          <w:ilvl w:val="0"/>
          <w:numId w:val="2"/>
        </w:numPr>
        <w:spacing w:after="100"/>
      </w:pPr>
      <w:r>
        <w:rPr>
          <w:b/>
          <w:bCs/>
        </w:rPr>
        <w:t xml:space="preserve">Ley 1581 de 2012 y su reforma en curso: </w:t>
      </w:r>
      <w:r>
        <w:t xml:space="preserve">Ley de protección de datos vigente, vigilada por la SIC, con proyecto de reforma radicado en agosto de 2025 para acercarla al estándar GDPR, incluyendo sanciones de hasta 5% de ingresos anuales bajo un proyecto legislativo relacionado, y nuevas directrices sobre IA, biometría y consentimiento en fintech. El catálogo de datos que alimenta a los agentes de compra debe tener base legal de tratamiento clara y mecanismos de revocación inmediata.</w:t>
      </w:r>
    </w:p>
    <w:p>
      <w:pPr>
        <w:spacing w:after="120"/>
      </w:pPr>
      <w:r>
        <w:rPr>
          <w:b/>
          <w:bCs/>
        </w:rPr>
        <w:t xml:space="preserve">Checklist de cumplimiento derivado:</w:t>
      </w:r>
    </w:p>
    <w:p>
      <w:pPr>
        <w:pStyle w:val="ListParagraph"/>
        <w:numPr>
          <w:ilvl w:val="0"/>
          <w:numId w:val="2"/>
        </w:numPr>
        <w:spacing w:after="100"/>
      </w:pPr>
      <w:r>
        <w:t xml:space="preserve">El flujo de compra por agente puede demostrar verificación de identidad trazable si el pago involucra crédito o cuotas.</w:t>
      </w:r>
    </w:p>
    <w:p>
      <w:pPr>
        <w:pStyle w:val="ListParagraph"/>
        <w:numPr>
          <w:ilvl w:val="0"/>
          <w:numId w:val="2"/>
        </w:numPr>
        <w:spacing w:after="100"/>
      </w:pPr>
      <w:r>
        <w:t xml:space="preserve">El tratamiento de datos del cliente tiene base legal y mecanismo de revocación conforme a la Ley 1581.</w:t>
      </w:r>
    </w:p>
    <w:p>
      <w:pPr>
        <w:pStyle w:val="ListParagraph"/>
        <w:numPr>
          <w:ilvl w:val="0"/>
          <w:numId w:val="2"/>
        </w:numPr>
        <w:spacing w:after="100"/>
      </w:pPr>
      <w:r>
        <w:t xml:space="preserve">Está mapeado ante cuál supervisor (SIC, SFC o MinTIC) responde cada parte de la operación.</w:t>
      </w:r>
    </w:p>
    <w:p>
      <w:pPr>
        <w:pStyle w:val="Heading1"/>
        <w:spacing w:after="200" w:before="400"/>
      </w:pPr>
      <w:r>
        <w:t xml:space="preserve">6. Canales y ecosistemas</w:t>
      </w:r>
    </w:p>
    <w:p>
      <w:pPr>
        <w:spacing w:after="160"/>
      </w:pPr>
      <w:r>
        <w:t xml:space="preserve">La mejor forma de pensar los canales no es como medios separados, sino como dos ecosistemas de infraestructura: Meta (que unificó WhatsApp, Instagram y Messenger bajo un solo agente comercial) y TikTok/ByteDance (que construye su propio stack de IA para vendedores), más el protocolo de pagos que se use por debajo (AP2/UCP/ACP).</w:t>
      </w:r>
    </w:p>
    <w:p>
      <w:pPr>
        <w:pStyle w:val="Heading2"/>
        <w:spacing w:after="150" w:before="300"/>
      </w:pPr>
      <w:r>
        <w:t xml:space="preserve">6.1 WhatsApp</w:t>
      </w:r>
    </w:p>
    <w:p>
      <w:pPr>
        <w:spacing w:after="160"/>
      </w:pPr>
      <w:r>
        <w:t xml:space="preserve">Sigue siendo el canal más fuerte para cierre y posventa en LatAm. El 3 de junio de 2026, en el evento Conversations en Londres, Meta presentó oficialmente su Meta Business Agent, disponible globalmente en WhatsApp, Messenger e Instagram: recomienda productos del catálogo, agenda citas, califica leads y escala a un humano cuando hace falta, sin código. El arranque es gratis, pero Meta ya anunció modelos de suscripción de pago próximamente, y quien construye sobre esta infraestructura cede datos de conversación y patrones de venta a la plataforma. Meta también endureció las reglas: los chats de IA sin un objetivo comercial concreto ya no están permitidos. Dato de conversión regional: 64% de los clientes en LatAm prefieren ver el catálogo dentro del chat antes que abrir un sitio externo.</w:t>
      </w:r>
    </w:p>
    <w:p>
      <w:pPr>
        <w:pStyle w:val="Heading2"/>
        <w:spacing w:after="150" w:before="300"/>
      </w:pPr>
      <w:r>
        <w:t xml:space="preserve">6.2 Instagram</w:t>
      </w:r>
    </w:p>
    <w:p>
      <w:pPr>
        <w:spacing w:after="160"/>
      </w:pPr>
      <w:r>
        <w:t xml:space="preserve">Meta está preparando herramientas de IA agéntica en Instagram para competir directamente con TikTok Shop, permitiendo comprar al instante desde un Reel. Ya probó resúmenes de reseñas generados por IA tras hacer clic en un anuncio, y sumó afiliados como Mercado Libre en LatAm para creadores.</w:t>
      </w:r>
    </w:p>
    <w:p>
      <w:pPr>
        <w:pStyle w:val="Heading2"/>
        <w:spacing w:after="150" w:before="300"/>
      </w:pPr>
      <w:r>
        <w:t xml:space="preserve">6.3 TikTok</w:t>
      </w:r>
    </w:p>
    <w:p>
      <w:pPr>
        <w:spacing w:after="160"/>
      </w:pPr>
      <w:r>
        <w:t xml:space="preserve">TikTok Shop opera en México y Brasil, no en Colombia — para el mercado de entrada de esta tesis, TikTok es hoy un canal de descubrimiento y generación de demanda (contenido, creadores, tráfico hacia WhatsApp o Instagram para el cierre), no un marketplace transaccional propio todavía. Invierte el orden clásico del embudo: la compra nace de un momento de atención, no de una búsqueda. TikTok lanzó su propio "Asistente del Vendedor" con IA, en un contexto donde la plataforma generó cerca de 19 mil millones de dólares en GMV global solo en el tercer trimestre de 2025.</w:t>
      </w:r>
    </w:p>
    <w:p>
      <w:pPr>
        <w:pStyle w:val="Heading2"/>
        <w:spacing w:after="150" w:before="300"/>
      </w:pPr>
      <w:r>
        <w:t xml:space="preserve">6.4 Messenger</w:t>
      </w:r>
    </w:p>
    <w:p>
      <w:pPr>
        <w:spacing w:after="160"/>
      </w:pPr>
      <w:r>
        <w:t xml:space="preserve">Funciona más como canal de soporte y remarketing automatizado que de descubrimiento, integrado al mismo Meta Business Agent que WhatsApp e Instagram.</w:t>
      </w:r>
    </w:p>
    <w:p>
      <w:pPr>
        <w:pStyle w:val="Heading1"/>
        <w:spacing w:after="200" w:before="400"/>
      </w:pPr>
      <w:r>
        <w:t xml:space="preserve">7. Modelo financiero unitario por canal</w:t>
      </w:r>
    </w:p>
    <w:p>
      <w:pPr>
        <w:spacing w:after="160"/>
      </w:pPr>
      <w:r>
        <w:t xml:space="preserve">La cadena de valor financiero por canal es siempre la misma: costo de adquisición (CPL/CAC) → tasa de conversión de lead a venta → ticket promedio (AOV) → margen bruto → comisión/fee de plataforma → costo operativo del canal → margen de contribución neto por unidad. Si el margen de contribución neto es positivo y mayor que el costo fijo asignado, el canal funciona; si no, se están comprando ventas con pérdida disfrazada de crecimiento.</w:t>
      </w:r>
    </w:p>
    <w:p>
      <w:pPr>
        <w:pStyle w:val="Heading2"/>
        <w:spacing w:after="150" w:before="300"/>
      </w:pPr>
      <w:r>
        <w:t xml:space="preserve">7.1 Datos por canal (julio 2026)</w:t>
      </w:r>
    </w:p>
    <w:p>
      <w:pPr>
        <w:pStyle w:val="ListParagraph"/>
        <w:numPr>
          <w:ilvl w:val="0"/>
          <w:numId w:val="2"/>
        </w:numPr>
        <w:spacing w:after="100"/>
      </w:pPr>
      <w:r>
        <w:rPr>
          <w:b/>
          <w:bCs/>
        </w:rPr>
        <w:t xml:space="preserve">WhatsApp: </w:t>
      </w:r>
      <w:r>
        <w:t xml:space="preserve">En Colombia el CPM de Meta ronda los $2 USD (uno de los más bajos de la región, frente a ~$16 en EE.UU.). El CPL estimado va de ~$6.6 USD (restaurantes) a ~$31.8 USD (servicios legales). Hasta el 1 de octubre de 2026 responder a un cliente es gratis; después Meta cobra por mensaje de servicio (~US$0,0085 por mensaje en México). El Meta Business Agent nativo empezó a cobrarse por token desde el 1 de agosto de 2026 (tarifa aún no consolidada); un BSP externo ronda $99–$309 USD/mes. Los agentes de IA en WhatsApp resuelven entre 60–92% de las conversaciones sin intervención humana.</w:t>
      </w:r>
    </w:p>
    <w:p>
      <w:pPr>
        <w:pStyle w:val="ListParagraph"/>
        <w:numPr>
          <w:ilvl w:val="0"/>
          <w:numId w:val="2"/>
        </w:numPr>
        <w:spacing w:after="100"/>
      </w:pPr>
      <w:r>
        <w:rPr>
          <w:b/>
          <w:bCs/>
        </w:rPr>
        <w:t xml:space="preserve">Instagram: </w:t>
      </w:r>
      <w:r>
        <w:t xml:space="preserve">Comparte el motor de subasta de Meta Ads. En Colombia el CPC típico en retail ronda $0.25 USD, con Reels Ads con un CPM 10–20% menor que el feed estático. El CPA aceptable en e-commerce LatAm se ubica entre $5–$15 USD.</w:t>
      </w:r>
    </w:p>
    <w:p>
      <w:pPr>
        <w:pStyle w:val="ListParagraph"/>
        <w:numPr>
          <w:ilvl w:val="0"/>
          <w:numId w:val="2"/>
        </w:numPr>
        <w:spacing w:after="100"/>
      </w:pPr>
      <w:r>
        <w:rPr>
          <w:b/>
          <w:bCs/>
        </w:rPr>
        <w:t xml:space="preserve">TikTok Shop: </w:t>
      </w:r>
      <w:r>
        <w:t xml:space="preserve">No aplica hoy a Colombia (solo México y Brasil). Donde opera: comisión base (referral fee) de 6% en EE.UU. y 9% en el EU5; comisión de afiliado/creador promedio 13% (rango 5%–49%); Fulfillment by TikTok desde $3.58 USD por unidad. El take rate neto reportado por vendedores en EE.UU. promedia ~18.4% de la venta. Regla operativa citada por analistas: el canal necesita ~60% de margen bruto para funcionar el primer año.</w:t>
      </w:r>
    </w:p>
    <w:p>
      <w:pPr>
        <w:pStyle w:val="ListParagraph"/>
        <w:numPr>
          <w:ilvl w:val="0"/>
          <w:numId w:val="2"/>
        </w:numPr>
        <w:spacing w:after="100"/>
      </w:pPr>
      <w:r>
        <w:rPr>
          <w:b/>
          <w:bCs/>
        </w:rPr>
        <w:t xml:space="preserve">Messenger: </w:t>
      </w:r>
      <w:r>
        <w:t xml:space="preserve">Sin comisión de transacción propia; su costo económico es, en la práctica, el mismo de Meta Ads más el costo de mensajería de WhatsApp.</w:t>
      </w:r>
    </w:p>
    <w:p>
      <w:pPr>
        <w:pStyle w:val="Heading2"/>
        <w:spacing w:after="150" w:before="300"/>
      </w:pPr>
      <w:r>
        <w:t xml:space="preserve">7.2 Modelo unitario ilustrativo (producto de $40 USD)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2300"/>
        <w:gridCol w:w="2300"/>
        <w:gridCol w:w="2300"/>
      </w:tblGrid>
      <w:tr>
        <w:tc>
          <w:tcPr>
            <w:tcW w:type="dxa" w:w="2450"/>
            <w:shd w:fill="2563EB" w:val="clear"/>
            <w:tcMar>
              <w:top w:type="dxa" w:w="100"/>
              <w:left w:type="dxa" w:w="120"/>
              <w:bottom w:type="dxa" w:w="100"/>
              <w:right w:type="dxa" w:w="120"/>
            </w:tcMar>
          </w:tcPr>
          <w:p>
            <w:r>
              <w:rPr>
                <w:b/>
                <w:bCs/>
                <w:color w:val="FFFFFF"/>
                <w:sz w:val="20"/>
                <w:szCs w:val="20"/>
              </w:rPr>
              <w:t xml:space="preserve">Variable</w:t>
            </w:r>
          </w:p>
        </w:tc>
        <w:tc>
          <w:tcPr>
            <w:tcW w:type="dxa" w:w="2300"/>
            <w:shd w:fill="2563EB" w:val="clear"/>
            <w:tcMar>
              <w:top w:type="dxa" w:w="100"/>
              <w:left w:type="dxa" w:w="120"/>
              <w:bottom w:type="dxa" w:w="100"/>
              <w:right w:type="dxa" w:w="120"/>
            </w:tcMar>
          </w:tcPr>
          <w:p>
            <w:r>
              <w:rPr>
                <w:b/>
                <w:bCs/>
                <w:color w:val="FFFFFF"/>
                <w:sz w:val="20"/>
                <w:szCs w:val="20"/>
              </w:rPr>
              <w:t xml:space="preserve">WhatsApp (Colombia)</w:t>
            </w:r>
          </w:p>
        </w:tc>
        <w:tc>
          <w:tcPr>
            <w:tcW w:type="dxa" w:w="2300"/>
            <w:shd w:fill="2563EB" w:val="clear"/>
            <w:tcMar>
              <w:top w:type="dxa" w:w="100"/>
              <w:left w:type="dxa" w:w="120"/>
              <w:bottom w:type="dxa" w:w="100"/>
              <w:right w:type="dxa" w:w="120"/>
            </w:tcMar>
          </w:tcPr>
          <w:p>
            <w:r>
              <w:rPr>
                <w:b/>
                <w:bCs/>
                <w:color w:val="FFFFFF"/>
                <w:sz w:val="20"/>
                <w:szCs w:val="20"/>
              </w:rPr>
              <w:t xml:space="preserve">Instagram/Meta Ads (Colombia)</w:t>
            </w:r>
          </w:p>
        </w:tc>
        <w:tc>
          <w:tcPr>
            <w:tcW w:type="dxa" w:w="2300"/>
            <w:shd w:fill="2563EB" w:val="clear"/>
            <w:tcMar>
              <w:top w:type="dxa" w:w="100"/>
              <w:left w:type="dxa" w:w="120"/>
              <w:bottom w:type="dxa" w:w="100"/>
              <w:right w:type="dxa" w:w="120"/>
            </w:tcMar>
          </w:tcPr>
          <w:p>
            <w:r>
              <w:rPr>
                <w:b/>
                <w:bCs/>
                <w:color w:val="FFFFFF"/>
                <w:sz w:val="20"/>
                <w:szCs w:val="20"/>
              </w:rPr>
              <w:t xml:space="preserve">TikTok Shop (referencia MX/BR)</w:t>
            </w:r>
          </w:p>
        </w:tc>
      </w:tr>
      <w:tr>
        <w:tc>
          <w:tcPr>
            <w:tcW w:type="dxa" w:w="2450"/>
            <w:tcMar>
              <w:top w:type="dxa" w:w="100"/>
              <w:left w:type="dxa" w:w="120"/>
              <w:bottom w:type="dxa" w:w="100"/>
              <w:right w:type="dxa" w:w="120"/>
            </w:tcMar>
          </w:tcPr>
          <w:p>
            <w:r>
              <w:rPr>
                <w:b w:val="false"/>
                <w:bCs w:val="false"/>
                <w:sz w:val="20"/>
                <w:szCs w:val="20"/>
              </w:rPr>
              <w:t xml:space="preserve">CPL / adquisición</w:t>
            </w:r>
          </w:p>
        </w:tc>
        <w:tc>
          <w:tcPr>
            <w:tcW w:type="dxa" w:w="2300"/>
            <w:tcMar>
              <w:top w:type="dxa" w:w="100"/>
              <w:left w:type="dxa" w:w="120"/>
              <w:bottom w:type="dxa" w:w="100"/>
              <w:right w:type="dxa" w:w="120"/>
            </w:tcMar>
          </w:tcPr>
          <w:p>
            <w:r>
              <w:rPr>
                <w:b w:val="false"/>
                <w:bCs w:val="false"/>
                <w:sz w:val="20"/>
                <w:szCs w:val="20"/>
              </w:rPr>
              <w:t xml:space="preserve">~$7–$20 USD según industria</w:t>
            </w:r>
          </w:p>
        </w:tc>
        <w:tc>
          <w:tcPr>
            <w:tcW w:type="dxa" w:w="2300"/>
            <w:tcMar>
              <w:top w:type="dxa" w:w="100"/>
              <w:left w:type="dxa" w:w="120"/>
              <w:bottom w:type="dxa" w:w="100"/>
              <w:right w:type="dxa" w:w="120"/>
            </w:tcMar>
          </w:tcPr>
          <w:p>
            <w:r>
              <w:rPr>
                <w:b w:val="false"/>
                <w:bCs w:val="false"/>
                <w:sz w:val="20"/>
                <w:szCs w:val="20"/>
              </w:rPr>
              <w:t xml:space="preserve">~$5–$15 USD</w:t>
            </w:r>
          </w:p>
        </w:tc>
        <w:tc>
          <w:tcPr>
            <w:tcW w:type="dxa" w:w="2300"/>
            <w:tcMar>
              <w:top w:type="dxa" w:w="100"/>
              <w:left w:type="dxa" w:w="120"/>
              <w:bottom w:type="dxa" w:w="100"/>
              <w:right w:type="dxa" w:w="120"/>
            </w:tcMar>
          </w:tcPr>
          <w:p>
            <w:r>
              <w:rPr>
                <w:b w:val="false"/>
                <w:bCs w:val="false"/>
                <w:sz w:val="20"/>
                <w:szCs w:val="20"/>
              </w:rPr>
              <w:t xml:space="preserve">No aplica (orgánico + pauta propia)</w:t>
            </w:r>
          </w:p>
        </w:tc>
      </w:tr>
      <w:tr>
        <w:tc>
          <w:tcPr>
            <w:tcW w:type="dxa" w:w="2450"/>
            <w:tcMar>
              <w:top w:type="dxa" w:w="100"/>
              <w:left w:type="dxa" w:w="120"/>
              <w:bottom w:type="dxa" w:w="100"/>
              <w:right w:type="dxa" w:w="120"/>
            </w:tcMar>
          </w:tcPr>
          <w:p>
            <w:r>
              <w:rPr>
                <w:b w:val="false"/>
                <w:bCs w:val="false"/>
                <w:sz w:val="20"/>
                <w:szCs w:val="20"/>
              </w:rPr>
              <w:t xml:space="preserve">Conversión lead→venta</w:t>
            </w:r>
          </w:p>
        </w:tc>
        <w:tc>
          <w:tcPr>
            <w:tcW w:type="dxa" w:w="2300"/>
            <w:tcMar>
              <w:top w:type="dxa" w:w="100"/>
              <w:left w:type="dxa" w:w="120"/>
              <w:bottom w:type="dxa" w:w="100"/>
              <w:right w:type="dxa" w:w="120"/>
            </w:tcMar>
          </w:tcPr>
          <w:p>
            <w:r>
              <w:rPr>
                <w:b w:val="false"/>
                <w:bCs w:val="false"/>
                <w:sz w:val="20"/>
                <w:szCs w:val="20"/>
              </w:rPr>
              <w:t xml:space="preserve">Alta con respuesta &lt;1 min; cae &gt;50% si tarda 15–30 min</w:t>
            </w:r>
          </w:p>
        </w:tc>
        <w:tc>
          <w:tcPr>
            <w:tcW w:type="dxa" w:w="2300"/>
            <w:tcMar>
              <w:top w:type="dxa" w:w="100"/>
              <w:left w:type="dxa" w:w="120"/>
              <w:bottom w:type="dxa" w:w="100"/>
              <w:right w:type="dxa" w:w="120"/>
            </w:tcMar>
          </w:tcPr>
          <w:p>
            <w:r>
              <w:rPr>
                <w:b w:val="false"/>
                <w:bCs w:val="false"/>
                <w:sz w:val="20"/>
                <w:szCs w:val="20"/>
              </w:rPr>
              <w:t xml:space="preserve">Depende del embudo posterior al clic</w:t>
            </w:r>
          </w:p>
        </w:tc>
        <w:tc>
          <w:tcPr>
            <w:tcW w:type="dxa" w:w="2300"/>
            <w:tcMar>
              <w:top w:type="dxa" w:w="100"/>
              <w:left w:type="dxa" w:w="120"/>
              <w:bottom w:type="dxa" w:w="100"/>
              <w:right w:type="dxa" w:w="120"/>
            </w:tcMar>
          </w:tcPr>
          <w:p>
            <w:r>
              <w:rPr>
                <w:b w:val="false"/>
                <w:bCs w:val="false"/>
                <w:sz w:val="20"/>
                <w:szCs w:val="20"/>
              </w:rPr>
              <w:t xml:space="preserve">Alta si se concentra en pocos creadores top</w:t>
            </w:r>
          </w:p>
        </w:tc>
      </w:tr>
      <w:tr>
        <w:tc>
          <w:tcPr>
            <w:tcW w:type="dxa" w:w="2450"/>
            <w:tcMar>
              <w:top w:type="dxa" w:w="100"/>
              <w:left w:type="dxa" w:w="120"/>
              <w:bottom w:type="dxa" w:w="100"/>
              <w:right w:type="dxa" w:w="120"/>
            </w:tcMar>
          </w:tcPr>
          <w:p>
            <w:r>
              <w:rPr>
                <w:b w:val="false"/>
                <w:bCs w:val="false"/>
                <w:sz w:val="20"/>
                <w:szCs w:val="20"/>
              </w:rPr>
              <w:t xml:space="preserve">Comisión de plataforma</w:t>
            </w:r>
          </w:p>
        </w:tc>
        <w:tc>
          <w:tcPr>
            <w:tcW w:type="dxa" w:w="2300"/>
            <w:tcMar>
              <w:top w:type="dxa" w:w="100"/>
              <w:left w:type="dxa" w:w="120"/>
              <w:bottom w:type="dxa" w:w="100"/>
              <w:right w:type="dxa" w:w="120"/>
            </w:tcMar>
          </w:tcPr>
          <w:p>
            <w:r>
              <w:rPr>
                <w:b w:val="false"/>
                <w:bCs w:val="false"/>
                <w:sz w:val="20"/>
                <w:szCs w:val="20"/>
              </w:rPr>
              <w:t xml:space="preserve">0% (sin marketplace)</w:t>
            </w:r>
          </w:p>
        </w:tc>
        <w:tc>
          <w:tcPr>
            <w:tcW w:type="dxa" w:w="2300"/>
            <w:tcMar>
              <w:top w:type="dxa" w:w="100"/>
              <w:left w:type="dxa" w:w="120"/>
              <w:bottom w:type="dxa" w:w="100"/>
              <w:right w:type="dxa" w:w="120"/>
            </w:tcMar>
          </w:tcPr>
          <w:p>
            <w:r>
              <w:rPr>
                <w:b w:val="false"/>
                <w:bCs w:val="false"/>
                <w:sz w:val="20"/>
                <w:szCs w:val="20"/>
              </w:rPr>
              <w:t xml:space="preserve">0% directo (+ comisión de afiliado si aplica)</w:t>
            </w:r>
          </w:p>
        </w:tc>
        <w:tc>
          <w:tcPr>
            <w:tcW w:type="dxa" w:w="2300"/>
            <w:tcMar>
              <w:top w:type="dxa" w:w="100"/>
              <w:left w:type="dxa" w:w="120"/>
              <w:bottom w:type="dxa" w:w="100"/>
              <w:right w:type="dxa" w:w="120"/>
            </w:tcMar>
          </w:tcPr>
          <w:p>
            <w:r>
              <w:rPr>
                <w:b w:val="false"/>
                <w:bCs w:val="false"/>
                <w:sz w:val="20"/>
                <w:szCs w:val="20"/>
              </w:rPr>
              <w:t xml:space="preserve">6–9% + comisión de creador (13% prom.)</w:t>
            </w:r>
          </w:p>
        </w:tc>
      </w:tr>
      <w:tr>
        <w:tc>
          <w:tcPr>
            <w:tcW w:type="dxa" w:w="2450"/>
            <w:tcMar>
              <w:top w:type="dxa" w:w="100"/>
              <w:left w:type="dxa" w:w="120"/>
              <w:bottom w:type="dxa" w:w="100"/>
              <w:right w:type="dxa" w:w="120"/>
            </w:tcMar>
          </w:tcPr>
          <w:p>
            <w:r>
              <w:rPr>
                <w:b w:val="false"/>
                <w:bCs w:val="false"/>
                <w:sz w:val="20"/>
                <w:szCs w:val="20"/>
              </w:rPr>
              <w:t xml:space="preserve">Costo operativo/mensaje</w:t>
            </w:r>
          </w:p>
        </w:tc>
        <w:tc>
          <w:tcPr>
            <w:tcW w:type="dxa" w:w="2300"/>
            <w:tcMar>
              <w:top w:type="dxa" w:w="100"/>
              <w:left w:type="dxa" w:w="120"/>
              <w:bottom w:type="dxa" w:w="100"/>
              <w:right w:type="dxa" w:w="120"/>
            </w:tcMar>
          </w:tcPr>
          <w:p>
            <w:r>
              <w:rPr>
                <w:b w:val="false"/>
                <w:bCs w:val="false"/>
                <w:sz w:val="20"/>
                <w:szCs w:val="20"/>
              </w:rPr>
              <w:t xml:space="preserve">~$0.0085–$0.16 USD desde oct. 2026</w:t>
            </w:r>
          </w:p>
        </w:tc>
        <w:tc>
          <w:tcPr>
            <w:tcW w:type="dxa" w:w="2300"/>
            <w:tcMar>
              <w:top w:type="dxa" w:w="100"/>
              <w:left w:type="dxa" w:w="120"/>
              <w:bottom w:type="dxa" w:w="100"/>
              <w:right w:type="dxa" w:w="120"/>
            </w:tcMar>
          </w:tcPr>
          <w:p>
            <w:r>
              <w:rPr>
                <w:b w:val="false"/>
                <w:bCs w:val="false"/>
                <w:sz w:val="20"/>
                <w:szCs w:val="20"/>
              </w:rPr>
              <w:t xml:space="preserve">Igual que WhatsApp si se usa el mismo agente</w:t>
            </w:r>
          </w:p>
        </w:tc>
        <w:tc>
          <w:tcPr>
            <w:tcW w:type="dxa" w:w="2300"/>
            <w:tcMar>
              <w:top w:type="dxa" w:w="100"/>
              <w:left w:type="dxa" w:w="120"/>
              <w:bottom w:type="dxa" w:w="100"/>
              <w:right w:type="dxa" w:w="120"/>
            </w:tcMar>
          </w:tcPr>
          <w:p>
            <w:r>
              <w:rPr>
                <w:b w:val="false"/>
                <w:bCs w:val="false"/>
                <w:sz w:val="20"/>
                <w:szCs w:val="20"/>
              </w:rPr>
              <w:t xml:space="preserve">Incluido en la comisión</w:t>
            </w:r>
          </w:p>
        </w:tc>
      </w:tr>
      <w:tr>
        <w:tc>
          <w:tcPr>
            <w:tcW w:type="dxa" w:w="2450"/>
            <w:tcMar>
              <w:top w:type="dxa" w:w="100"/>
              <w:left w:type="dxa" w:w="120"/>
              <w:bottom w:type="dxa" w:w="100"/>
              <w:right w:type="dxa" w:w="120"/>
            </w:tcMar>
          </w:tcPr>
          <w:p>
            <w:r>
              <w:rPr>
                <w:b w:val="false"/>
                <w:bCs w:val="false"/>
                <w:sz w:val="20"/>
                <w:szCs w:val="20"/>
              </w:rPr>
              <w:t xml:space="preserve">Margen bruto mínimo requerido</w:t>
            </w:r>
          </w:p>
        </w:tc>
        <w:tc>
          <w:tcPr>
            <w:tcW w:type="dxa" w:w="2300"/>
            <w:tcMar>
              <w:top w:type="dxa" w:w="100"/>
              <w:left w:type="dxa" w:w="120"/>
              <w:bottom w:type="dxa" w:w="100"/>
              <w:right w:type="dxa" w:w="120"/>
            </w:tcMar>
          </w:tcPr>
          <w:p>
            <w:r>
              <w:rPr>
                <w:b w:val="false"/>
                <w:bCs w:val="false"/>
                <w:sz w:val="20"/>
                <w:szCs w:val="20"/>
              </w:rPr>
              <w:t xml:space="preserve">Bajo (canal de cierre)</w:t>
            </w:r>
          </w:p>
        </w:tc>
        <w:tc>
          <w:tcPr>
            <w:tcW w:type="dxa" w:w="2300"/>
            <w:tcMar>
              <w:top w:type="dxa" w:w="100"/>
              <w:left w:type="dxa" w:w="120"/>
              <w:bottom w:type="dxa" w:w="100"/>
              <w:right w:type="dxa" w:w="120"/>
            </w:tcMar>
          </w:tcPr>
          <w:p>
            <w:r>
              <w:rPr>
                <w:b w:val="false"/>
                <w:bCs w:val="false"/>
                <w:sz w:val="20"/>
                <w:szCs w:val="20"/>
              </w:rPr>
              <w:t xml:space="preserve">Bajo</w:t>
            </w:r>
          </w:p>
        </w:tc>
        <w:tc>
          <w:tcPr>
            <w:tcW w:type="dxa" w:w="2300"/>
            <w:tcMar>
              <w:top w:type="dxa" w:w="100"/>
              <w:left w:type="dxa" w:w="120"/>
              <w:bottom w:type="dxa" w:w="100"/>
              <w:right w:type="dxa" w:w="120"/>
            </w:tcMar>
          </w:tcPr>
          <w:p>
            <w:r>
              <w:rPr>
                <w:b w:val="false"/>
                <w:bCs w:val="false"/>
                <w:sz w:val="20"/>
                <w:szCs w:val="20"/>
              </w:rPr>
              <w:t xml:space="preserve">~60% el primer año</w:t>
            </w:r>
          </w:p>
        </w:tc>
      </w:tr>
    </w:tbl>
    <w:p>
      <w:pPr>
        <w:spacing w:after="160"/>
      </w:pPr>
      <w:r>
        <w:t xml:space="preserve">Lectura honesta: WhatsApp e Instagram no cobran comisión por venta — su costo vive en la adquisición del lead y en el mensaje; TikTok Shop sí cobra comisión de marketplace, por lo que solo es rentable con productos de margen alto (belleza, moda), no con productos de margen ajustado.</w:t>
      </w:r>
    </w:p>
    <w:p>
      <w:pPr>
        <w:pStyle w:val="Heading2"/>
        <w:spacing w:after="150" w:before="300"/>
      </w:pPr>
      <w:r>
        <w:t xml:space="preserve">7.3 Palancas de mejora por canal</w:t>
      </w:r>
    </w:p>
    <w:p>
      <w:pPr>
        <w:pStyle w:val="ListParagraph"/>
        <w:numPr>
          <w:ilvl w:val="0"/>
          <w:numId w:val="2"/>
        </w:numPr>
        <w:spacing w:after="100"/>
      </w:pPr>
      <w:r>
        <w:rPr>
          <w:b/>
          <w:bCs/>
        </w:rPr>
        <w:t xml:space="preserve">WhatsApp: </w:t>
      </w:r>
      <w:r>
        <w:t xml:space="preserve">El costo por lead calificado y el tiempo de primera respuesta importan más que el costo por mensaje. Cerrar el loop de atribución con Conversions API (CAPI) es la mejora de mayor impacto reportada en 2026.</w:t>
      </w:r>
    </w:p>
    <w:p>
      <w:pPr>
        <w:pStyle w:val="ListParagraph"/>
        <w:numPr>
          <w:ilvl w:val="0"/>
          <w:numId w:val="2"/>
        </w:numPr>
        <w:spacing w:after="100"/>
      </w:pPr>
      <w:r>
        <w:rPr>
          <w:b/>
          <w:bCs/>
        </w:rPr>
        <w:t xml:space="preserve">Instagram: </w:t>
      </w:r>
      <w:r>
        <w:t xml:space="preserve">El creativo explica 50–70% del rendimiento de la campaña; el video tipo UGC baja el CPA 30–50% frente a imagen estática.</w:t>
      </w:r>
    </w:p>
    <w:p>
      <w:pPr>
        <w:pStyle w:val="ListParagraph"/>
        <w:numPr>
          <w:ilvl w:val="0"/>
          <w:numId w:val="2"/>
        </w:numPr>
        <w:spacing w:after="100"/>
      </w:pPr>
      <w:r>
        <w:rPr>
          <w:b/>
          <w:bCs/>
        </w:rPr>
        <w:t xml:space="preserve">TikTok Shop: </w:t>
      </w:r>
      <w:r>
        <w:t xml:space="preserve">La concentración en 5–10 creadores suele generar más del 80% del GMV mensual — negociar bien con pocos creadores de alto desempeño rinde más que reclutar masivamente afiliados.</w:t>
      </w:r>
    </w:p>
    <w:p>
      <w:pPr>
        <w:spacing w:after="160"/>
      </w:pPr>
      <w:r>
        <w:t xml:space="preserve">Nota de honestidad: esta es una estimación informada con las mejores fuentes públicas disponibles, no una medición directa de campañas propias. Para un modelo financiero unitario defendible ante inversionistas se necesita CPL propio medido en un piloto de 4–6 semanas, tasa de conversión real, margen bruto real por SKU y costo de servicio medido en volumen real.</w:t>
      </w:r>
    </w:p>
    <w:p>
      <w:pPr>
        <w:pStyle w:val="Heading1"/>
        <w:spacing w:after="200" w:before="400"/>
      </w:pPr>
      <w:r>
        <w:t xml:space="preserve">8. Arquitectura objetivo</w:t>
      </w:r>
    </w:p>
    <w:p>
      <w:pPr>
        <w:spacing w:after="160"/>
      </w:pPr>
      <w:r>
        <w:t xml:space="preserve">La arquitectura debe ser modular y separada por capas, de forma que sea posible crecer sin reescribir la operación cada vez que se suma un canal o país:</w:t>
      </w:r>
    </w:p>
    <w:p>
      <w:pPr>
        <w:pStyle w:val="ListParagraph"/>
        <w:numPr>
          <w:ilvl w:val="0"/>
          <w:numId w:val="2"/>
        </w:numPr>
        <w:spacing w:after="100"/>
      </w:pPr>
      <w:r>
        <w:rPr>
          <w:b/>
          <w:bCs/>
        </w:rPr>
        <w:t xml:space="preserve">Datos: </w:t>
      </w:r>
      <w:r>
        <w:t xml:space="preserve">Catálogo, stock, precio, atributos y políticas.</w:t>
      </w:r>
    </w:p>
    <w:p>
      <w:pPr>
        <w:pStyle w:val="ListParagraph"/>
        <w:numPr>
          <w:ilvl w:val="0"/>
          <w:numId w:val="2"/>
        </w:numPr>
        <w:spacing w:after="100"/>
      </w:pPr>
      <w:r>
        <w:rPr>
          <w:b/>
          <w:bCs/>
        </w:rPr>
        <w:t xml:space="preserve">Orquestación: </w:t>
      </w:r>
      <w:r>
        <w:t xml:space="preserve">Reglas, flujos, validaciones y decisiones (negociación UCP).</w:t>
      </w:r>
    </w:p>
    <w:p>
      <w:pPr>
        <w:pStyle w:val="ListParagraph"/>
        <w:numPr>
          <w:ilvl w:val="0"/>
          <w:numId w:val="2"/>
        </w:numPr>
        <w:spacing w:after="100"/>
      </w:pPr>
      <w:r>
        <w:rPr>
          <w:b/>
          <w:bCs/>
        </w:rPr>
        <w:t xml:space="preserve">Pago: </w:t>
      </w:r>
      <w:r>
        <w:t xml:space="preserve">Autorización, tokenización, conciliación (mandatos AP2).</w:t>
      </w:r>
    </w:p>
    <w:p>
      <w:pPr>
        <w:pStyle w:val="ListParagraph"/>
        <w:numPr>
          <w:ilvl w:val="0"/>
          <w:numId w:val="2"/>
        </w:numPr>
        <w:spacing w:after="100"/>
      </w:pPr>
      <w:r>
        <w:rPr>
          <w:b/>
          <w:bCs/>
        </w:rPr>
        <w:t xml:space="preserve">Confianza: </w:t>
      </w:r>
      <w:r>
        <w:t xml:space="preserve">Identidad, permisos, revocación, auditoría.</w:t>
      </w:r>
    </w:p>
    <w:p>
      <w:pPr>
        <w:pStyle w:val="ListParagraph"/>
        <w:numPr>
          <w:ilvl w:val="0"/>
          <w:numId w:val="2"/>
        </w:numPr>
        <w:spacing w:after="100"/>
      </w:pPr>
      <w:r>
        <w:rPr>
          <w:b/>
          <w:bCs/>
        </w:rPr>
        <w:t xml:space="preserve">Observabilidad: </w:t>
      </w:r>
      <w:r>
        <w:t xml:space="preserve">Métricas, alertas, trazabilidad y seguridad.</w:t>
      </w:r>
    </w:p>
    <w:p>
      <w:pPr>
        <w:pStyle w:val="ListParagraph"/>
        <w:numPr>
          <w:ilvl w:val="0"/>
          <w:numId w:val="2"/>
        </w:numPr>
        <w:spacing w:after="100"/>
      </w:pPr>
      <w:r>
        <w:rPr>
          <w:b/>
          <w:bCs/>
        </w:rPr>
        <w:t xml:space="preserve">Canales: </w:t>
      </w:r>
      <w:r>
        <w:t xml:space="preserve">WhatsApp, Instagram, TikTok y Messenger conectados a la misma lógica central.</w:t>
      </w:r>
    </w:p>
    <w:p>
      <w:pPr>
        <w:pStyle w:val="Heading1"/>
        <w:spacing w:after="200" w:before="400"/>
      </w:pPr>
      <w:r>
        <w:t xml:space="preserve">9. MVP y roadmap</w:t>
      </w:r>
    </w:p>
    <w:p>
      <w:pPr>
        <w:spacing w:after="160"/>
      </w:pPr>
      <w:r>
        <w:t xml:space="preserve">El MVP no debe intentar resolver todo el comercio; debe validar una sola tarea de alto valor. Secuencia recomendada:</w:t>
      </w:r>
    </w:p>
    <w:p>
      <w:pPr>
        <w:pStyle w:val="ListParagraph"/>
        <w:numPr>
          <w:ilvl w:val="0"/>
          <w:numId w:val="2"/>
        </w:numPr>
        <w:spacing w:after="100"/>
      </w:pPr>
      <w:r>
        <w:t xml:space="preserve">Validar un caso de uso concreto en una vertical de alta recurrencia.</w:t>
      </w:r>
    </w:p>
    <w:p>
      <w:pPr>
        <w:pStyle w:val="ListParagraph"/>
        <w:numPr>
          <w:ilvl w:val="0"/>
          <w:numId w:val="2"/>
        </w:numPr>
        <w:spacing w:after="100"/>
      </w:pPr>
      <w:r>
        <w:t xml:space="preserve">Probar conversación y conversión en un solo canal.</w:t>
      </w:r>
    </w:p>
    <w:p>
      <w:pPr>
        <w:pStyle w:val="ListParagraph"/>
        <w:numPr>
          <w:ilvl w:val="0"/>
          <w:numId w:val="2"/>
        </w:numPr>
        <w:spacing w:after="100"/>
      </w:pPr>
      <w:r>
        <w:t xml:space="preserve">Integrar autorización (AP2) y pago (catálogo UCP + checkout).</w:t>
      </w:r>
    </w:p>
    <w:p>
      <w:pPr>
        <w:pStyle w:val="ListParagraph"/>
        <w:numPr>
          <w:ilvl w:val="0"/>
          <w:numId w:val="2"/>
        </w:numPr>
        <w:spacing w:after="100"/>
      </w:pPr>
      <w:r>
        <w:t xml:space="preserve">Conectar fulfillment, facturación y posventa.</w:t>
      </w:r>
    </w:p>
    <w:p>
      <w:pPr>
        <w:pStyle w:val="ListParagraph"/>
        <w:numPr>
          <w:ilvl w:val="0"/>
          <w:numId w:val="2"/>
        </w:numPr>
        <w:spacing w:after="100"/>
      </w:pPr>
      <w:r>
        <w:t xml:space="preserve">Escalar por vertical y por canal adicional.</w:t>
      </w:r>
    </w:p>
    <w:p>
      <w:pPr>
        <w:pStyle w:val="ListParagraph"/>
        <w:numPr>
          <w:ilvl w:val="0"/>
          <w:numId w:val="2"/>
        </w:numPr>
        <w:spacing w:after="100"/>
      </w:pPr>
      <w:r>
        <w:t xml:space="preserve">Expandir por país cuando la tasa de éxito sea repetible.</w:t>
      </w:r>
    </w:p>
    <w:p>
      <w:pPr>
        <w:spacing w:after="160"/>
      </w:pPr>
      <w:r>
        <w:t xml:space="preserve">El objetivo del MVP es demostrar que el sistema convierte y se puede operar con control, no verse grande desde el inicio.</w:t>
      </w:r>
    </w:p>
    <w:p>
      <w:pPr>
        <w:pStyle w:val="Heading1"/>
        <w:spacing w:after="200" w:before="400"/>
      </w:pPr>
      <w:r>
        <w:t xml:space="preserve">10. Expansión Colombia → LATAM → global</w:t>
      </w:r>
    </w:p>
    <w:p>
      <w:pPr>
        <w:spacing w:after="160"/>
      </w:pPr>
      <w:r>
        <w:t xml:space="preserve">Colombia sirve como laboratorio por madurez digital y oportunidad de mejora operativa. LATAM es la siguiente capa lógica porque comparte fricciones, canales y patrones de compra. La expansión global solo tiene sentido cuando la arquitectura ya soporta seguridad, trazabilidad, estandarización y adaptabilidad regulatoria. La expansión correcta no es solo geográfica: es replicable por vertical, canal y tipo de operación.</w:t>
      </w:r>
    </w:p>
    <w:p>
      <w:pPr>
        <w:pStyle w:val="Heading1"/>
        <w:spacing w:after="200" w:before="400"/>
      </w:pPr>
      <w:r>
        <w:t xml:space="preserve">11. Riesgos, supuestos y mitigaciones</w:t>
      </w:r>
    </w:p>
    <w:p>
      <w:pPr>
        <w:spacing w:after="120"/>
      </w:pPr>
      <w:r>
        <w:rPr>
          <w:b/>
          <w:bCs/>
        </w:rPr>
        <w:t xml:space="preserve">Riesgos principales</w:t>
      </w:r>
    </w:p>
    <w:p>
      <w:pPr>
        <w:pStyle w:val="ListParagraph"/>
        <w:numPr>
          <w:ilvl w:val="0"/>
          <w:numId w:val="2"/>
        </w:numPr>
        <w:spacing w:after="100"/>
      </w:pPr>
      <w:r>
        <w:t xml:space="preserve">Fraude y suplantación de identidad.</w:t>
      </w:r>
    </w:p>
    <w:p>
      <w:pPr>
        <w:pStyle w:val="ListParagraph"/>
        <w:numPr>
          <w:ilvl w:val="0"/>
          <w:numId w:val="2"/>
        </w:numPr>
        <w:spacing w:after="100"/>
      </w:pPr>
      <w:r>
        <w:t xml:space="preserve">Compras fuera del alcance autorizado.</w:t>
      </w:r>
    </w:p>
    <w:p>
      <w:pPr>
        <w:pStyle w:val="ListParagraph"/>
        <w:numPr>
          <w:ilvl w:val="0"/>
          <w:numId w:val="2"/>
        </w:numPr>
        <w:spacing w:after="100"/>
      </w:pPr>
      <w:r>
        <w:t xml:space="preserve">Errores de ejecución del agente.</w:t>
      </w:r>
    </w:p>
    <w:p>
      <w:pPr>
        <w:pStyle w:val="ListParagraph"/>
        <w:numPr>
          <w:ilvl w:val="0"/>
          <w:numId w:val="2"/>
        </w:numPr>
        <w:spacing w:after="100"/>
      </w:pPr>
      <w:r>
        <w:t xml:space="preserve">Baja adopción por parte del usuario final.</w:t>
      </w:r>
    </w:p>
    <w:p>
      <w:pPr>
        <w:pStyle w:val="ListParagraph"/>
        <w:numPr>
          <w:ilvl w:val="0"/>
          <w:numId w:val="2"/>
        </w:numPr>
        <w:spacing w:after="100"/>
      </w:pPr>
      <w:r>
        <w:t xml:space="preserve">Fricción regulatoria (Ley 2573, Ley 1581).</w:t>
      </w:r>
    </w:p>
    <w:p>
      <w:pPr>
        <w:pStyle w:val="ListParagraph"/>
        <w:numPr>
          <w:ilvl w:val="0"/>
          <w:numId w:val="2"/>
        </w:numPr>
        <w:spacing w:after="100"/>
      </w:pPr>
      <w:r>
        <w:t xml:space="preserve">Unit economics débiles si no se controla el CAC por canal.</w:t>
      </w:r>
    </w:p>
    <w:p>
      <w:pPr>
        <w:pStyle w:val="ListParagraph"/>
        <w:numPr>
          <w:ilvl w:val="0"/>
          <w:numId w:val="2"/>
        </w:numPr>
        <w:spacing w:after="100"/>
      </w:pPr>
      <w:r>
        <w:t xml:space="preserve">Dependencia de la hoja de ruta de monetización de Meta y de la adopción de protocolos por parte de terceros.</w:t>
      </w:r>
    </w:p>
    <w:p>
      <w:pPr>
        <w:spacing w:after="120"/>
      </w:pPr>
      <w:r>
        <w:rPr>
          <w:b/>
          <w:bCs/>
        </w:rPr>
        <w:t xml:space="preserve">Supuestos críticos</w:t>
      </w:r>
    </w:p>
    <w:p>
      <w:pPr>
        <w:pStyle w:val="ListParagraph"/>
        <w:numPr>
          <w:ilvl w:val="0"/>
          <w:numId w:val="2"/>
        </w:numPr>
        <w:spacing w:after="100"/>
      </w:pPr>
      <w:r>
        <w:t xml:space="preserve">El usuario delegará parte de la decisión de compra a un agente bajo límites definidos.</w:t>
      </w:r>
    </w:p>
    <w:p>
      <w:pPr>
        <w:pStyle w:val="ListParagraph"/>
        <w:numPr>
          <w:ilvl w:val="0"/>
          <w:numId w:val="2"/>
        </w:numPr>
        <w:spacing w:after="100"/>
      </w:pPr>
      <w:r>
        <w:t xml:space="preserve">El canal elegido efectivamente convierte al costo de adquisición estimado.</w:t>
      </w:r>
    </w:p>
    <w:p>
      <w:pPr>
        <w:pStyle w:val="ListParagraph"/>
        <w:numPr>
          <w:ilvl w:val="0"/>
          <w:numId w:val="2"/>
        </w:numPr>
        <w:spacing w:after="100"/>
      </w:pPr>
      <w:r>
        <w:t xml:space="preserve">El catálogo del comercio puede normalizarse a un costo razonable.</w:t>
      </w:r>
    </w:p>
    <w:p>
      <w:pPr>
        <w:pStyle w:val="ListParagraph"/>
        <w:numPr>
          <w:ilvl w:val="0"/>
          <w:numId w:val="2"/>
        </w:numPr>
        <w:spacing w:after="100"/>
      </w:pPr>
      <w:r>
        <w:t xml:space="preserve">El costo de adquisición se mantiene menor que el valor generado por transacción.</w:t>
      </w:r>
    </w:p>
    <w:p>
      <w:pPr>
        <w:spacing w:after="120"/>
      </w:pPr>
      <w:r>
        <w:rPr>
          <w:b/>
          <w:bCs/>
        </w:rPr>
        <w:t xml:space="preserve">Mitigaciones</w:t>
      </w:r>
    </w:p>
    <w:p>
      <w:pPr>
        <w:pStyle w:val="ListParagraph"/>
        <w:numPr>
          <w:ilvl w:val="0"/>
          <w:numId w:val="2"/>
        </w:numPr>
        <w:spacing w:after="100"/>
      </w:pPr>
      <w:r>
        <w:t xml:space="preserve">Límites de autorización y validación humana en etapas tempranas.</w:t>
      </w:r>
    </w:p>
    <w:p>
      <w:pPr>
        <w:pStyle w:val="ListParagraph"/>
        <w:numPr>
          <w:ilvl w:val="0"/>
          <w:numId w:val="2"/>
        </w:numPr>
        <w:spacing w:after="100"/>
      </w:pPr>
      <w:r>
        <w:t xml:space="preserve">Métricas por canal y trazabilidad total desde el diseño.</w:t>
      </w:r>
    </w:p>
    <w:p>
      <w:pPr>
        <w:pStyle w:val="ListParagraph"/>
        <w:numPr>
          <w:ilvl w:val="0"/>
          <w:numId w:val="2"/>
        </w:numPr>
        <w:spacing w:after="100"/>
      </w:pPr>
      <w:r>
        <w:t xml:space="preserve">Despliegue gradual por vertical, con piloto antes de escalar.</w:t>
      </w:r>
    </w:p>
    <w:p>
      <w:pPr>
        <w:pStyle w:val="ListParagraph"/>
        <w:numPr>
          <w:ilvl w:val="0"/>
          <w:numId w:val="2"/>
        </w:numPr>
        <w:spacing w:after="100"/>
      </w:pPr>
      <w:r>
        <w:t xml:space="preserve">Asesoría legal específica para cumplimiento de Ley 2573 y Ley 1581 antes de habilitar crédito o cuotas.</w:t>
      </w:r>
    </w:p>
    <w:p>
      <w:pPr>
        <w:pStyle w:val="Heading1"/>
        <w:spacing w:after="200" w:before="400"/>
      </w:pPr>
      <w:r>
        <w:t xml:space="preserve">12. Checklist operativo final</w:t>
      </w:r>
    </w:p>
    <w:p>
      <w:pPr>
        <w:pStyle w:val="Heading2"/>
        <w:spacing w:after="150" w:before="300"/>
      </w:pPr>
      <w:r>
        <w:t xml:space="preserve">Protocolo</w:t>
      </w:r>
    </w:p>
    <w:p>
      <w:pPr>
        <w:pStyle w:val="ListParagraph"/>
        <w:numPr>
          <w:ilvl w:val="0"/>
          <w:numId w:val="2"/>
        </w:numPr>
        <w:spacing w:after="100"/>
      </w:pPr>
      <w:r>
        <w:t xml:space="preserve">¿El catálogo está publicado en formato compatible con UCP?</w:t>
      </w:r>
    </w:p>
    <w:p>
      <w:pPr>
        <w:pStyle w:val="ListParagraph"/>
        <w:numPr>
          <w:ilvl w:val="0"/>
          <w:numId w:val="2"/>
        </w:numPr>
        <w:spacing w:after="100"/>
      </w:pPr>
      <w:r>
        <w:t xml:space="preserve">¿La pasarela soporta mandatos AP2 (directo o vía Stripe/Adyen)?</w:t>
      </w:r>
    </w:p>
    <w:p>
      <w:pPr>
        <w:pStyle w:val="ListParagraph"/>
        <w:numPr>
          <w:ilvl w:val="0"/>
          <w:numId w:val="2"/>
        </w:numPr>
        <w:spacing w:after="100"/>
      </w:pPr>
      <w:r>
        <w:t xml:space="preserve">¿Está definido si se vende vía ACP (ChatGPT/Copilot), Google (UCP) o Meta (agente comercial propio)?</w:t>
      </w:r>
    </w:p>
    <w:p>
      <w:pPr>
        <w:pStyle w:val="ListParagraph"/>
        <w:numPr>
          <w:ilvl w:val="0"/>
          <w:numId w:val="2"/>
        </w:numPr>
        <w:spacing w:after="100"/>
      </w:pPr>
      <w:r>
        <w:t xml:space="preserve">¿Existe un plan de traducción entre redes de tarjetas si el mandato viene de un agente y no de un humano presente?</w:t>
      </w:r>
    </w:p>
    <w:p>
      <w:pPr>
        <w:pStyle w:val="Heading2"/>
        <w:spacing w:after="150" w:before="300"/>
      </w:pPr>
      <w:r>
        <w:t xml:space="preserve">Gobernanza</w:t>
      </w:r>
    </w:p>
    <w:p>
      <w:pPr>
        <w:pStyle w:val="ListParagraph"/>
        <w:numPr>
          <w:ilvl w:val="0"/>
          <w:numId w:val="2"/>
        </w:numPr>
        <w:spacing w:after="100"/>
      </w:pPr>
      <w:r>
        <w:t xml:space="preserve">Mandatos revocables en cualquier momento.</w:t>
      </w:r>
    </w:p>
    <w:p>
      <w:pPr>
        <w:pStyle w:val="ListParagraph"/>
        <w:numPr>
          <w:ilvl w:val="0"/>
          <w:numId w:val="2"/>
        </w:numPr>
        <w:spacing w:after="100"/>
      </w:pPr>
      <w:r>
        <w:t xml:space="preserve">Límites de gasto por categoría, no solo por monto total.</w:t>
      </w:r>
    </w:p>
    <w:p>
      <w:pPr>
        <w:pStyle w:val="ListParagraph"/>
        <w:numPr>
          <w:ilvl w:val="0"/>
          <w:numId w:val="2"/>
        </w:numPr>
        <w:spacing w:after="100"/>
      </w:pPr>
      <w:r>
        <w:t xml:space="preserve">Registro auditable compatible con Verifiable Intent.</w:t>
      </w:r>
    </w:p>
    <w:p>
      <w:pPr>
        <w:pStyle w:val="ListParagraph"/>
        <w:numPr>
          <w:ilvl w:val="0"/>
          <w:numId w:val="2"/>
        </w:numPr>
        <w:spacing w:after="100"/>
      </w:pPr>
      <w:r>
        <w:t xml:space="preserve">Responsabilidad definida ante compras fuera de límites autorizados.</w:t>
      </w:r>
    </w:p>
    <w:p>
      <w:pPr>
        <w:pStyle w:val="Heading2"/>
        <w:spacing w:after="150" w:before="300"/>
      </w:pPr>
      <w:r>
        <w:t xml:space="preserve">Comercial y técnico</w:t>
      </w:r>
    </w:p>
    <w:p>
      <w:pPr>
        <w:pStyle w:val="ListParagraph"/>
        <w:numPr>
          <w:ilvl w:val="0"/>
          <w:numId w:val="2"/>
        </w:numPr>
        <w:spacing w:after="100"/>
      </w:pPr>
      <w:r>
        <w:t xml:space="preserve">Propuesta de valor clara y vertical definido.</w:t>
      </w:r>
    </w:p>
    <w:p>
      <w:pPr>
        <w:pStyle w:val="ListParagraph"/>
        <w:numPr>
          <w:ilvl w:val="0"/>
          <w:numId w:val="2"/>
        </w:numPr>
        <w:spacing w:after="100"/>
      </w:pPr>
      <w:r>
        <w:t xml:space="preserve">Ticket y margen conocidos; conversión medible.</w:t>
      </w:r>
    </w:p>
    <w:p>
      <w:pPr>
        <w:pStyle w:val="ListParagraph"/>
        <w:numPr>
          <w:ilvl w:val="0"/>
          <w:numId w:val="2"/>
        </w:numPr>
        <w:spacing w:after="100"/>
      </w:pPr>
      <w:r>
        <w:t xml:space="preserve">Catálogo estructurado; checkout confiable; integración con inventario.</w:t>
      </w:r>
    </w:p>
    <w:p>
      <w:pPr>
        <w:pStyle w:val="ListParagraph"/>
        <w:numPr>
          <w:ilvl w:val="0"/>
          <w:numId w:val="2"/>
        </w:numPr>
        <w:spacing w:after="100"/>
      </w:pPr>
      <w:r>
        <w:t xml:space="preserve">Seguridad por diseño y trazabilidad completa.</w:t>
      </w:r>
    </w:p>
    <w:p>
      <w:pPr>
        <w:pStyle w:val="Heading2"/>
        <w:spacing w:after="150" w:before="300"/>
      </w:pPr>
      <w:r>
        <w:t xml:space="preserve">Canal</w:t>
      </w:r>
    </w:p>
    <w:p>
      <w:pPr>
        <w:pStyle w:val="ListParagraph"/>
        <w:numPr>
          <w:ilvl w:val="0"/>
          <w:numId w:val="2"/>
        </w:numPr>
        <w:spacing w:after="100"/>
      </w:pPr>
      <w:r>
        <w:t xml:space="preserve">WhatsApp: catálogo navegable + agente con tarea concreta + decisión sobre Meta Business Agent vs. capa propia sobre Cloud API.</w:t>
      </w:r>
    </w:p>
    <w:p>
      <w:pPr>
        <w:pStyle w:val="ListParagraph"/>
        <w:numPr>
          <w:ilvl w:val="0"/>
          <w:numId w:val="2"/>
        </w:numPr>
        <w:spacing w:after="100"/>
      </w:pPr>
      <w:r>
        <w:t xml:space="preserve">Instagram: catálogo sincronizado + preparación para compra directa desde Reels.</w:t>
      </w:r>
    </w:p>
    <w:p>
      <w:pPr>
        <w:pStyle w:val="ListParagraph"/>
        <w:numPr>
          <w:ilvl w:val="0"/>
          <w:numId w:val="2"/>
        </w:numPr>
        <w:spacing w:after="100"/>
      </w:pPr>
      <w:r>
        <w:t xml:space="preserve">TikTok: estrategia de creador/live shopping, no solo catálogo estático.</w:t>
      </w:r>
    </w:p>
    <w:p>
      <w:pPr>
        <w:pStyle w:val="ListParagraph"/>
        <w:numPr>
          <w:ilvl w:val="0"/>
          <w:numId w:val="2"/>
        </w:numPr>
        <w:spacing w:after="100"/>
      </w:pPr>
      <w:r>
        <w:t xml:space="preserve">Messenger: automatización de soporte y remarketing integrada al mismo agente.</w:t>
      </w:r>
    </w:p>
    <w:p>
      <w:pPr>
        <w:pStyle w:val="Heading2"/>
        <w:spacing w:after="150" w:before="300"/>
      </w:pPr>
      <w:r>
        <w:t xml:space="preserve">Cumplimiento (Colombia)</w:t>
      </w:r>
    </w:p>
    <w:p>
      <w:pPr>
        <w:pStyle w:val="ListParagraph"/>
        <w:numPr>
          <w:ilvl w:val="0"/>
          <w:numId w:val="2"/>
        </w:numPr>
        <w:spacing w:after="100"/>
      </w:pPr>
      <w:r>
        <w:t xml:space="preserve">Verificación de identidad trazable si el flujo involucra crédito o cuotas (Ley 2573).</w:t>
      </w:r>
    </w:p>
    <w:p>
      <w:pPr>
        <w:pStyle w:val="ListParagraph"/>
        <w:numPr>
          <w:ilvl w:val="0"/>
          <w:numId w:val="2"/>
        </w:numPr>
        <w:spacing w:after="100"/>
      </w:pPr>
      <w:r>
        <w:t xml:space="preserve">Base legal de tratamiento de datos y mecanismo de revocación (Ley 1581).</w:t>
      </w:r>
    </w:p>
    <w:p>
      <w:pPr>
        <w:pStyle w:val="ListParagraph"/>
        <w:numPr>
          <w:ilvl w:val="0"/>
          <w:numId w:val="2"/>
        </w:numPr>
        <w:spacing w:after="100"/>
      </w:pPr>
      <w:r>
        <w:t xml:space="preserve">Supervisor identificado (SIC, SFC o MinTIC) para cada parte de la operación.</w:t>
      </w:r>
    </w:p>
    <w:p>
      <w:pPr>
        <w:pBdr>
          <w:bottom w:val="single" w:color="CBD5E1" w:sz="6" w:space="4"/>
        </w:pBdr>
        <w:spacing w:after="200"/>
      </w:pPr>
    </w:p>
    <w:p>
      <w:pPr>
        <w:pStyle w:val="Heading1"/>
        <w:spacing w:after="200" w:before="400"/>
      </w:pPr>
      <w:r>
        <w:t xml:space="preserve">Conclusión</w:t>
      </w:r>
    </w:p>
    <w:p>
      <w:pPr>
        <w:spacing w:after="160"/>
      </w:pPr>
      <w:r>
        <w:t xml:space="preserve">La tesis más fuerte no es "IA para vender", sino infraestructura para que el comercio humano y el agéntico convivan con control, seguridad y rentabilidad. Esta versión es más sólida que las anteriores porque se apoya en hechos verificables con fecha y fuente (lanzamientos de protocolos, anuncios de Meta y TikTok, cifras de GMV, marco regulatorio colombiano), no solo en proyecciones de mercado de terceros. Persisten zonas de hipótesis —qué protocolo ganará adopción dominante en LatAm, cuánto tardará Meta en monetizar su agente comercial, y qué vertical rendirá mejor— que solo se resuelven con pilotos propios. Si el modelo se ejecuta bien, puede empezar en Colombia, escalar a LATAM y expandirse globalmente con una arquitectura preparada para volumen, presión operativa y múltiples ecosistemas de canal.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Comercio Agéntico — Memo de Inversión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2937"/>
      <w:sz w:val="30"/>
      <w:szCs w:val="30"/>
    </w:rPr>
  </w:style>
  <w:style w:type="paragraph" w:styleId="Heading2">
    <w:name w:val="Heading 2"/>
    <w:basedOn w:val="Normal"/>
    <w:next w:val="Normal"/>
    <w:qFormat/>
    <w:pPr>
      <w:spacing w:after="140" w:before="260"/>
      <w:outlineLvl w:val="1"/>
    </w:pPr>
    <w:rPr>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2026-07-14T18:43:53.283Z</dcterms:created>
  <dcterms:modified xsi:type="dcterms:W3CDTF">2026-07-14T18:43:53.297Z</dcterms:modified>
</cp:coreProperties>
</file>

<file path=docProps/custom.xml><?xml version="1.0" encoding="utf-8"?>
<Properties xmlns="http://schemas.openxmlformats.org/officeDocument/2006/custom-properties" xmlns:vt="http://schemas.openxmlformats.org/officeDocument/2006/docPropsVTypes"/>
</file>